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 of MIL by the IFLA Moscow 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https://www.ifla.org/publications/moscow-declaration-on-media-and-information-literacy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MIL curriculum for teachers (publication year 2011)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http://www.unesco.org/new/en/communication-and-information/resources/publications-and-communication-materials/publications/full-list/media-and-information-literacy-curriculum-for-teachers/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MIL Policy and Strategy guidelines (publication year 2013)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http://www.unesco.org/new/en/communication-and-information/resources/publications-and-communication-materials/publications/full-list/media-and-information-literacy-policy-and-strategy-guidelines/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Global MIL assesment frawework (publication year 2013)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http://www.unesco.org/new/en/communication-and-information/resources/publications-and-communication-materials/publications/full-list/global-media-and-information-literacy-assessment-framework/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Guidelines for Broadcasters to Promote MIL and User-Generated Content  (publication year 2009)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www.unesco.org/new/en/communication-and-information/resources/publications-and-communication-materials/publications/full-list/guidelines-for-broadcasters-on-promoting-user-generated-content-and-media-and-information-literacy/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Commonsense: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https://www.commonsensemedia.org/privacy-and-internet-safety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Freedoms of a child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https://www.unicef.org/crc/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https://nces.ed.gov/pubs2019/2019053.pdf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https://www.stopbullying.gov/cyberbullying/what-is-it/index.html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https://nces.ed.gov/search/?q=cyberbullying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https://www.stopbullying.gov/cyberbullying/prevention/index.html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https://usa.kaspersky.com/resource-center/preemptive-safety/top-10-ways-to-stop-cyberbullying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https://www.stopbullying.gov/cyberbullying/kids-on-social-media-and-gaming/index.html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https://www.connectsafely.org/tips-to-help-stop-cyberbullying/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https://www.researchgate.net/publication/267722934_Addressing_Cyberbullying_as_a_Media_Literacy_Issue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nicef.org/crc/" TargetMode="External"/><Relationship Id="rId10" Type="http://schemas.openxmlformats.org/officeDocument/2006/relationships/hyperlink" Target="https://www.commonsensemedia.org/privacy-and-internet-safety" TargetMode="External"/><Relationship Id="rId9" Type="http://schemas.openxmlformats.org/officeDocument/2006/relationships/hyperlink" Target="http://www.unesco.org/new/en/communication-and-information/resources/publications-and-communication-materials/publications/full-list/guidelines-for-broadcasters-on-promoting-user-generated-content-and-media-and-information-literacy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unesco.org/new/en/communication-and-information/resources/publications-and-communication-materials/publications/full-list/media-and-information-literacy-curriculum-for-teachers/" TargetMode="External"/><Relationship Id="rId7" Type="http://schemas.openxmlformats.org/officeDocument/2006/relationships/hyperlink" Target="http://www.unesco.org/new/en/communication-and-information/resources/publications-and-communication-materials/publications/full-list/media-and-information-literacy-policy-and-strategy-guidelines/" TargetMode="External"/><Relationship Id="rId8" Type="http://schemas.openxmlformats.org/officeDocument/2006/relationships/hyperlink" Target="http://www.unesco.org/new/en/communication-and-information/resources/publications-and-communication-materials/publications/full-list/global-media-and-information-literacy-assessment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