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Solution 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Solutions in order to solve cyber bullying </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https://www.imow.org/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t xml:space="preserve">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International Museum of Women – Curating Change</w:t>
        </w:r>
      </w:hyperlink>
      <w:r w:rsidDel="00000000" w:rsidR="00000000" w:rsidRPr="00000000">
        <w:rPr>
          <w:color w:val="1155cc"/>
          <w:u w:val="single"/>
          <w:rtl w:val="0"/>
        </w:rPr>
        <w:t xml:space="preserve"> </w:t>
      </w:r>
      <w:r w:rsidDel="00000000" w:rsidR="00000000" w:rsidRPr="00000000">
        <w:rPr>
          <w:rtl w:val="0"/>
        </w:rPr>
        <w:t xml:space="preserve"> website is designed for children 12 years and older. Children exploring this site will discover how women have been able to make changes. The showcase of women and their stories offer positive role models across cultures. Some of the issues raised in a few of the links may be new to teens, and parents may want to discuss them to explore the context and kids' interpretations and opinions. Parents may also want to know what kinds of activities kids are considering before they jump in as there are many links and multiple ways to take action, real and virtual.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mow.org/" TargetMode="External"/><Relationship Id="rId7" Type="http://schemas.openxmlformats.org/officeDocument/2006/relationships/hyperlink" Target="http://www.imow.org/" TargetMode="External"/><Relationship Id="rId8" Type="http://schemas.openxmlformats.org/officeDocument/2006/relationships/hyperlink" Target="http://www.im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