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D727A1">
        <w:rPr>
          <w:rFonts w:ascii="Arial" w:hAnsi="Arial" w:cs="Arial"/>
          <w:b/>
          <w:color w:val="808080"/>
          <w:sz w:val="28"/>
          <w:szCs w:val="24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B36578">
        <w:rPr>
          <w:rFonts w:ascii="Arial" w:hAnsi="Arial" w:cs="Arial"/>
          <w:sz w:val="24"/>
          <w:szCs w:val="24"/>
        </w:rPr>
        <w:t xml:space="preserve"> 6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:rsidR="00C80DCD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</w:rPr>
      </w:pPr>
    </w:p>
    <w:p w:rsidR="00B36578" w:rsidRPr="00B36578" w:rsidRDefault="00BE37CF" w:rsidP="00B365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Subir a un repositorio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Mediante consola Git</w:t>
      </w:r>
    </w:p>
    <w:p w:rsidR="00BE37CF" w:rsidRDefault="00BE37CF" w:rsidP="00B365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trabajo que realice la compilación y pruebas desde repositorio GitHub con Jenkins</w:t>
      </w:r>
      <w:bookmarkStart w:id="0" w:name="_GoBack"/>
      <w:bookmarkEnd w:id="0"/>
    </w:p>
    <w:p w:rsidR="00B36578" w:rsidRPr="00B36578" w:rsidRDefault="00EC5D73" w:rsidP="00B365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</w:t>
      </w:r>
      <w:r w:rsidR="00B36578">
        <w:rPr>
          <w:rFonts w:ascii="Arial" w:hAnsi="Arial" w:cs="Arial"/>
          <w:sz w:val="24"/>
          <w:szCs w:val="24"/>
        </w:rPr>
        <w:t>un trabajo que utilice</w:t>
      </w:r>
      <w:r w:rsidR="00B36578" w:rsidRPr="00B365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6578" w:rsidRPr="00B36578">
        <w:rPr>
          <w:rFonts w:ascii="Arial" w:hAnsi="Arial" w:cs="Arial"/>
          <w:sz w:val="24"/>
          <w:szCs w:val="24"/>
        </w:rPr>
        <w:t>Jenkinsfile</w:t>
      </w:r>
      <w:proofErr w:type="spellEnd"/>
    </w:p>
    <w:p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</w:rPr>
      </w:pPr>
    </w:p>
    <w:p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>Responda, fundamentadamente, las siguientes preguntas:</w:t>
      </w:r>
    </w:p>
    <w:p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361A4" w:rsidRDefault="00133B18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33B18">
        <w:rPr>
          <w:rFonts w:ascii="Arial" w:hAnsi="Arial" w:cs="Arial"/>
          <w:b/>
          <w:color w:val="000000"/>
          <w:sz w:val="24"/>
          <w:szCs w:val="24"/>
        </w:rPr>
        <w:t xml:space="preserve">¿Cuál es la importancia de crear </w:t>
      </w:r>
      <w:r w:rsidR="00C06B18">
        <w:rPr>
          <w:rFonts w:ascii="Arial" w:hAnsi="Arial" w:cs="Arial"/>
          <w:b/>
          <w:color w:val="000000"/>
          <w:sz w:val="24"/>
          <w:szCs w:val="24"/>
        </w:rPr>
        <w:t>procesos automatizados</w:t>
      </w:r>
      <w:r w:rsidRPr="00133B18">
        <w:rPr>
          <w:rFonts w:ascii="Arial" w:hAnsi="Arial" w:cs="Arial"/>
          <w:b/>
          <w:color w:val="000000"/>
          <w:sz w:val="24"/>
          <w:szCs w:val="24"/>
        </w:rPr>
        <w:t xml:space="preserve"> para </w:t>
      </w:r>
      <w:r w:rsidR="00B36578" w:rsidRPr="00B36578">
        <w:rPr>
          <w:rFonts w:ascii="Arial" w:hAnsi="Arial" w:cs="Arial"/>
          <w:b/>
          <w:color w:val="000000"/>
          <w:sz w:val="24"/>
          <w:szCs w:val="24"/>
        </w:rPr>
        <w:t>configurar un trabajo en Jenkins que se active automáticamente, en función de ciertas acciones realizadas en el rep</w:t>
      </w:r>
      <w:r w:rsidR="00B36578">
        <w:rPr>
          <w:rFonts w:ascii="Arial" w:hAnsi="Arial" w:cs="Arial"/>
          <w:b/>
          <w:color w:val="000000"/>
          <w:sz w:val="24"/>
          <w:szCs w:val="24"/>
        </w:rPr>
        <w:t xml:space="preserve">ositorio de SCM, como Bitbucket o </w:t>
      </w:r>
      <w:r w:rsidR="00B36578" w:rsidRPr="00B36578">
        <w:rPr>
          <w:rFonts w:ascii="Arial" w:hAnsi="Arial" w:cs="Arial"/>
          <w:b/>
          <w:color w:val="000000"/>
          <w:sz w:val="24"/>
          <w:szCs w:val="24"/>
        </w:rPr>
        <w:t>GitHub</w:t>
      </w:r>
      <w:r w:rsidRPr="00133B18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742F09" w:rsidRPr="00384ABE" w:rsidRDefault="00742F09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sectPr w:rsidR="00742F09" w:rsidRPr="00384ABE" w:rsidSect="00BE566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D6" w:rsidRDefault="00AB23D6" w:rsidP="00C80DCD">
      <w:pPr>
        <w:spacing w:after="0" w:line="240" w:lineRule="auto"/>
      </w:pPr>
      <w:r>
        <w:separator/>
      </w:r>
    </w:p>
  </w:endnote>
  <w:endnote w:type="continuationSeparator" w:id="0">
    <w:p w:rsidR="00AB23D6" w:rsidRDefault="00AB23D6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6C2C5" wp14:editId="06FAF25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6C2C5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42AC" w:rsidRDefault="00AB23D6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D6" w:rsidRDefault="00AB23D6" w:rsidP="00C80DCD">
      <w:pPr>
        <w:spacing w:after="0" w:line="240" w:lineRule="auto"/>
      </w:pPr>
      <w:r>
        <w:separator/>
      </w:r>
    </w:p>
  </w:footnote>
  <w:footnote w:type="continuationSeparator" w:id="0">
    <w:p w:rsidR="00AB23D6" w:rsidRDefault="00AB23D6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0C23EA0" wp14:editId="26E95E63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B730AD">
      <w:rPr>
        <w:rFonts w:ascii="Arial" w:hAnsi="Arial" w:cs="Arial"/>
        <w:b/>
        <w:color w:val="808080"/>
        <w:sz w:val="24"/>
        <w:szCs w:val="24"/>
      </w:rPr>
      <w:t xml:space="preserve">Semana </w:t>
    </w:r>
    <w:r w:rsidR="006B37BB">
      <w:rPr>
        <w:rFonts w:ascii="Arial" w:hAnsi="Arial" w:cs="Arial"/>
        <w:b/>
        <w:color w:val="808080"/>
        <w:sz w:val="24"/>
        <w:szCs w:val="24"/>
      </w:rPr>
      <w:t>6</w:t>
    </w:r>
    <w:r w:rsidR="00556D68" w:rsidRPr="00556D68">
      <w:rPr>
        <w:rFonts w:ascii="Arial" w:hAnsi="Arial" w:cs="Arial"/>
        <w:b/>
        <w:color w:val="808080"/>
        <w:sz w:val="24"/>
        <w:szCs w:val="24"/>
      </w:rPr>
      <w:t>/Unidad I</w:t>
    </w:r>
    <w:r w:rsidR="00B730AD">
      <w:rPr>
        <w:rFonts w:ascii="Arial" w:hAnsi="Arial" w:cs="Arial"/>
        <w:b/>
        <w:color w:val="808080"/>
        <w:sz w:val="24"/>
        <w:szCs w:val="24"/>
      </w:rPr>
      <w:t>I</w:t>
    </w:r>
    <w:r w:rsidR="006B37BB">
      <w:rPr>
        <w:rFonts w:ascii="Arial" w:hAnsi="Arial" w:cs="Arial"/>
        <w:b/>
        <w:color w:val="808080"/>
        <w:sz w:val="24"/>
        <w:szCs w:val="24"/>
      </w:rPr>
      <w:t>I</w:t>
    </w:r>
  </w:p>
  <w:p w:rsidR="005142AC" w:rsidRPr="00312EF3" w:rsidRDefault="00AB23D6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47DD"/>
    <w:multiLevelType w:val="hybridMultilevel"/>
    <w:tmpl w:val="777A07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20964"/>
    <w:rsid w:val="000A49A4"/>
    <w:rsid w:val="000A58D9"/>
    <w:rsid w:val="00132D5B"/>
    <w:rsid w:val="00133B18"/>
    <w:rsid w:val="00201FAD"/>
    <w:rsid w:val="00282B6C"/>
    <w:rsid w:val="002840AF"/>
    <w:rsid w:val="002F317A"/>
    <w:rsid w:val="003123F7"/>
    <w:rsid w:val="00347107"/>
    <w:rsid w:val="00347D04"/>
    <w:rsid w:val="003706DC"/>
    <w:rsid w:val="003731AD"/>
    <w:rsid w:val="00384ABE"/>
    <w:rsid w:val="003D019C"/>
    <w:rsid w:val="003D6A70"/>
    <w:rsid w:val="004049AA"/>
    <w:rsid w:val="00462E69"/>
    <w:rsid w:val="004B360C"/>
    <w:rsid w:val="00520574"/>
    <w:rsid w:val="00556D68"/>
    <w:rsid w:val="005B5183"/>
    <w:rsid w:val="006342D7"/>
    <w:rsid w:val="006353B3"/>
    <w:rsid w:val="006361A4"/>
    <w:rsid w:val="006B37BB"/>
    <w:rsid w:val="006E63A9"/>
    <w:rsid w:val="007235E5"/>
    <w:rsid w:val="00742F09"/>
    <w:rsid w:val="0088212E"/>
    <w:rsid w:val="008F227F"/>
    <w:rsid w:val="00A04BEF"/>
    <w:rsid w:val="00A05CAB"/>
    <w:rsid w:val="00AB23D6"/>
    <w:rsid w:val="00AB53C9"/>
    <w:rsid w:val="00AE0EDC"/>
    <w:rsid w:val="00B36578"/>
    <w:rsid w:val="00B515D5"/>
    <w:rsid w:val="00B730AD"/>
    <w:rsid w:val="00BC2448"/>
    <w:rsid w:val="00BE37CF"/>
    <w:rsid w:val="00BE5CAC"/>
    <w:rsid w:val="00C06B18"/>
    <w:rsid w:val="00C623C5"/>
    <w:rsid w:val="00C80DCD"/>
    <w:rsid w:val="00CC080F"/>
    <w:rsid w:val="00CD7EFB"/>
    <w:rsid w:val="00D44794"/>
    <w:rsid w:val="00D63940"/>
    <w:rsid w:val="00D727A1"/>
    <w:rsid w:val="00DB2797"/>
    <w:rsid w:val="00E37C3F"/>
    <w:rsid w:val="00EC5D73"/>
    <w:rsid w:val="00EE6DA9"/>
    <w:rsid w:val="00F042BC"/>
    <w:rsid w:val="00F71597"/>
    <w:rsid w:val="00FB4B24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8B963"/>
  <w15:docId w15:val="{82370ACE-8B1A-4F50-9FA1-E7FC12D3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CC-4506-4EDD-A506-15F26286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Francisco Gallardo</cp:lastModifiedBy>
  <cp:revision>30</cp:revision>
  <cp:lastPrinted>2015-08-04T11:48:00Z</cp:lastPrinted>
  <dcterms:created xsi:type="dcterms:W3CDTF">2015-11-24T20:26:00Z</dcterms:created>
  <dcterms:modified xsi:type="dcterms:W3CDTF">2019-08-04T03:21:00Z</dcterms:modified>
</cp:coreProperties>
</file>