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29/04/2022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tabs>
                    <w:tab w:val="center" w:pos="4252"/>
                    <w:tab w:val="right" w:pos="8504"/>
                  </w:tabs>
                  <w:rPr>
                    <w:shd w:fill="auto" w:val="clear"/>
                    <w:rPrChange w:author="Jonathan" w:id="0" w:date="2022-04-29T02:52:00Z">
                      <w:rPr>
                        <w:rFonts w:ascii="Verdana" w:cs="Verdana" w:eastAsia="Verdana" w:hAnsi="Verdana"/>
                        <w:color w:val="000000"/>
                      </w:rPr>
                    </w:rPrChange>
                  </w:rPr>
                  <w:pPrChange w:author="Jonathan" w:id="0" w:date="2022-04-29T02:52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tabs>
                        <w:tab w:val="center" w:pos="4252"/>
                        <w:tab w:val="right" w:pos="8504"/>
                      </w:tabs>
                    </w:pPr>
                  </w:pPrChange>
                </w:pPr>
                <w:r w:rsidDel="00000000" w:rsidR="00000000" w:rsidRPr="00000000">
                  <w:rPr>
                    <w:rFonts w:ascii="Verdana" w:cs="Verdana" w:eastAsia="Verdana" w:hAnsi="Verdana"/>
                    <w:color w:val="000000"/>
                    <w:rtl w:val="0"/>
                  </w:rPr>
                  <w:t xml:space="preserve">Planificación del avance final I</w:t>
                </w:r>
              </w:p>
            </w:sdtContent>
          </w:sdt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8" name="image3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una respectiva revisión de los puntos faltantes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se estableció que dichos puntos pendientes están contemplados en el Plan de Proyecto, en los incisos 11, 12, 13, 14 y 15, por lo cual se realizó una revisión respectiva.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29/04/2022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3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Verdana" w:cs="Verdana" w:eastAsia="Verdana" w:hAnsi="Verdana"/>
                    <w:color w:val="000000"/>
                    <w:shd w:fill="auto" w:val="clear"/>
                    <w:rPrChange w:author="Jonathan" w:id="1" w:date="2022-04-29T02:56:00Z">
                      <w:rPr>
                        <w:rFonts w:ascii="Verdana" w:cs="Verdana" w:eastAsia="Verdana" w:hAnsi="Verdana"/>
                        <w:color w:val="000000"/>
                      </w:rPr>
                    </w:rPrChange>
                  </w:rPr>
                  <w:pPrChange w:author="Jonathan" w:id="0" w:date="2022-04-29T02:56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r w:rsidDel="00000000" w:rsidR="00000000" w:rsidRPr="00000000">
                  <w:rPr>
                    <w:rFonts w:ascii="Verdana" w:cs="Verdana" w:eastAsia="Verdana" w:hAnsi="Verdana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acuerdo acordado con el punto 1 se acordó que los incisos pendientes los cuales son el 11, 12, 13, 14 y 15 quedarán a planificación la próxima sesión grupal, la cual se realizarán distintas actividades para la solución de los incisos.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01H9rpMbHr3TxwmglpJt7vqmzw==">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