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ind w:left="0" w:firstLineChars="200"/>
        <w:rPr/>
      </w:pPr>
      <w:r>
        <w:rPr>
          <w:rFonts w:hint="eastAsia"/>
        </w:rPr>
        <w:t>Coding Agent</w:t>
      </w:r>
      <w:r>
        <w:rPr/>
        <w:t xml:space="preserve"> </w:t>
      </w:r>
      <w:r>
        <w:rPr>
          <w:rFonts w:hint="eastAsia"/>
        </w:rPr>
        <w:t>人评</w:t>
      </w:r>
      <w:r>
        <w:rPr/>
        <w:t>标准</w:t>
      </w:r>
      <w:r>
        <w:rPr>
          <w:rFonts w:hint="eastAsia"/>
        </w:rPr>
        <w:t xml:space="preserve"> </w:t>
      </w:r>
      <w:r>
        <w:rPr>
          <w:rFonts w:hint="eastAsia"/>
        </w:rPr>
        <w:t>V</w:t>
      </w:r>
      <w:r>
        <w:rPr>
          <w:rFonts w:hint="eastAsia"/>
        </w:rPr>
        <w:t xml:space="preserve"> 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1</w:t>
      </w:r>
    </w:p>
    <w:p>
      <w:pPr>
        <w:numPr/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默认脚手架</w:t>
      </w:r>
      <w:r>
        <w:rPr>
          <w:i w:val="false"/>
          <w:strike w:val="false"/>
          <w:color w:val="000000"/>
          <w:u w:val="none"/>
        </w:rPr>
        <w:t>：CodeBuddy</w:t>
      </w:r>
    </w:p>
    <w:p>
      <w:pPr>
        <w:pStyle w:val="giepc1"/>
        <w:numPr/>
        <w:pBdr/>
        <w:ind/>
        <w:rPr>
          <w:rFonts w:hint="eastAsia"/>
        </w:rPr>
      </w:pPr>
      <w:r>
        <w:rPr>
          <w:rFonts w:hint="eastAsia"/>
        </w:rPr>
        <w:t>一、平台操作指南</w:t>
      </w:r>
    </w:p>
    <w:p>
      <w:pPr>
        <w:pStyle w:val="mdjnt8"/>
        <w:numPr/>
        <w:ind/>
        <w:rPr/>
      </w:pPr>
      <w:r>
        <w:rPr>
          <w:rFonts w:hint="eastAsia"/>
        </w:rPr>
        <w:t xml:space="preserve">1.1 </w:t>
      </w:r>
      <w:r>
        <w:rPr/>
        <w:t>codebuddy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下载codebuddy，确认自己能看到测试模型系列、HY-RD系列模型</w:t>
      </w:r>
    </w:p>
    <w:p>
      <w:pPr>
        <w:pStyle w:val="ablt93"/>
        <w:numPr>
          <w:ilvl w:val="0"/>
          <w:numId w:val="1"/>
        </w:numPr>
        <w:pBdr>
          <w:bottom/>
        </w:pBdr>
        <w:ind/>
        <w:rPr>
          <w:shd w:val="clear" w:color="auto" w:fill="FFFF00"/>
        </w:rPr>
      </w:pPr>
      <w:r>
        <w:rPr>
          <w:rFonts w:hint="eastAsia"/>
          <w:shd w:val="clear" w:color="auto" w:fill="FFFF00"/>
        </w:rPr>
        <w:t>关闭codebuddy memory设置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4050145"/>
            <wp:effectExtent l="0" t="0" r="0" b="0"/>
            <wp:docPr id="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405014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3792981"/>
            <wp:effectExtent l="0" t="0" r="0" b="0"/>
            <wp:docPr id="5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79298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提前为每一个题目，每一个模型先新建好电脑本地的项目文件夹，命名为</w:t>
      </w:r>
      <w:r>
        <w:rPr>
          <w:rFonts w:hint="eastAsia"/>
          <w:highlight w:val="yellow"/>
          <w:shd w:val="clear" w:color="auto" w:fill="auto"/>
        </w:rPr>
        <w:t>“sessionID-任务名题目摘要”：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各产物文件夹命名为“sessionID-任务名题目摘要-模型X”；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  <w:shd w:val="clear" w:color="auto" w:fill="auto"/>
        </w:rPr>
        <w:t>每次评测模型的时候打开对应的文件夹</w:t>
      </w:r>
      <w:r>
        <w:rPr>
          <w:rFonts w:hint="eastAsia"/>
          <w:highlight w:val="yellow"/>
          <w:shd w:val="clear" w:color="auto" w:fill="auto"/>
        </w:rPr>
        <w:t>“sessionID-任务名题目摘要-模型X”</w:t>
      </w:r>
      <w:r>
        <w:rPr>
          <w:rFonts w:hint="eastAsia"/>
        </w:rPr>
        <w:t>，保证当前工作目录的干净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保留最终产物上传到平台，如果是多轮题目的话，标注清楚最后停在第几轮，“</w:t>
      </w:r>
      <w:r>
        <w:rPr>
          <w:rFonts w:hint="eastAsia"/>
          <w:highlight w:val="yellow"/>
          <w:shd w:val="clear" w:color="auto" w:fill="auto"/>
        </w:rPr>
        <w:t>sessionID-任务名题目摘要-模型X-第X轮”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评测环境管理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电脑性能较好的同学用容器隔离任务</w:t>
      </w:r>
      <w:r>
        <w:rPr>
          <w:rStyle w:val="svv7xy"/>
          <w:color/>
        </w:rPr>
        <w:fldChar w:fldCharType="begin"/>
      </w:r>
      <w:r>
        <w:rPr>
          <w:rStyle w:val="svv7xy"/>
          <w:color/>
        </w:rPr>
        <w:instrText>HYPERLINK https://doc.weixin.qq.com/doc/w3_AQ0A0gY5AEkCNXFXf5YMwTdW9eZHd?scode=AJEAIQdfAAoz9zqdwHAQ0A0gY5AEk docLink \tdft Doc \tdfe 0 \tdfid i.1970325010981265.1688855383757325_w3.785226403kC21 \tdlt inline \tdlf FromPaste \tdtf 1 \l \tdsub docLink \tdkey 6th5mz</w:instrText>
      </w:r>
      <w:r>
        <w:rPr>
          <w:rStyle w:val="svv7xy"/>
          <w:color/>
        </w:rPr>
        <w:fldChar w:fldCharType="separate"/>
      </w:r>
      <w:r>
        <w:rPr>
          <w:rStyle w:val="svv7xy"/>
          <w:color/>
        </w:rPr>
        <w:t>评测环境管理</w:t>
      </w:r>
      <w:r>
        <w:rPr>
          <w:rStyle w:val="svv7xy"/>
          <w:color/>
        </w:rPr>
        <w:fldChar w:fldCharType="end"/>
      </w:r>
    </w:p>
    <w:p>
      <w:pPr>
        <w:pStyle w:val="ablt93"/>
        <w:numPr>
          <w:ilvl w:val="1"/>
          <w:numId w:val="1"/>
        </w:numPr>
        <w:pBdr>
          <w:bottom/>
        </w:pBdr>
        <w:ind/>
        <w:rPr>
          <w:rFonts w:hint="eastAsia"/>
          <w:shd w:val="clear" w:color="auto" w:fill="FFFF00"/>
        </w:rPr>
      </w:pPr>
      <w:r>
        <w:rPr>
          <w:rFonts w:hint="eastAsia"/>
        </w:rPr>
        <w:t>如果直接在本地环境跑，为了防止模型读取当前文件夹外的文件，造成先后测试的结果不可比，</w:t>
      </w:r>
      <w:r>
        <w:rPr>
          <w:rFonts w:hint="eastAsia"/>
          <w:shd w:val="clear" w:color="auto" w:fill="FFFF00"/>
        </w:rPr>
        <w:t>需要直接在提示词里边说明：不准读取当前文件夹外的文件。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开始执行评测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输入本次评测任务的prompt；</w:t>
      </w:r>
    </w:p>
    <w:p>
      <w:pPr>
        <w:pStyle w:val="ablt93"/>
        <w:numPr>
          <w:ilvl w:val="1"/>
          <w:numId w:val="1"/>
        </w:numPr>
        <w:pBdr>
          <w:bottom/>
        </w:pBdr>
        <w:ind/>
        <w:rPr>
          <w:rFonts w:hint="eastAsia"/>
          <w:b/>
          <w:color w:val="C00000"/>
        </w:rPr>
      </w:pPr>
      <w:r>
        <w:rPr>
          <w:rFonts w:hint="eastAsia"/>
          <w:b/>
          <w:color w:val="C00000"/>
        </w:rPr>
        <w:t>选择本次需要测的模型，开启Max模式开关</w:t>
      </w:r>
    </w:p>
    <w:p>
      <w:pPr>
        <w:pStyle w:val="ablt93"/>
        <w:numPr/>
        <w:pBdr>
          <w:bottom/>
        </w:pBdr>
        <w:ind w:left="776"/>
        <w:rPr>
          <w:rFonts w:hint="eastAsia"/>
        </w:rPr>
      </w:pPr>
      <w:r>
        <w:rPr/>
        <w:drawing>
          <wp:inline distT="0" distB="0" distL="0" distR="0">
            <wp:extent cx="4031703" cy="5314517"/>
            <wp:effectExtent l="0" t="0" r="0" b="0"/>
            <wp:docPr id="8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031703" cy="53145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  <w:b/>
        </w:rPr>
      </w:pP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*</w:t>
      </w:r>
      <w:r>
        <w:rPr>
          <w:rFonts w:hint="eastAsia"/>
          <w:b/>
        </w:rPr>
        <w:t>复制请求ID方法：</w:t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24500" cy="1964983"/>
            <wp:effectExtent l="0" t="0" r="0" b="0"/>
            <wp:docPr id="11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524500" cy="196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jnt8"/>
        <w:numPr/>
        <w:pBdr/>
        <w:ind/>
        <w:rPr/>
      </w:pPr>
      <w:r>
        <w:rPr/>
        <w:t>1.2</w:t>
      </w:r>
      <w:r>
        <w:rPr>
          <w:rFonts w:hint="eastAsia"/>
        </w:rPr>
        <w:t xml:space="preserve"> </w:t>
      </w:r>
      <w:r>
        <w:rPr/>
        <w:t>标注平台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标注平台网址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rFonts w:hint="eastAsia"/>
        </w:rPr>
        <w:t>公司内：</w:t>
      </w:r>
    </w:p>
    <w:p>
      <w:pPr>
        <w:numPr>
          <w:ilvl w:val="1"/>
          <w:numId w:val="2"/>
        </w:numPr>
        <w:pBdr>
          <w:bottom/>
        </w:pBdr>
        <w:snapToGrid/>
        <w:spacing w:before="0" w:after="0" w:line="466"/>
        <w:ind/>
        <w:rPr/>
      </w:pPr>
      <w:r>
        <w:rPr/>
        <w:fldChar w:fldCharType="begin"/>
      </w:r>
      <w:r>
        <w:rPr/>
        <w:instrText>HYPERLINK https://vce.tlabel.woa.com/ normalLink \tdft \tdfe -10 \tdfid \tddp \tdop \tdlt inline \tdds \tdfvi \tdlf \tdtf \l \tdsub normalLink \tdkey t4whyz \tdkey t4whyz</w:instrText>
      </w:r>
      <w:r>
        <w:rPr/>
        <w:fldChar w:fldCharType="separate"/>
      </w:r>
      <w:r>
        <w:rPr>
          <w:rStyle w:val="svv7xy"/>
          <w:color/>
        </w:rPr>
        <w:t>https://vce.tlabel.woa.com</w:t>
      </w:r>
      <w:r>
        <w:rPr/>
        <w:fldChar w:fldCharType="end"/>
      </w:r>
    </w:p>
    <w:p>
      <w:pPr>
        <w:pStyle w:val="ablt93"/>
        <w:numPr>
          <w:ilvl w:val="1"/>
          <w:numId w:val="2"/>
        </w:numPr>
        <w:pBdr>
          <w:bottom/>
        </w:pBdr>
        <w:ind/>
        <w:rPr/>
      </w:pPr>
      <w:r>
        <w:rPr>
          <w:rFonts w:hint="eastAsia"/>
        </w:rPr>
        <w:t>供应商：</w:t>
      </w:r>
      <w:r>
        <w:rPr>
          <w:rStyle w:val="svv7xy"/>
          <w:color/>
        </w:rPr>
        <w:fldChar w:fldCharType="begin"/>
      </w:r>
      <w:r>
        <w:rPr>
          <w:rStyle w:val="svv7xy"/>
          <w:color/>
        </w:rPr>
        <w:instrText>HYPERLINK https://vce.tlabel.tencent.com/ normalLink \tdfe -10 \tdlt inline \tdlf FromPaste \tdtf 1 \tdsub normalLink \tdkey 8gf0iz</w:instrText>
      </w:r>
      <w:r>
        <w:rPr>
          <w:rStyle w:val="svv7xy"/>
          <w:color/>
        </w:rPr>
        <w:fldChar w:fldCharType="separate"/>
      </w:r>
      <w:r>
        <w:rPr>
          <w:rStyle w:val="svv7xy"/>
          <w:color/>
        </w:rPr>
        <w:t>Vibe Coding Evals--人评系统</w:t>
      </w:r>
      <w:r>
        <w:rPr>
          <w:rStyle w:val="svv7xy"/>
          <w:color/>
        </w:rPr>
        <w:fldChar w:fldCharType="end"/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在顶部选择</w:t>
      </w:r>
      <w:r>
        <w:rPr>
          <w:rFonts w:hint="eastAsia"/>
          <w:color w:val="000000"/>
          <w:shd w:val="clear" w:color="auto" w:fill="FFFF00"/>
        </w:rPr>
        <w:t>“V</w:t>
      </w:r>
      <w:r>
        <w:rPr>
          <w:rFonts w:hint="eastAsia"/>
          <w:color w:val="000000"/>
          <w:shd w:val="clear" w:color="auto" w:fill="FFFF00"/>
        </w:rPr>
        <w:t>3</w:t>
      </w:r>
      <w:r>
        <w:rPr>
          <w:rFonts w:hint="eastAsia"/>
          <w:color w:val="000000"/>
          <w:shd w:val="clear" w:color="auto" w:fill="FFFF00"/>
        </w:rPr>
        <w:t>.</w:t>
      </w:r>
      <w:r>
        <w:rPr>
          <w:rFonts w:hint="eastAsia"/>
          <w:color w:val="000000"/>
          <w:shd w:val="clear" w:color="auto" w:fill="FFFF00"/>
        </w:rPr>
        <w:t>0</w:t>
      </w:r>
      <w:r>
        <w:rPr>
          <w:rFonts w:hint="eastAsia"/>
          <w:color w:val="000000"/>
          <w:shd w:val="clear" w:color="auto" w:fill="FFFF00"/>
        </w:rPr>
        <w:t>”</w:t>
      </w:r>
      <w:r>
        <w:rPr>
          <w:rFonts w:hint="eastAsia"/>
        </w:rPr>
        <w:t>版本</w:t>
      </w:r>
    </w:p>
    <w:p>
      <w:pPr>
        <w:pStyle w:val="ablt93"/>
        <w:numPr>
          <w:ilvl w:val="0"/>
          <w:numId w:val="2"/>
        </w:numPr>
        <w:ind/>
        <w:rPr/>
      </w:pPr>
      <w:r>
        <w:rPr>
          <w:rFonts w:hint="eastAsia"/>
        </w:rPr>
        <w:t>在搜索框中输入对应的session_id，找到对应的题目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797710"/>
            <wp:effectExtent l="0" t="0" r="0" b="0"/>
            <wp:docPr id="14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79771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上传产物</w:t>
      </w:r>
    </w:p>
    <w:p>
      <w:pPr>
        <w:pStyle w:val="ablt93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点击“添加模型回复”</w:t>
      </w:r>
    </w:p>
    <w:p>
      <w:pPr>
        <w:pStyle w:val="ablt93"/>
        <w:numPr/>
        <w:ind w:left="0"/>
        <w:rPr/>
      </w:pPr>
      <w:r>
        <w:rPr/>
        <w:drawing>
          <wp:inline distT="0" distB="0" distL="0" distR="0">
            <wp:extent cx="5760085" cy="2562857"/>
            <wp:effectExtent l="0" t="0" r="0" b="0"/>
            <wp:docPr id="17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56285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  <w:shd w:val="clear" w:color="auto" w:fill="FFFF00"/>
        </w:rPr>
        <w:t>“最终产物”</w:t>
      </w:r>
    </w:p>
    <w:p>
      <w:pPr>
        <w:pStyle w:val="ablt93"/>
        <w:numPr/>
        <w:pBdr/>
        <w:ind w:left="776"/>
        <w:rPr>
          <w:rFonts w:hint="eastAsia"/>
        </w:rPr>
      </w:pPr>
      <w:r>
        <w:rPr/>
        <w:drawing>
          <wp:inline distT="0" distB="0" distL="0" distR="0">
            <wp:extent cx="4619625" cy="3864417"/>
            <wp:effectExtent l="0" t="0" r="0" b="0"/>
            <wp:docPr id="20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619625" cy="38644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如果产物文件数量过多，打包成</w:t>
      </w:r>
      <w:r>
        <w:rPr>
          <w:rFonts w:hint="eastAsia"/>
          <w:shd w:val="clear" w:color="auto" w:fill="FFFF00"/>
        </w:rPr>
        <w:t>zip</w:t>
      </w:r>
      <w:r>
        <w:rPr>
          <w:rFonts w:hint="eastAsia"/>
        </w:rPr>
        <w:t>进行上传</w:t>
      </w:r>
    </w:p>
    <w:p>
      <w:pPr>
        <w:pStyle w:val="giepc1"/>
        <w:numPr>
          <w:ilvl w:val="0"/>
          <w:numId w:val="3"/>
        </w:numPr>
        <w:pBdr>
          <w:bottom/>
        </w:pBdr>
        <w:ind/>
        <w:rPr/>
      </w:pPr>
      <w:r>
        <w:rPr/>
        <w:t>打分</w:t>
      </w:r>
      <w:r>
        <w:rPr>
          <w:rFonts w:hint="eastAsia"/>
        </w:rPr>
        <w:t>流程指南</w:t>
      </w:r>
    </w:p>
    <w:p>
      <w:pPr>
        <w:kinsoku/>
        <w:wordWrap/>
        <w:autoSpaceDE/>
        <w:autoSpaceDN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u0l0n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在平台上传所有模型的产物后，工作流如下：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1）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上传所有模型产物；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2）对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所有模型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产物进行总体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排序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+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给每个模型打总体印象分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如果是和旧产物比的话，就重新打开看下旧产物，然后一起排序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给出排序理由和洞察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b/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先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排序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再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打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总体印象分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，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总体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印象分</w:t>
                        </w: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的排序应该和总体排序是严格一致的。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b/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但是：总体印象分和pointwise的均分不必严格一致。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3）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对每个模型产物的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每个维度打分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（用扣分和加分的思维进行打分）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，同时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：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在文字反馈里说明打分依据</w:t>
                        </w:r>
                        <w:r>
                          <w:rPr>
                            <w:rFonts w:hint="eastAsia"/>
                            <w:shd w:val="clear" w:color="auto" w:fill="auto"/>
                          </w:rPr>
                          <w:t>，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3分是达到验收标准</w:t>
                        </w:r>
                        <w:r>
                          <w:rPr>
                            <w:rFonts w:hint="eastAsia"/>
                            <w:shd w:val="clear" w:color="auto" w:fill="auto"/>
                          </w:rPr>
                          <w:t>，高于/低</w:t>
                        </w:r>
                        <w:r>
                          <w:rPr>
                            <w:rFonts w:hint="eastAsia"/>
                            <w:shd w:val="clear" w:color="auto" w:fill="auto"/>
                          </w:rPr>
                          <w:tab/>
                        </w:r>
                        <w:r>
                          <w:rPr>
                            <w:rFonts w:hint="eastAsia"/>
                            <w:shd w:val="clear" w:color="auto" w:fill="auto"/>
                          </w:rPr>
                          <w:t>于3分在每个维度说明扣分和加分依据，例如</w:t>
                        </w:r>
                      </w:p>
                      <w:p>
                        <w:pPr>
                          <w:numPr>
                            <w:ilvl w:val="3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给了1.5分，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【</w:t>
                        </w:r>
                        <w:r>
                          <w:rPr>
                            <w:rFonts w:ascii="PingFang SC" w:hAnsi="PingFang SC" w:eastAsia="PingFang SC" w:cs="PingFang SC"/>
                            <w:b/>
                            <w:i w:val="false"/>
                            <w:strike w:val="false"/>
                            <w:color w:val="333333"/>
                            <w:spacing w:val="0"/>
                            <w:sz w:val="20"/>
                            <w:u w:val="none"/>
                            <w:shd w:val="clear" w:color="auto" w:fill="auto"/>
                          </w:rPr>
                          <w:t>任务完成度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】扩展点找对了，但最终交付仍不完整：既有测试因配置兼容报错，新测试数据不全、分裂守恒测试未真实断线；分裂后运力未合理分到子网；配置字段未贯通对局链路，多轮 Debug 后仍未验收通过。</w:t>
                        </w:r>
                      </w:p>
                      <w:p>
                        <w:pPr>
                          <w:numPr>
                            <w:ilvl w:val="3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给了0.5分，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【任务收敛效率】能围绕原结构连续打补丁，但根因定位和验证闭环弱；测试兼容、真实断线、配置生效同一批问题反复出现，五次 Debug 仍未收敛。</w:t>
                        </w:r>
                      </w:p>
                      <w:p>
                        <w:pPr>
                          <w:numPr>
                            <w:ilvl w:val="3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【</w:t>
                        </w:r>
                        <w:r>
                          <w:rPr>
                            <w:rFonts w:hint="eastAsia"/>
                            <w:shd w:val="clear" w:color="auto" w:fill="auto"/>
                          </w:rPr>
                          <w:t>其他</w:t>
                        </w:r>
                        <w:r>
                          <w:rPr>
                            <w:rFonts w:hint="eastAsia"/>
                            <w:shd w:val="clear" w:color="auto" w:fill="auto"/>
                          </w:rPr>
                          <w:t>】</w:t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fldChar w:fldCharType="begin"/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instrText xml:space="preserve">HYPERLINK https://vce.tlabel.woa.com/#/session/FE-022?vid=v-v24 normalLink \tdkey 2p35jp \tdfe -10 \tdfn https%3A//vce.tlabel.woa.com/%23/session/FE-022%3Fvid%3Dv-v24 \tdfu https://vce.tlabel.woa.com/#/session/FE-022?vid=v-v24 \tdlt inline </w:instrText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fldChar w:fldCharType="separate"/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t>https://vce.tlabel.woa.com/#/session/FE-022?vid=v-v24</w:t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fldChar w:fldCharType="end"/>
                        </w:r>
                      </w:p>
                      <w:p>
                        <w:pPr>
                          <w:numPr>
                            <w:ilvl w:val="3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目前是写在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优点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和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缺点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里边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4）对每个模型的产物打上Vibe Tags标签，并进行其他补充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Vibe Tags标签不必须，只选择该模型最突出的点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pros，cons，stylistic fingerprints补充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Vibe Tags标签覆盖不到的点</w:t>
                        </w:r>
                      </w:p>
                      <w:p>
                        <w:pPr>
                          <w:numPr>
                            <w:ilvl w:val="3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然后按照如下格式下：【其他】……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5）更新洞察</w:t>
                        </w:r>
                      </w:p>
                      <w:p>
                        <w:pPr>
                          <w:numPr>
                            <w:ilvl w:val="2"/>
                            <w:numId w:val="4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在给所有模型进行详细打分后，如果有新的见解更新一下洞察，关注一下两个点：</w:t>
                        </w:r>
                      </w:p>
                      <w:p>
                        <w:pPr>
                          <w:numPr>
                            <w:ilvl w:val="3"/>
                            <w:numId w:val="4"/>
                          </w:num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b/>
                            <w:i w:val="false"/>
                            <w:strike w:val="false"/>
                            <w:spacing w:val="0"/>
                            <w:u w:val="none"/>
                          </w:rPr>
                          <w:t>最大模型差异：哪个环节真正拉开差距；</w:t>
                        </w:r>
                      </w:p>
                      <w:p>
                        <w:pPr>
                          <w:numPr>
                            <w:ilvl w:val="3"/>
                            <w:numId w:val="4"/>
                          </w:numPr>
                          <w:pBdr>
                            <w:bottom/>
                          </w:pBdr>
                          <w:snapToGrid/>
                          <w:spacing w:before="60" w:after="60" w:line="312"/>
                          <w:ind/>
                          <w:rPr>
                            <w:rFonts w:ascii="" w:hAnsi="" w:eastAsia="" w:cs=""/>
                            <w:b/>
                            <w:i w:val="false"/>
                            <w:strike w:val="false"/>
                            <w:color w:val="333333"/>
                            <w:sz w:val="22"/>
                            <w:u w:val="none"/>
                          </w:rPr>
                        </w:pPr>
                        <w:r>
                          <w:rPr>
                            <w:b/>
                            <w:i w:val="false"/>
                            <w:strike w:val="false"/>
                            <w:spacing w:val="0"/>
                            <w:u w:val="none"/>
                          </w:rPr>
                          <w:t>能力边界Insight：当前AI在这类任务上已经能做什么、哪些还需要人纠正才能做对。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</w:rPr>
                          <w:t>关于debug：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多轮debug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次数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上限是3次，单轮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加功能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是5次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，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单轮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修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b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u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g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题目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是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3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轮</w:t>
                        </w:r>
                        <w:r>
                          <w:rPr>
                            <w:rFonts w:hint="eastAsia"/>
                          </w:rPr>
                          <w:t>。多轮题目如果3轮debug后达不到3分（即可用标准，就算模型失败在这一轮）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pBdr>
                            <w:bottom/>
                          </w:pBdr>
                          <w:ind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debug规范：只给错误描述（+期望达到的现象，这个可以不写，但是错误信息描述一定要写），不能跟模型说如何修改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</w:p>
    <w:p>
      <w:pPr>
        <w:numPr/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每个模型回复（response）的标注由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b/>
          <w:i w:val="false"/>
          <w:strike w:val="false"/>
          <w:color w:val="000000"/>
          <w:u w:val="none"/>
        </w:rPr>
        <w:t>1个总体印象分 + pointwise多维度打分</w:t>
      </w:r>
      <w:r>
        <w:rPr>
          <w:i w:val="false"/>
          <w:strike w:val="false"/>
          <w:color w:val="000000"/>
          <w:u w:val="none"/>
        </w:rPr>
        <w:t xml:space="preserve"> + </w:t>
      </w:r>
      <w:r>
        <w:rPr>
          <w:rFonts w:hint="eastAsia"/>
          <w:b/>
          <w:i w:val="false"/>
          <w:strike w:val="false"/>
          <w:color w:val="000000"/>
          <w:u w:val="none"/>
        </w:rPr>
        <w:t xml:space="preserve">Vibe Tags </w:t>
      </w:r>
      <w:r>
        <w:rPr>
          <w:rFonts w:hint="eastAsia"/>
          <w:i w:val="false"/>
          <w:strike w:val="false"/>
          <w:color w:val="000000"/>
          <w:u w:val="none"/>
        </w:rPr>
        <w:t>+</w:t>
      </w:r>
      <w:r>
        <w:rPr>
          <w:b/>
          <w:i w:val="false"/>
          <w:strike w:val="false"/>
          <w:color w:val="000000"/>
          <w:u w:val="none"/>
        </w:rPr>
        <w:t>1 个备注</w:t>
      </w:r>
      <w:r>
        <w:rPr>
          <w:rFonts w:hint="eastAsia"/>
          <w:b/>
          <w:i w:val="false"/>
          <w:strike w:val="false"/>
          <w:color w:val="000000"/>
          <w:u w:val="none"/>
        </w:rPr>
        <w:t>（分为三块）四个部分</w:t>
      </w:r>
      <w:r>
        <w:rPr>
          <w:i w:val="false"/>
          <w:strike w:val="false"/>
          <w:color w:val="000000"/>
          <w:u w:val="none"/>
        </w:rPr>
        <w:t xml:space="preserve"> 组成：</w:t>
      </w:r>
    </w:p>
    <w:tbl>
      <w:tblPr>
        <w:tblStyle w:val="nz1999"/>
        <w:tblLayout w:type="fixed"/>
        <w:tblLook/>
      </w:tblPr>
      <w:tblGrid>
        <w:gridCol w:w="1470"/>
        <w:gridCol w:w="4470"/>
        <w:gridCol w:w="7995"/>
      </w:tblGrid>
      <w:tr>
        <w:trPr>
          <w:wBefore/>
          <w:trHeight/>
        </w:trPr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4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</w:t>
            </w:r>
          </w:p>
        </w:tc>
        <w:tc>
          <w:tcPr>
            <w:tcW w:w="7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量纲</w:t>
            </w:r>
          </w:p>
        </w:tc>
      </w:tr>
      <w:tr>
        <w:trPr>
          <w:wBefore/>
          <w:trHeight/>
        </w:trPr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shd w:val="clear" w:color="auto" w:fill="auto"/>
              </w:rPr>
            </w:pPr>
            <w:r>
              <w:rPr>
                <w:rFonts w:hint="eastAsia"/>
                <w:b/>
                <w:shd w:val="clear" w:color="auto" w:fill="auto"/>
              </w:rPr>
              <w:t>总体印象分</w:t>
            </w:r>
          </w:p>
        </w:tc>
        <w:tc>
          <w:tcPr>
            <w:tcW w:w="4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总体印象分</w:t>
            </w:r>
          </w:p>
        </w:tc>
        <w:tc>
          <w:tcPr>
            <w:tcW w:w="7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0-4 分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，允许0.5分档打分</w:t>
            </w:r>
          </w:p>
        </w:tc>
      </w:tr>
      <w:tr>
        <w:trPr>
          <w:wBefore/>
          <w:trHeight/>
        </w:trPr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Pointwise</w:t>
            </w:r>
          </w:p>
        </w:tc>
        <w:tc>
          <w:tcPr>
            <w:tcW w:w="4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通用基础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三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+ 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domain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专属维度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评分</w:t>
            </w:r>
          </w:p>
        </w:tc>
        <w:tc>
          <w:tcPr>
            <w:tcW w:w="7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每维度 0-4 分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，允许0.5分档打分</w:t>
            </w:r>
          </w:p>
        </w:tc>
      </w:tr>
      <w:tr>
        <w:trPr>
          <w:wBefore/>
          <w:trHeight/>
        </w:trPr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  <w:b/>
              </w:rPr>
              <w:t>Vibe Tags</w:t>
            </w:r>
          </w:p>
        </w:tc>
        <w:tc>
          <w:tcPr>
            <w:tcW w:w="4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b/>
              </w:rPr>
            </w:pPr>
            <w:r>
              <w:rPr>
                <w:rFonts w:hint="eastAsia"/>
                <w:b/>
              </w:rPr>
              <w:t>三维度选择共性标签</w:t>
            </w:r>
          </w:p>
        </w:tc>
        <w:tc>
          <w:tcPr>
            <w:tcW w:w="7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b/>
              </w:rPr>
            </w:pPr>
            <w:r>
              <w:rPr>
                <w:rFonts w:hint="eastAsia"/>
                <w:b/>
              </w:rPr>
              <w:t>pros，cons，stylistic fingerprints分别预设了一些标签，如果你发现这个模型有很强烈的共性，但标签里面没有体现，可提交“自由标签”</w:t>
            </w:r>
          </w:p>
        </w:tc>
      </w:tr>
      <w:tr>
        <w:trPr>
          <w:wBefore/>
          <w:trHeight w:val="2076" w:hRule="atLeast"/>
        </w:trPr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标注备注</w:t>
            </w:r>
          </w:p>
        </w:tc>
        <w:tc>
          <w:tcPr>
            <w:tcW w:w="4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b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三个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自由文本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框（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highlight w:val="yellow"/>
                <w:u w:val="none"/>
              </w:rPr>
              <w:t>最重要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</w:p>
        </w:tc>
        <w:tc>
          <w:tcPr>
            <w:tcW w:w="7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5"/>
              </w:numPr>
              <w:pBdr/>
              <w:snapToGrid/>
              <w:spacing w:before="0" w:after="0"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pros，cons，stylistic fingerprints的三个文本框，请不要写和标签一样的简洁内容</w:t>
            </w:r>
          </w:p>
          <w:p>
            <w:pPr>
              <w:numPr>
                <w:ilvl w:val="0"/>
                <w:numId w:val="5"/>
              </w:numPr>
              <w:pBdr>
                <w:bottom/>
              </w:pBdr>
              <w:snapToGrid/>
              <w:spacing w:before="0" w:after="0" w:line="240"/>
              <w:ind/>
              <w:rPr>
                <w:b/>
              </w:rPr>
            </w:pPr>
            <w:r>
              <w:rPr>
                <w:rFonts w:hint="eastAsia"/>
                <w:b/>
              </w:rPr>
              <w:t>维度打分依据也写在pros，cons中</w:t>
            </w:r>
          </w:p>
        </w:tc>
      </w:tr>
    </w:tbl>
    <w:p>
      <w:pPr>
        <w:numPr/>
        <w:pBdr/>
        <w:snapToGrid/>
        <w:spacing w:line="312"/>
        <w:ind w:left="0"/>
        <w:rPr>
          <w:rFonts w:hint="eastAsia"/>
          <w:highlight w:val="none"/>
        </w:rPr>
      </w:pPr>
      <w:r>
        <w:rPr>
          <w:rFonts w:hint="eastAsia"/>
          <w:highlight w:val="none"/>
        </w:rPr>
        <w:t>注意：rank并不是根据pointwise的绝对分排序，一定是根据你的体感进行排序，请认真对比多个模型的表现。</w:t>
      </w:r>
    </w:p>
    <w:p>
      <w:pPr>
        <w:numPr/>
        <w:pBdr/>
        <w:snapToGrid/>
        <w:spacing w:line="312"/>
        <w:ind w:left="0"/>
        <w:rPr>
          <w:rFonts w:hint="eastAsia"/>
        </w:rPr>
      </w:pPr>
    </w:p>
    <w:p>
      <w:pPr>
        <w:pStyle w:val="giepc1"/>
        <w:numPr>
          <w:ilvl w:val="0"/>
          <w:numId w:val="3"/>
        </w:numPr>
        <w:pBdr/>
        <w:ind/>
        <w:rPr/>
      </w:pPr>
      <w:r>
        <w:rPr/>
        <w:t>多模型Rank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Rank 用于同一道题下多个模型回复之间的相对比较。它回答的是“如果只能选一个交付，优先选谁”，而不是“谁的各维平均分更高”。完成</w:t>
      </w:r>
      <w:r>
        <w:rPr>
          <w:rFonts w:hint="eastAsia"/>
          <w:i w:val="false"/>
          <w:strike w:val="false"/>
          <w:spacing w:val="0"/>
          <w:u w:val="none"/>
        </w:rPr>
        <w:t>所有</w:t>
      </w:r>
      <w:r>
        <w:rPr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评分</w:t>
      </w:r>
      <w:r>
        <w:rPr>
          <w:i w:val="false"/>
          <w:strike w:val="false"/>
          <w:spacing w:val="0"/>
          <w:u w:val="none"/>
        </w:rPr>
        <w:t>后，再基于实际产物做一次独立的整体判断。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核心原则</w:t>
      </w:r>
      <w:r>
        <w:rPr>
          <w:i w:val="false"/>
          <w:strike w:val="false"/>
          <w:spacing w:val="0"/>
          <w:u w:val="none"/>
        </w:rPr>
        <w:t>：先独立形成整体判断，再用分数做一致性检查。</w:t>
      </w:r>
      <w:r>
        <w:rPr>
          <w:rFonts w:hint="eastAsia"/>
          <w:i w:val="false"/>
          <w:strike w:val="false"/>
          <w:spacing w:val="0"/>
          <w:u w:val="none"/>
        </w:rPr>
        <w:t>总体印象分和rank是严格一致的，</w:t>
      </w:r>
      <w:r>
        <w:rPr>
          <w:rFonts w:hint="eastAsia"/>
          <w:i w:val="false"/>
          <w:strike w:val="false"/>
          <w:color w:val="000000"/>
          <w:spacing w:val="0"/>
          <w:u w:val="none"/>
          <w:shd w:val="clear" w:color="auto" w:fill="FFFF00"/>
        </w:rPr>
        <w:t>但是和各维度均分不必严格一致，但如果趋势与均分不符合请再次检查</w:t>
      </w:r>
      <w:r>
        <w:rPr>
          <w:i w:val="false"/>
          <w:strike w:val="false"/>
          <w:color w:val="000000"/>
          <w:spacing w:val="0"/>
          <w:u w:val="none"/>
          <w:shd w:val="clear" w:color="auto" w:fill="FFFF00"/>
        </w:rPr>
        <w:t>。</w:t>
      </w:r>
    </w:p>
    <w:p>
      <w:pPr>
        <w:pStyle w:val="671375"/>
        <w:numPr/>
        <w:pBdr/>
        <w:ind/>
        <w:rPr>
          <w:rFonts w:ascii="" w:hAnsi="" w:eastAsia="" w:cs=""/>
        </w:rPr>
      </w:pPr>
      <w:r>
        <w:rPr>
          <w:rFonts w:hint="eastAsia" w:ascii="" w:hAnsi="" w:eastAsia="" w:cs=""/>
        </w:rPr>
        <w:t xml:space="preserve">3.1 </w:t>
      </w:r>
      <w:r>
        <w:rPr>
          <w:rFonts w:ascii="" w:hAnsi="" w:eastAsia="" w:cs=""/>
        </w:rPr>
        <w:t>操作流程</w:t>
      </w:r>
    </w:p>
    <w:p>
      <w:pPr>
        <w:numPr/>
        <w:snapToGrid/>
        <w:spacing w:before="60" w:after="60" w:line="312"/>
        <w:ind w:left="0" w:right="0" w:hanging="0"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1.</w:t>
      </w:r>
      <w:r>
        <w:rPr>
          <w:rFonts w:hint="eastAsia" w:ascii="" w:hAnsi="" w:eastAsia="" w:cs=""/>
          <w:b/>
          <w:i w:val="false"/>
          <w:strike w:val="false"/>
          <w:color w:val="333333"/>
          <w:sz w:val="22"/>
          <w:u w:val="none"/>
        </w:rPr>
        <w:t>上传所有模型产物，然后给各个产物打总体印象分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。</w:t>
      </w:r>
    </w:p>
    <w:p>
      <w:pPr>
        <w:numPr>
          <w:ilvl w:val="0"/>
          <w:numId w:val="6"/>
        </w:numPr>
        <w:pBdr/>
        <w:snapToGrid/>
        <w:spacing w:before="60" w:after="60" w:line="312"/>
        <w:ind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进入排序：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在题目详情页找到“模型排序”，点击“+ 开始排序”。</w:t>
      </w:r>
    </w:p>
    <w:p>
      <w:pPr>
        <w:numPr>
          <w:ilvl w:val="1"/>
          <w:numId w:val="6"/>
        </w:numPr>
        <w:pBdr>
          <w:bottom/>
        </w:pBdr>
        <w:snapToGrid/>
        <w:spacing w:before="60" w:after="60" w:line="312"/>
        <w:ind/>
        <w:rPr>
          <w:rFonts w:ascii="" w:hAnsi="" w:eastAsia="" w:cs=""/>
          <w:shd w:val="clear" w:color="auto" w:fill="FFFF00"/>
        </w:rPr>
      </w:pPr>
      <w:r>
        <w:rPr>
          <w:rFonts w:hint="eastAsia" w:ascii="" w:hAnsi="" w:eastAsia="" w:cs=""/>
          <w:shd w:val="clear" w:color="auto" w:fill="FFFF00"/>
        </w:rPr>
        <w:t>根据排序比较看总体印象分是否需要修改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3199675"/>
            <wp:effectExtent l="0" t="0" r="0" b="0"/>
            <wp:docPr id="25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1996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napToGrid/>
        <w:spacing w:before="60" w:after="160" w:line="312"/>
        <w:ind w:left="0" w:right="0"/>
        <w:jc w:val="center"/>
        <w:rPr/>
      </w:pPr>
      <w:r>
        <w:rPr>
          <w:rFonts w:ascii="Arial Unicode MS" w:hAnsi="Arial Unicode MS" w:eastAsia="Arial Unicode MS" w:cs="Arial Unicode MS"/>
          <w:i/>
          <w:strike w:val="false"/>
          <w:color w:val="666666"/>
          <w:sz w:val="18"/>
          <w:u w:val="none"/>
        </w:rPr>
        <w:t xml:space="preserve">图 </w:t>
      </w:r>
      <w:r>
        <w:rPr>
          <w:rFonts w:hint="eastAsia" w:ascii="Arial Unicode MS" w:hAnsi="Arial Unicode MS" w:eastAsia="Arial Unicode MS" w:cs="Arial Unicode MS"/>
          <w:i/>
          <w:strike w:val="false"/>
          <w:color w:val="666666"/>
          <w:sz w:val="18"/>
          <w:u w:val="none"/>
        </w:rPr>
        <w:t>4-1</w:t>
      </w:r>
      <w:r>
        <w:rPr>
          <w:rFonts w:ascii="Arial Unicode MS" w:hAnsi="Arial Unicode MS" w:eastAsia="Arial Unicode MS" w:cs="Arial Unicode MS"/>
          <w:i/>
          <w:strike w:val="false"/>
          <w:color w:val="666666"/>
          <w:sz w:val="18"/>
          <w:u w:val="none"/>
        </w:rPr>
        <w:t xml:space="preserve"> “从题目详情页进入“模型排序”</w:t>
      </w:r>
    </w:p>
    <w:p>
      <w:pPr>
        <w:numPr/>
        <w:pBdr/>
        <w:snapToGrid/>
        <w:spacing w:before="60" w:after="60" w:line="312"/>
        <w:ind w:left="0"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  <w:r>
        <w:rPr>
          <w:rFonts w:hint="eastAsia" w:ascii="" w:hAnsi="" w:eastAsia="" w:cs=""/>
          <w:b/>
          <w:i w:val="false"/>
          <w:strike w:val="false"/>
          <w:color w:val="333333"/>
          <w:sz w:val="22"/>
          <w:u w:val="none"/>
        </w:rPr>
        <w:t>3.</w:t>
      </w: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分配档位：</w:t>
      </w:r>
      <w:r>
        <w:rPr>
          <w:rFonts w:hint="eastAsia" w:ascii="" w:hAnsi="" w:eastAsia="" w:cs=""/>
          <w:b/>
          <w:i w:val="false"/>
          <w:strike w:val="false"/>
          <w:color w:val="333333"/>
          <w:sz w:val="22"/>
          <w:u w:val="none"/>
          <w:shd w:val="clear" w:color="auto" w:fill="FFFF00"/>
        </w:rPr>
        <w:t>这里是排序，而不是分数，注意不要弄反。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1 代表最好，数字越大顺位越后；同一档位号表示并列。每个可评模型都应有档位。</w:t>
      </w:r>
    </w:p>
    <w:p>
      <w:pPr>
        <w:numPr/>
        <w:pBdr/>
        <w:snapToGrid/>
        <w:spacing w:before="60" w:after="60" w:line="312"/>
        <w:ind w:left="0"/>
        <w:rPr/>
      </w:pPr>
      <w:r>
        <w:rPr/>
        <w:drawing>
          <wp:inline distT="0" distB="0" distL="0" distR="0">
            <wp:extent cx="5546725" cy="2819934"/>
            <wp:effectExtent l="0" t="0" r="0" b="0"/>
            <wp:docPr id="28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9" name="picture" descr="descript"/>
                    <pic:cNvPicPr/>
                  </pic:nvPicPr>
                  <pic:blipFill rotWithShape="true">
                    <a:blip r:embed="rId1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546725" cy="281993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napToGrid/>
        <w:spacing w:before="60" w:after="160" w:line="312"/>
        <w:ind w:left="0" w:right="0"/>
        <w:jc w:val="center"/>
        <w:rPr/>
      </w:pPr>
      <w:r>
        <w:rPr>
          <w:rFonts w:ascii="Arial Unicode MS" w:hAnsi="Arial Unicode MS" w:eastAsia="Arial Unicode MS" w:cs="Arial Unicode MS"/>
          <w:i/>
          <w:strike w:val="false"/>
          <w:color w:val="666666"/>
          <w:sz w:val="18"/>
          <w:u w:val="none"/>
        </w:rPr>
        <w:t>图 2 排序 Modal：同档位号表示并列，1 为最好</w:t>
      </w:r>
    </w:p>
    <w:p>
      <w:pPr>
        <w:numPr>
          <w:ilvl w:val="0"/>
          <w:numId w:val="7"/>
        </w:numPr>
        <w:snapToGrid/>
        <w:spacing w:before="60" w:after="60" w:line="312"/>
        <w:ind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检查排序表达式：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系统会生成 A &gt; B = C &gt; D 形式的结果。核对上下顺序、并列关系和遗漏项；必要时用上下箭头微调。</w:t>
      </w:r>
    </w:p>
    <w:p>
      <w:pPr>
        <w:numPr>
          <w:ilvl w:val="0"/>
          <w:numId w:val="7"/>
        </w:numPr>
        <w:pBdr/>
        <w:snapToGrid/>
        <w:spacing w:before="60" w:after="60" w:line="312"/>
        <w:ind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补充文字并保存：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填写“排序理由”；如发现跨模型共性问题，再写“洞察”，最后点击“保存排序”。</w:t>
      </w:r>
    </w:p>
    <w:p>
      <w:pPr>
        <w:numPr>
          <w:ilvl w:val="0"/>
          <w:numId w:val="7"/>
        </w:numPr>
        <w:pBdr/>
        <w:snapToGrid/>
        <w:spacing w:before="60" w:after="60" w:line="312"/>
        <w:ind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  <w:r>
        <w:rPr>
          <w:rFonts w:hint="eastAsia" w:ascii="" w:hAnsi="" w:eastAsia="" w:cs=""/>
          <w:i w:val="false"/>
          <w:strike w:val="false"/>
          <w:color w:val="333333"/>
          <w:sz w:val="22"/>
          <w:u w:val="none"/>
        </w:rPr>
        <w:t>后续每个模型的产物标注完后可以调整总体印象分和排序，</w:t>
      </w:r>
      <w:r>
        <w:rPr>
          <w:rFonts w:hint="eastAsia" w:ascii="" w:hAnsi="" w:eastAsia="" w:cs=""/>
          <w:i w:val="false"/>
          <w:strike w:val="false"/>
          <w:color w:val="333333"/>
          <w:sz w:val="22"/>
          <w:u w:val="none"/>
          <w:shd w:val="clear" w:color="auto" w:fill="FFFF00"/>
        </w:rPr>
        <w:t>但pointwise各个维度的均分不必和怕苦严格一致，这里的排序和总体印象分更加关注的是体感和第一印象。</w:t>
      </w:r>
    </w:p>
    <w:p>
      <w:pPr>
        <w:numPr/>
        <w:pBdr/>
        <w:snapToGrid/>
        <w:spacing w:before="60" w:after="60" w:line="312"/>
        <w:ind w:left="336"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</w:p>
    <w:p>
      <w:pPr>
        <w:pStyle w:val="671375"/>
        <w:numPr/>
        <w:snapToGrid w:val="false"/>
        <w:spacing w:before="0" w:after="0" w:line="408"/>
        <w:ind w:left="0" w:right="0"/>
        <w:rPr/>
      </w:pPr>
      <w:r>
        <w:rPr>
          <w:rFonts w:hint="eastAsia" w:ascii="Arial Unicode MS" w:hAnsi="Arial Unicode MS" w:eastAsia="Arial Unicode MS" w:cs="Arial Unicode MS"/>
          <w:i w:val="false"/>
          <w:strike w:val="false"/>
          <w:color w:val="1A1A1A"/>
          <w:sz w:val="28"/>
          <w:u w:val="none"/>
        </w:rPr>
        <w:t>3.2</w:t>
      </w:r>
      <w:r>
        <w:rPr>
          <w:rFonts w:ascii="Arial Unicode MS" w:hAnsi="Arial Unicode MS" w:eastAsia="Arial Unicode MS" w:cs="Arial Unicode MS"/>
          <w:i w:val="false"/>
          <w:strike w:val="false"/>
          <w:color w:val="1A1A1A"/>
          <w:sz w:val="28"/>
          <w:u w:val="none"/>
        </w:rPr>
        <w:t xml:space="preserve"> 排序判断原则</w:t>
      </w:r>
    </w:p>
    <w:p>
      <w:pPr>
        <w:numPr/>
        <w:snapToGrid/>
        <w:spacing w:before="60" w:after="60" w:line="312"/>
        <w:ind w:left="0" w:right="0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333333"/>
          <w:sz w:val="22"/>
          <w:u w:val="none"/>
        </w:rPr>
        <w:t>先看能否交付，再看质量高低。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优先判断真正改变选择结论的差异：</w:t>
      </w:r>
    </w:p>
    <w:p>
      <w:pPr>
        <w:numPr>
          <w:ilvl w:val="0"/>
          <w:numId w:val="8"/>
        </w:numPr>
        <w:snapToGrid/>
        <w:spacing w:before="60" w:after="60" w:line="312"/>
        <w:ind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硬失败优先：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无法运行 / 编译、核心链路阻断、严重违背显性约束，通常应明显靠后；局部亮点不能抵消阻断性交付问题。</w:t>
      </w:r>
    </w:p>
    <w:p>
      <w:pPr>
        <w:numPr>
          <w:ilvl w:val="0"/>
          <w:numId w:val="8"/>
        </w:numPr>
        <w:snapToGrid/>
        <w:spacing w:before="60" w:after="60" w:line="312"/>
        <w:ind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看整体交付：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综合指令遵循、功能完整性、结果质量、工程质量、鲁棒性与验证情况，不要只盯某一张图或某一段代码。</w:t>
      </w:r>
    </w:p>
    <w:p>
      <w:pPr>
        <w:numPr>
          <w:ilvl w:val="0"/>
          <w:numId w:val="8"/>
        </w:numPr>
        <w:snapToGrid/>
        <w:spacing w:before="60" w:after="60" w:line="312"/>
        <w:ind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看人工修复成本：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同样“能跑”时，优先选择关键缺陷更少、边界更稳、无需大面积返工的产物。</w:t>
      </w:r>
    </w:p>
    <w:p>
      <w:pPr>
        <w:numPr>
          <w:ilvl w:val="0"/>
          <w:numId w:val="8"/>
        </w:numPr>
        <w:snapToGrid/>
        <w:spacing w:before="60" w:after="60" w:line="312"/>
        <w:ind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只抓关键分水岭：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通常写清 1-3 个真正拉开差距的事实即可，不要用大量轻微问题堆出名次。</w:t>
      </w:r>
    </w:p>
    <w:p>
      <w:pPr>
        <w:numPr>
          <w:ilvl w:val="0"/>
          <w:numId w:val="8"/>
        </w:numPr>
        <w:snapToGrid/>
        <w:spacing w:before="60" w:after="60" w:line="312"/>
        <w:ind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并列规则：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只有在交换两者位置也不改变推荐、且没有稳定证据拉开差距时才并列。不要为了省事把“差不多”全部并列，也不要为了凑完整名次强行制造差距。</w:t>
      </w:r>
    </w:p>
    <w:p>
      <w:pPr>
        <w:pStyle w:val="671375"/>
        <w:numPr/>
        <w:snapToGrid w:val="false"/>
        <w:spacing w:before="0" w:after="0" w:line="408"/>
        <w:ind w:left="0" w:right="0"/>
        <w:rPr/>
      </w:pPr>
      <w:r>
        <w:rPr>
          <w:rFonts w:hint="eastAsia" w:ascii="Arial Unicode MS" w:hAnsi="Arial Unicode MS" w:eastAsia="Arial Unicode MS" w:cs="Arial Unicode MS"/>
          <w:i w:val="false"/>
          <w:strike w:val="false"/>
          <w:color w:val="1A1A1A"/>
          <w:sz w:val="28"/>
          <w:u w:val="none"/>
        </w:rPr>
        <w:t xml:space="preserve">3.3 </w:t>
      </w:r>
      <w:r>
        <w:rPr>
          <w:rFonts w:ascii="Arial Unicode MS" w:hAnsi="Arial Unicode MS" w:eastAsia="Arial Unicode MS" w:cs="Arial Unicode MS"/>
          <w:i w:val="false"/>
          <w:strike w:val="false"/>
          <w:color w:val="1A1A1A"/>
          <w:sz w:val="28"/>
          <w:u w:val="none"/>
        </w:rPr>
        <w:t>排序理由怎么写</w:t>
      </w:r>
    </w:p>
    <w:p>
      <w:pPr>
        <w:numPr/>
        <w:snapToGrid/>
        <w:spacing w:before="60" w:after="60" w:line="312"/>
        <w:ind w:left="0" w:right="0"/>
        <w:rPr>
          <w:rFonts w:ascii="" w:hAnsi="" w:eastAsia="" w:cs="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排序理由写的是“分水岭”，不是把 A &gt; B &gt; C 换成一句话。建议 1-3 句，覆盖相邻档位的关键差异；有并列时，说明为什么现有证据不足以拉开。只写可观察事实，不写模型名气或个人偏好。</w:t>
      </w:r>
    </w:p>
    <w:p>
      <w:pPr>
        <w:numPr/>
        <w:snapToGrid w:val="false"/>
        <w:spacing w:before="60" w:after="60" w:line="312"/>
        <w:ind w:left="0" w:right="0"/>
        <w:rPr/>
      </w:pPr>
      <w:r>
        <w:rPr/>
        <w:drawing>
          <wp:inline distT="0" distB="0" distL="0" distR="0">
            <wp:extent cx="4314825" cy="876300"/>
            <wp:effectExtent l="0" t="0" r="0" b="0"/>
            <wp:docPr id="31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4314825" cy="8763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napToGrid/>
        <w:spacing w:before="60" w:after="160" w:line="312"/>
        <w:ind w:left="0" w:right="0"/>
        <w:jc w:val="center"/>
        <w:rPr/>
      </w:pPr>
      <w:r>
        <w:rPr>
          <w:rFonts w:ascii="Arial Unicode MS" w:hAnsi="Arial Unicode MS" w:eastAsia="Arial Unicode MS" w:cs="Arial Unicode MS"/>
          <w:i/>
          <w:strike w:val="false"/>
          <w:color w:val="666666"/>
          <w:sz w:val="18"/>
          <w:u w:val="none"/>
        </w:rPr>
        <w:t>图 3 “排序理由”用于记录可复核的差异证据</w:t>
      </w:r>
    </w:p>
    <w:p>
      <w:pPr>
        <w:numPr/>
        <w:pBdr>
          <w:bottom w:val="thick" w:sz="0"/>
        </w:pBdr>
        <w:snapToGrid/>
        <w:spacing w:before="60" w:after="60" w:line="312"/>
        <w:ind w:left="0" w:right="0" w:hanging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例题：</w:t>
      </w:r>
      <w:r>
        <w:rPr>
          <w:rFonts w:ascii="" w:hAnsi="" w:eastAsia="" w:cs="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使用纯 SVG 代码绘制一个等距视角（Isometric）的微型城市。包含道路、建筑、公园、树木、车辆和行人。要求整体构图完整，具有立体感和统一风格。不要使用任何 HTML、CSS、JavaScript 或外部资源，只输出完整 SVG 代码文件。</w:t>
      </w:r>
    </w:p>
    <w:p>
      <w:pPr>
        <w:numPr/>
        <w:pBdr/>
        <w:snapToGrid/>
        <w:spacing w:before="60" w:after="60" w:line="312"/>
        <w:ind w:left="0" w:right="0" w:hanging="0"/>
        <w:jc w:val="left"/>
        <w:rPr>
          <w:rFonts w:ascii="" w:hAnsi="" w:eastAsia="" w:cs="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</w:pPr>
      <w:r>
        <w:rPr>
          <w:rFonts w:ascii="" w:hAnsi="" w:eastAsia="" w:cs=""/>
          <w:b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好的理由：</w:t>
      </w:r>
      <w:r>
        <w:rPr>
          <w:rFonts w:ascii="" w:hAnsi="" w:eastAsia="" w:cs="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“A 的道路、建筑、公园、树木、车辆和行人都齐，等距方向也统一；B 漏了行人，右侧建筑的透视方向还反了；C 画面最丰富，但在 SVG 里引用了外部图片，违反了硬约束。因此 A &gt; B &gt; C。”</w:t>
      </w:r>
    </w:p>
    <w:p>
      <w:pPr>
        <w:numPr/>
        <w:pBdr>
          <w:bottom/>
        </w:pBdr>
        <w:snapToGrid/>
        <w:spacing w:before="60" w:after="60" w:line="312"/>
        <w:ind w:left="0" w:right="0" w:hanging="0"/>
        <w:jc w:val="left"/>
        <w:rPr>
          <w:rFonts w:hint="eastAsia" w:ascii="" w:hAnsi="" w:eastAsia="" w:cs=""/>
          <w:i w:val="false"/>
          <w:strike w:val="false"/>
          <w:color w:val="1A1A1A"/>
          <w:sz w:val="28"/>
          <w:u w:val="none"/>
        </w:rPr>
      </w:pPr>
      <w:r>
        <w:rPr>
          <w:rFonts w:ascii="" w:hAnsi="" w:eastAsia="" w:cs=""/>
          <w:b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差的理由：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“A 效果最好，B 其次，C 最差。”（只是复述名次，没有说差异）</w:t>
      </w:r>
    </w:p>
    <w:p>
      <w:pPr>
        <w:pStyle w:val="671375"/>
        <w:numPr/>
        <w:pBdr/>
        <w:snapToGrid w:val="false"/>
        <w:spacing w:before="0" w:after="0" w:line="408"/>
        <w:ind w:left="0" w:right="0"/>
        <w:rPr>
          <w:rFonts w:ascii="Arial Unicode MS" w:hAnsi="Arial Unicode MS" w:eastAsia="Arial Unicode MS" w:cs="Arial Unicode MS"/>
          <w:i w:val="false"/>
          <w:strike w:val="false"/>
          <w:color w:val="1A1A1A"/>
          <w:sz w:val="28"/>
          <w:u w:val="none"/>
        </w:rPr>
      </w:pPr>
      <w:r>
        <w:rPr>
          <w:rFonts w:hint="eastAsia" w:ascii="Arial Unicode MS" w:hAnsi="Arial Unicode MS" w:eastAsia="Arial Unicode MS" w:cs="Arial Unicode MS"/>
          <w:i w:val="false"/>
          <w:strike w:val="false"/>
          <w:color w:val="1A1A1A"/>
          <w:sz w:val="28"/>
          <w:u w:val="none"/>
        </w:rPr>
        <w:t>3.4</w:t>
      </w:r>
      <w:r>
        <w:rPr>
          <w:rFonts w:ascii="Arial Unicode MS" w:hAnsi="Arial Unicode MS" w:eastAsia="Arial Unicode MS" w:cs="Arial Unicode MS"/>
          <w:i w:val="false"/>
          <w:strike w:val="false"/>
          <w:color w:val="1A1A1A"/>
          <w:sz w:val="28"/>
          <w:u w:val="none"/>
        </w:rPr>
        <w:t xml:space="preserve"> 洞察怎么写</w:t>
      </w:r>
    </w:p>
    <w:p>
      <w:pPr>
        <w:pStyle w:val="ablt93"/>
        <w:numPr/>
        <w:snapToGrid w:val="false"/>
        <w:spacing w:before="0" w:after="0" w:line="408"/>
        <w:ind w:left="0" w:right="0"/>
        <w:rPr>
          <w:b/>
        </w:rPr>
      </w:pPr>
      <w:r>
        <w:rPr>
          <w:rFonts w:hint="eastAsia"/>
          <w:b/>
        </w:rPr>
        <w:t>主要写两个维度：</w:t>
      </w:r>
    </w:p>
    <w:p>
      <w:pPr>
        <w:numPr/>
        <w:snapToGrid/>
        <w:spacing w:line="240"/>
        <w:ind w:left="0"/>
        <w:rPr/>
      </w:pPr>
      <w:r>
        <w:rPr>
          <w:b/>
          <w:i w:val="false"/>
          <w:strike w:val="false"/>
          <w:spacing w:val="0"/>
          <w:u w:val="none"/>
        </w:rPr>
        <w:t>●最大模型差异：哪个环节真正拉开差距；</w:t>
      </w:r>
    </w:p>
    <w:p>
      <w:pPr>
        <w:numPr/>
        <w:pBdr/>
        <w:snapToGrid/>
        <w:spacing w:before="60" w:after="60" w:line="312"/>
        <w:ind w:left="0" w:right="0"/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</w:pPr>
      <w:r>
        <w:rPr>
          <w:b/>
          <w:i w:val="false"/>
          <w:strike w:val="false"/>
          <w:spacing w:val="0"/>
          <w:u w:val="none"/>
        </w:rPr>
        <w:t>●能力边界Insight：当前AI在这类任务上已经能做什么、哪些还需要人纠正才能做对。</w:t>
      </w:r>
    </w:p>
    <w:p>
      <w:pPr>
        <w:numPr/>
        <w:snapToGrid/>
        <w:spacing w:before="60" w:after="60" w:line="312"/>
        <w:ind w:left="0" w:right="0"/>
        <w:rPr>
          <w:rFonts w:ascii="" w:hAnsi="" w:eastAsia="" w:cs="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好的洞察：</w:t>
      </w:r>
      <w:r>
        <w:rPr>
          <w:rFonts w:ascii="" w:hAnsi="" w:eastAsia="" w:cs="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“多数模型能画出立体建筑，但道路、车辆和行人的朝向没有跟着同一套等距轴线走；这题的共性问题不是缺元素，而是透视没统一。”</w:t>
      </w:r>
    </w:p>
    <w:p>
      <w:pPr>
        <w:numPr/>
        <w:pBdr/>
        <w:snapToGrid/>
        <w:spacing w:before="60" w:after="60" w:line="312"/>
        <w:ind w:left="0" w:right="0"/>
        <w:rPr>
          <w:rFonts w:ascii="" w:hAnsi="" w:eastAsia="" w:cs="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</w:pPr>
      <w:r>
        <w:rPr>
          <w:rFonts w:ascii="" w:hAnsi="" w:eastAsia="" w:cs=""/>
          <w:b/>
          <w:i w:val="false"/>
          <w:strike w:val="false"/>
          <w:color w:val="333333"/>
          <w:sz w:val="22"/>
          <w:u w:val="none"/>
        </w:rPr>
        <w:t>差的洞察：</w:t>
      </w:r>
      <w:r>
        <w:rPr>
          <w:rFonts w:ascii="" w:hAnsi="" w:eastAsia="" w:cs="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“A 的视觉最好，C 漏了行人。”</w:t>
      </w:r>
    </w:p>
    <w:p>
      <w:pPr>
        <w:numPr/>
        <w:pBdr/>
        <w:snapToGrid/>
        <w:spacing w:before="60" w:after="60" w:line="312"/>
        <w:ind w:left="0" w:right="0"/>
        <w:rPr>
          <w:rFonts w:ascii="" w:hAnsi="" w:eastAsia="" w:cs=""/>
        </w:rPr>
      </w:pPr>
    </w:p>
    <w:p>
      <w:pPr>
        <w:numPr/>
        <w:pBdr>
          <w:bottom/>
        </w:pBdr>
        <w:snapToGrid/>
        <w:spacing w:before="60" w:after="60" w:line="312"/>
        <w:ind w:left="0" w:right="0"/>
        <w:rPr>
          <w:rFonts w:ascii="" w:hAnsi="" w:eastAsia="" w:cs=""/>
          <w:b/>
        </w:rPr>
      </w:pPr>
      <w:r>
        <w:rPr>
          <w:rFonts w:hint="eastAsia" w:ascii="" w:hAnsi="" w:eastAsia="" w:cs=""/>
          <w:b/>
        </w:rPr>
        <w:t>后续给每个模型打完各个维度的分数后，接着修改洞察，补充一些新的见解。</w:t>
      </w:r>
    </w:p>
    <w:p>
      <w:pPr>
        <w:numPr/>
        <w:pBdr/>
        <w:snapToGrid/>
        <w:spacing w:before="60" w:after="60" w:line="312"/>
        <w:ind w:left="0"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</w:p>
    <w:p>
      <w:pPr>
        <w:pStyle w:val="giepc1"/>
        <w:numPr/>
        <w:ind/>
        <w:rPr/>
      </w:pPr>
      <w:r>
        <w:rPr/>
        <w:t xml:space="preserve">四、Pointwise 多维度评分 </w:t>
      </w:r>
    </w:p>
    <w:p>
      <w:pPr>
        <w:numPr/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Pointwise 评分采用 </w:t>
      </w:r>
      <w:r>
        <w:rPr>
          <w:b/>
          <w:i w:val="false"/>
          <w:strike w:val="false"/>
          <w:color w:val="000000"/>
          <w:u w:val="none"/>
        </w:rPr>
        <w:t>“通用基础维度 + 场景专属维度”</w:t>
      </w:r>
      <w:r>
        <w:rPr>
          <w:i w:val="false"/>
          <w:strike w:val="false"/>
          <w:color w:val="000000"/>
          <w:u w:val="none"/>
        </w:rPr>
        <w:t xml:space="preserve"> 的模式：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通用基础维度</w:t>
      </w:r>
      <w:r>
        <w:rPr>
          <w:i w:val="false"/>
          <w:strike w:val="false"/>
          <w:color w:val="000000"/>
          <w:u w:val="none"/>
        </w:rPr>
        <w:t>适用于所有一/二级分类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场景专属维度</w:t>
      </w:r>
      <w:r>
        <w:rPr>
          <w:i w:val="false"/>
          <w:strike w:val="false"/>
          <w:color w:val="000000"/>
          <w:u w:val="none"/>
        </w:rPr>
        <w:t>根据二级分类增减</w:t>
      </w:r>
    </w:p>
    <w:p>
      <w:pPr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1fq42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特别注意！！！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各个维度介绍：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</w:rPr>
                          <w:t>“指令与约束遵循”</w:t>
                        </w:r>
                        <w:r>
                          <w:rPr>
                            <w:rFonts w:hint="eastAsia"/>
                          </w:rPr>
                          <w:t>评估是否有“照做需求”，漏了一些要求没实现在这里扣分。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pBdr/>
                          <w:ind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多轮题目对前文要求的遗忘也是这个维度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</w:rPr>
                          <w:t>“</w:t>
                        </w:r>
                        <w:r>
                          <w:rPr>
                            <w:b/>
                            <w:i w:val="false"/>
                            <w:strike w:val="false"/>
                            <w:spacing w:val="0"/>
                            <w:u w:val="none"/>
                          </w:rPr>
                          <w:t>功能交付完整性</w:t>
                        </w:r>
                        <w:r>
                          <w:rPr>
                            <w:rFonts w:hint="eastAsia"/>
                            <w:b/>
                            <w:i w:val="false"/>
                            <w:strike w:val="false"/>
                            <w:spacing w:val="0"/>
                            <w:u w:val="none"/>
                          </w:rPr>
                          <w:t>”</w:t>
                        </w:r>
                        <w:r>
                          <w:rPr>
                            <w:rFonts w:hint="eastAsia"/>
                          </w:rPr>
                          <w:t>衡量了模型该轮产出的结果在已有的功能上是否有bug，bug程度有多大（目前只评最终轮，所以看最终产物）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</w:rPr>
                          <w:t>“任务收敛效率”</w:t>
                        </w:r>
                        <w:r>
                          <w:rPr>
                            <w:rFonts w:hint="eastAsia"/>
                          </w:rPr>
                          <w:t>考虑多轮整体debug的效果（多少轮能debug，有没有引入新问题等），是对整个session的过程表现评分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  <w:shd w:val="clear" w:color="auto" w:fill="FFFF00"/>
                          </w:rPr>
                          <w:t>不考虑模型调用资源失败导致的原因</w:t>
                        </w:r>
                        <w:r>
                          <w:rPr>
                            <w:rFonts w:hint="eastAsia"/>
                          </w:rPr>
                          <w:t>，主要关注debug效率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</w:rPr>
                          <w:t>“视觉审美”</w:t>
                        </w:r>
                        <w:r>
                          <w:rPr>
                            <w:rFonts w:hint="eastAsia"/>
                          </w:rPr>
                          <w:t>是带前端页面（包括全栈、多端开发）的页面美观度打分，包括物体建模、颜色、动效等等。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>需要和功能剥离看待，功能好，画面可能粗糙，反之亦然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</w:rPr>
                          <w:t>“需求理解与澄清”</w:t>
                        </w:r>
                        <w:r>
                          <w:rPr>
                            <w:rFonts w:hint="eastAsia"/>
                          </w:rPr>
                          <w:t>，仅适用于模糊需求型，需要模型先定方向的题，主要关注模型首轮的提问质量。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</w:rPr>
                          <w:t>目前没有后端题，暂不考虑架构合理性。</w:t>
                        </w:r>
                      </w:p>
                      <w:p>
                        <w:pPr>
                          <w:numPr/>
                          <w:pBdr/>
                          <w:ind w:left="0"/>
                          <w:rPr>
                            <w:rFonts w:hint="eastAsia"/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最重要的事情：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pBdr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用扣分和加分思维进行打分，</w:t>
                        </w:r>
                        <w:r>
                          <w:rPr>
                            <w:rFonts w:hint="eastAsia"/>
                            <w:shd w:val="clear" w:color="auto" w:fill="FFFF00"/>
                          </w:rPr>
                          <w:t>可用的标准是3分，如果达到验收标准就是3分，如果超过预期就加分，如果低于预期就扣分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</w:rPr>
                          <w:t>不要情绪化打分，</w:t>
                        </w:r>
                        <w:r>
                          <w:rPr>
                            <w:rFonts w:hint="eastAsia"/>
                          </w:rPr>
                          <w:t>不要debug几轮之后就全部给0分，给0分一定要谨慎。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pBdr/>
                          <w:ind/>
                          <w:rPr>
                            <w:b/>
                            <w:shd w:val="clear" w:color="auto" w:fill="FFFF00"/>
                          </w:rPr>
                        </w:pPr>
                        <w:r>
                          <w:rPr>
                            <w:rFonts w:hint="eastAsia"/>
                            <w:b/>
                            <w:shd w:val="clear" w:color="auto" w:fill="FFFF00"/>
                          </w:rPr>
                          <w:t>不是3分的都要给出扣分和加分依据</w:t>
                        </w:r>
                      </w:p>
                      <w:p>
                        <w:pPr>
                          <w:numPr>
                            <w:ilvl w:val="1"/>
                            <w:numId w:val="11"/>
                          </w:numPr>
                          <w:pBdr/>
                          <w:ind/>
                          <w:rPr/>
                        </w:pPr>
                        <w:r>
                          <w:rPr>
                            <w:rFonts w:hint="eastAsia"/>
                          </w:rPr>
                          <w:t>在cons和pros里说清楚</w:t>
                        </w:r>
                      </w:p>
                      <w:p>
                        <w:pPr>
                          <w:numPr>
                            <w:ilvl w:val="1"/>
                            <w:numId w:val="11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给了1.5分，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【</w:t>
                        </w:r>
                        <w:r>
                          <w:rPr>
                            <w:rFonts w:ascii="PingFang SC" w:hAnsi="PingFang SC" w:eastAsia="PingFang SC" w:cs="PingFang SC"/>
                            <w:b/>
                            <w:i w:val="false"/>
                            <w:strike w:val="false"/>
                            <w:color w:val="333333"/>
                            <w:spacing w:val="0"/>
                            <w:sz w:val="20"/>
                            <w:u w:val="none"/>
                            <w:shd w:val="clear" w:color="auto" w:fill="auto"/>
                          </w:rPr>
                          <w:t>任务完成度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】扩展点找对了，但最终交付仍不完整：既有测试因配置兼容报错，新测试数据不全、分裂守恒测试未真实断线；分裂后运力未合理分到子网；配置字段未贯通对局链路，多轮 Debug 后仍未验收通过。</w:t>
                        </w:r>
                      </w:p>
                      <w:p>
                        <w:pPr>
                          <w:numPr>
                            <w:ilvl w:val="1"/>
                            <w:numId w:val="11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给了0.5分，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【任务收敛效率】能围绕原结构连续打补丁，但根因定位和验证闭环弱；测试兼容、真实断线、配置生效同一批问题反复出现，五次 Debug 仍未收敛。</w:t>
                        </w:r>
                      </w:p>
                      <w:p>
                        <w:pPr>
                          <w:numPr>
                            <w:ilvl w:val="1"/>
                            <w:numId w:val="11"/>
                          </w:numPr>
                          <w:pBdr>
                            <w:bottom/>
                          </w:pBdr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可以参照：</w:t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fldChar w:fldCharType="begin"/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instrText xml:space="preserve">HYPERLINK https://vce.tlabel.woa.com/#/session/FE-022?vid=v-v24 normalLink \tdkey byvq2z \tdfe -10 \tdfn https%3A//vce.tlabel.woa.com/%23/session/FE-022%3Fvid%3Dv-v24 \tdfu https://vce.tlabel.woa.com/#/session/FE-022?vid=v-v24 \tdlt inline </w:instrText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fldChar w:fldCharType="separate"/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t>https://vce.tlabel.woa.com/#/session/FE-022?vid=v-v24</w:t>
                        </w:r>
                        <w:r>
                          <w:rPr>
                            <w:rStyle w:val="svv7xy"/>
                            <w:color/>
                            <w:shd w:val="clear" w:color="auto" w:fill="auto"/>
                          </w:rPr>
                          <w:fldChar w:fldCharType="end"/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giepc1"/>
        <w:numPr>
          <w:ilvl w:val="0"/>
          <w:numId w:val="12"/>
        </w:numPr>
        <w:pBdr/>
        <w:snapToGrid/>
        <w:spacing w:line="408"/>
        <w:ind/>
        <w:rPr/>
      </w:pPr>
      <w:commentRangeStart w:id="0"/>
    </w:p>
    <w:tbl>
      <w:tblPr>
        <w:tblStyle w:val="k6m6yw"/>
        <w:tblLayout w:type="fixed"/>
        <w:tblCellMar>
          <w:top w:w="0" w:type="dxa"/>
          <w:left w:w="113" w:type="dxa"/>
          <w:bottom w:w="0" w:type="dxa"/>
          <w:right w:w="113" w:type="dxa"/>
        </w:tblCellMar>
        <w:tblLook/>
      </w:tblPr>
      <w:tblGrid>
        <w:gridCol w:w="1548"/>
        <w:gridCol w:w="2133"/>
        <w:gridCol w:w="893"/>
        <w:gridCol w:w="3041"/>
        <w:gridCol w:w="2396"/>
        <w:gridCol w:w="2396"/>
        <w:gridCol w:w="2396"/>
        <w:gridCol w:w="2396"/>
      </w:tblGrid>
      <w:tr>
        <w:trPr>
          <w:wBefore/>
          <w:trHeight/>
        </w:trPr>
        <w:tc>
          <w:tcPr>
            <w:tcW w:w="154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评估维度</w:t>
            </w:r>
          </w:p>
        </w:tc>
        <w:tc>
          <w:tcPr>
            <w:tcW w:w="213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333333"/>
                <w:spacing w:val="0"/>
                <w:sz w:val="22"/>
                <w:u w:val="none"/>
              </w:rPr>
              <w:t>评估重点和定义</w:t>
            </w:r>
          </w:p>
        </w:tc>
        <w:tc>
          <w:tcPr>
            <w:tcW w:w="8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是否可N/A</w:t>
            </w:r>
          </w:p>
        </w:tc>
        <w:tc>
          <w:tcPr>
            <w:tcW w:w="304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0分 (完全不可用)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1分 (严重不足)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2分 （可用但有瑕疵)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3分 (达到验收要求)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4分 (高质量且有亮点)</w:t>
            </w:r>
          </w:p>
        </w:tc>
      </w:tr>
      <w:tr>
        <w:trPr>
          <w:wBefore/>
          <w:trHeight/>
        </w:trPr>
        <w:tc>
          <w:tcPr>
            <w:tcW w:w="154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pBdr>
                <w:bottom w:val="thick" w:sz="0"/>
              </w:pBdr>
              <w:snapToGrid/>
              <w:spacing w:before="0" w:after="0" w:line="240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指令与约束遵循</w:t>
            </w:r>
          </w:p>
        </w:tc>
        <w:tc>
          <w:tcPr>
            <w:tcW w:w="213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是否准确落实显性指令、硬性限制和复杂组合约束，不擅自改变任务目标。</w:t>
            </w:r>
          </w:p>
        </w:tc>
        <w:tc>
          <w:tcPr>
            <w:tcW w:w="8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通用维度，不可选N/A</w:t>
            </w:r>
          </w:p>
        </w:tc>
        <w:tc>
          <w:tcPr>
            <w:tcW w:w="304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完全无视核心指令或硬性约束，自作主张（如选错语言/框架），结果南辕北辙。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仅遵循极少部分宏观指令，丢失大量关键约束（如命名规范、API、格式完全失控），需大规模重构。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核心约束基本执行到位，但次要规则有明显违背（如忽略文件结构、混用库），需人工排查修正。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严格遵守所有显性的指令和硬性约束，代码格式规范，不越界、不漏项，表现符合预期。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100%遵守所有约束，在极端复杂的复合指令下展现极强控制力；能主动避开未写明但潜在的冲突点。</w:t>
            </w:r>
          </w:p>
        </w:tc>
      </w:tr>
      <w:tr>
        <w:trPr>
          <w:wBefore/>
          <w:trHeight w:val="2660" w:hRule="atLeast"/>
        </w:trPr>
        <w:tc>
          <w:tcPr>
            <w:tcW w:w="154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pBdr>
                <w:bottom w:val="thick" w:sz="0"/>
              </w:pBdr>
              <w:snapToGrid/>
              <w:spacing w:before="0" w:after="0" w:line="240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功能交付完整性</w:t>
            </w:r>
          </w:p>
        </w:tc>
        <w:tc>
          <w:tcPr>
            <w:tcW w:w="213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关键功能、核心链路是否正常实现，没有bug</w:t>
            </w:r>
          </w:p>
        </w:tc>
        <w:tc>
          <w:tcPr>
            <w:tcW w:w="8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通用维度，不可选N/A</w:t>
            </w:r>
          </w:p>
        </w:tc>
        <w:tc>
          <w:tcPr>
            <w:tcW w:w="304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代码存在严重语法错误，无法编译或运行；前端白屏报错；核心功能一项都未实现。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勉强能跑，但主干链路断裂/存在阻断性Bug；仅实现极</w:t>
            </w:r>
            <w:r>
              <w:rPr>
                <w:rFonts w:ascii="Microsoft YaHei" w:hAnsi="Microsoft YaHei" w:eastAsia="Microsoft YaHei" w:cs="Microsoft YaHei"/>
                <w:i/>
                <w:strike w:val="false"/>
                <w:color w:val="1F1F1F"/>
                <w:spacing w:val="0"/>
                <w:sz w:val="20"/>
                <w:u w:val="none"/>
              </w:rPr>
              <w:t>少部分核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心需求，完全无法投入使用。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主业务跑通，核心功能可用，但存在非关键Bug或缺乏边界条件处理（如遇空数据崩溃），必须人工修补。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核心流程完全闭环，运行流畅无明显Bug，边界处理得当。交付的是可直接运行的完整成品。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功能完美运行无Bug，且在鲁棒性、性能优化或扩展性上有突出表现（如防抖节流、容错机制），体验超预期。</w:t>
            </w:r>
          </w:p>
        </w:tc>
      </w:tr>
      <w:tr>
        <w:trPr>
          <w:wBefore/>
          <w:trHeight/>
        </w:trPr>
        <w:tc>
          <w:tcPr>
            <w:tcW w:w="154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pBdr>
                <w:bottom w:val="thick" w:sz="0"/>
              </w:pBdr>
              <w:snapToGrid/>
              <w:spacing w:before="0" w:after="0" w:line="240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1F1F1F"/>
                <w:spacing w:val="0"/>
                <w:sz w:val="20"/>
                <w:u w:val="none"/>
              </w:rPr>
              <w:t>任务收敛效率</w:t>
            </w:r>
          </w:p>
        </w:tc>
        <w:tc>
          <w:tcPr>
            <w:tcW w:w="213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在任务目标和当前阶段要求已经明确后，模型能否通过实现、验证和修正，使任务高效、稳定地达到可验收状态。重点观察首轮实现基础、每轮有效进展、根因定位、重复犯错、修改范围、回归和最终收敛；轮次仅作参考。</w:t>
            </w:r>
          </w:p>
        </w:tc>
        <w:tc>
          <w:tcPr>
            <w:tcW w:w="8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通用维度，不可选N/A</w:t>
            </w:r>
          </w:p>
        </w:tc>
        <w:tc>
          <w:tcPr>
            <w:tcW w:w="304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>
                <w:ilvl w:val="0"/>
                <w:numId w:val="13"/>
              </w:numPr>
              <w:pBdr/>
              <w:snapToGrid/>
              <w:spacing w:before="0" w:after="0" w:line="276"/>
              <w:ind/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上限为5轮的：达5轮且最终无法修复得0分</w:t>
            </w:r>
          </w:p>
          <w:p>
            <w:pPr>
              <w:numPr>
                <w:ilvl w:val="0"/>
                <w:numId w:val="13"/>
              </w:numPr>
              <w:pBdr/>
              <w:snapToGrid/>
              <w:spacing w:before="0" w:after="0" w:line="276"/>
              <w:ind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上限为3轮的（单轮修bug题目+多轮题）：3轮依然无法交付，得0分</w:t>
              <w:br w:type="textWrapping"/>
            </w:r>
          </w:p>
          <w:p>
            <w:pPr>
              <w:numPr/>
              <w:pBdr/>
              <w:snapToGrid/>
              <w:spacing w:before="0" w:after="0" w:line="276"/>
              <w:ind w:left="0" w:right="0"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如果是多轮题，就算每个轮次的平均debug轮次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>
                <w:ilvl w:val="0"/>
                <w:numId w:val="14"/>
              </w:numPr>
              <w:pBdr/>
              <w:snapToGrid/>
              <w:spacing w:before="0" w:after="0" w:line="276"/>
              <w:ind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上限为5轮的：4轮debug修复后完成得1.5分；4轮未debug完成达5轮但修复完成得1分</w:t>
            </w:r>
          </w:p>
          <w:p>
            <w:pPr>
              <w:numPr>
                <w:ilvl w:val="0"/>
                <w:numId w:val="14"/>
              </w:numPr>
              <w:pBdr/>
              <w:snapToGrid/>
              <w:spacing w:before="0" w:after="0" w:line="276"/>
              <w:ind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上限为3轮的（单轮修bug题目+多轮题）：3轮可交付，得1分</w:t>
              <w:br w:type="textWrapping"/>
            </w:r>
          </w:p>
          <w:p>
            <w:pPr>
              <w:numPr/>
              <w:pBdr/>
              <w:snapToGrid/>
              <w:spacing w:before="0" w:after="0" w:line="276"/>
              <w:ind w:left="0"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br w:type="textWrapping"/>
              <w:t>如果是多轮题，就算每个轮次的平均debug轮次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numPr>
                <w:ilvl w:val="0"/>
                <w:numId w:val="15"/>
              </w:numPr>
              <w:pBdr/>
              <w:snapToGrid/>
              <w:spacing w:before="0" w:after="0" w:line="276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上限为5轮的：用了2轮debug有效修复得2.5分；用了3轮debug修复得2分</w:t>
            </w:r>
            <w:r>
              <w:rPr>
                <w:rFonts w:ascii="" w:hAnsi="" w:eastAsia="" w:cs=""/>
                <w:sz w:val="20"/>
              </w:rPr>
              <w:br w:type="textWrapping"/>
            </w:r>
          </w:p>
          <w:p>
            <w:pPr>
              <w:numPr>
                <w:ilvl w:val="0"/>
                <w:numId w:val="15"/>
              </w:numPr>
              <w:pBdr/>
              <w:snapToGrid/>
              <w:spacing w:before="0" w:after="0" w:line="276"/>
              <w:ind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上限为3轮的（单轮修bug题目+多轮题）：2轮能交付得2分；</w:t>
            </w:r>
          </w:p>
          <w:p>
            <w:pPr>
              <w:numPr/>
              <w:pBdr/>
              <w:snapToGrid/>
              <w:spacing w:before="0" w:after="0" w:line="276"/>
              <w:ind w:left="0" w:right="0"/>
              <w:rPr>
                <w:rFonts w:hint="eastAsia" w:ascii="" w:hAnsi="" w:eastAsia="" w:cs=""/>
                <w:sz w:val="20"/>
              </w:rPr>
            </w:pPr>
          </w:p>
          <w:p>
            <w:pPr>
              <w:numPr/>
              <w:pBdr/>
              <w:snapToGrid/>
              <w:spacing w:before="0" w:after="0" w:line="276"/>
              <w:ind w:left="0" w:right="0"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如果是多轮题，就算每个轮次的平均debug轮次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>
                <w:ilvl w:val="0"/>
                <w:numId w:val="16"/>
              </w:numPr>
              <w:pBdr/>
              <w:snapToGrid/>
              <w:spacing w:before="0" w:after="0" w:line="276"/>
              <w:ind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上限为5轮的：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首轮已形成正确主体，后续只需少量针对性修正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，只需要1轮debug修复</w:t>
            </w:r>
          </w:p>
          <w:p>
            <w:pPr>
              <w:numPr>
                <w:ilvl w:val="0"/>
                <w:numId w:val="16"/>
              </w:numPr>
              <w:pBdr>
                <w:bottom/>
              </w:pBdr>
              <w:snapToGrid/>
              <w:spacing w:before="0" w:after="0" w:line="276"/>
              <w:ind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上限为3轮的（单轮修bug题目+多轮题）</w:t>
            </w:r>
            <w:r>
              <w:rPr>
                <w:rFonts w:hint="eastAsia" w:ascii="" w:hAnsi="" w:eastAsia="" w:cs=""/>
                <w:color w:val="FF0000"/>
                <w:sz w:val="20"/>
              </w:rPr>
              <w:t>1轮能够交付</w:t>
            </w:r>
            <w:r>
              <w:rPr>
                <w:rFonts w:hint="eastAsia" w:ascii="" w:hAnsi="" w:eastAsia="" w:cs=""/>
                <w:sz w:val="20"/>
              </w:rPr>
              <w:t>，如果是多轮题，就算每个轮次的平均debug轮次</w:t>
            </w:r>
            <w:r>
              <w:rPr>
                <w:rFonts w:hint="eastAsia" w:ascii="" w:hAnsi="" w:eastAsia="" w:cs=""/>
                <w:sz w:val="20"/>
              </w:rPr>
              <w:t>（小于等于1轮）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不需要debug，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首轮即形成高质量实现，或遇到问题时能够主动验证、快速定位根因，并以最小必要改动完成修复；整个过程几乎没有无效尝试、重复错误和功能回归，以很低的人工协作成本达到高质量验收。</w:t>
            </w:r>
          </w:p>
        </w:tc>
      </w:tr>
      <w:tr>
        <w:trPr>
          <w:wBefore/>
          <w:trHeight w:val="2660" w:hRule="atLeast"/>
        </w:trPr>
        <w:tc>
          <w:tcPr>
            <w:tcW w:w="154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pBdr>
                <w:bottom w:val="thick" w:sz="0"/>
              </w:pBdr>
              <w:snapToGrid/>
              <w:spacing w:before="0" w:after="0" w:line="240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视觉审美</w:t>
            </w:r>
          </w:p>
        </w:tc>
        <w:tc>
          <w:tcPr>
            <w:tcW w:w="213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前端界面的布局、层级、配色、风格一致性，以及与参考图或主题的匹配程度。</w:t>
            </w:r>
          </w:p>
        </w:tc>
        <w:tc>
          <w:tcPr>
            <w:tcW w:w="8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前端维度，不适用时可选N/A</w:t>
            </w:r>
          </w:p>
        </w:tc>
        <w:tc>
          <w:tcPr>
            <w:tcW w:w="304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页面错乱或样式基本失效，无法正常阅读和使用。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有基础框架，但布局、层级、配色或比例存在严重问题。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核心元素存在，整体可用，但视觉粗糙、模板化或与目标有明显偏差。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排版规整、层级清晰、风格协调，达到正常产品或现代 UI 的预期。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在满足功能和题目风格要求的基础上，视觉设计、细节和交互明显优于普通交付，且不过度装饰。</w:t>
            </w:r>
          </w:p>
        </w:tc>
      </w:tr>
      <w:tr>
        <w:trPr>
          <w:wBefore/>
          <w:trHeight w:val="2660" w:hRule="atLeast"/>
        </w:trPr>
        <w:tc>
          <w:tcPr>
            <w:tcW w:w="154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pBdr>
                <w:bottom w:val="thick" w:sz="0"/>
              </w:pBdr>
              <w:snapToGrid/>
              <w:spacing w:before="0" w:after="0" w:line="240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架构合理性</w:t>
            </w:r>
          </w:p>
        </w:tc>
        <w:tc>
          <w:tcPr>
            <w:tcW w:w="213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模块职责、代码边界、接口与数据契约是否清晰，修改和扩展成本是否可控。</w:t>
            </w:r>
          </w:p>
        </w:tc>
        <w:tc>
          <w:tcPr>
            <w:tcW w:w="8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后端维度，不适用时可选N/A</w:t>
            </w:r>
          </w:p>
        </w:tc>
        <w:tc>
          <w:tcPr>
            <w:tcW w:w="304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逻辑混杂、职责不分，结构无法维护，需要推翻重写。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形式上有文件或分层，但边界严重混乱、重复代码多，修改影响面失控。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基本结构存在，但部分职责越界、契约不一致或扩展成本较高。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分层和模块边界清楚，职责、接口和数据契约合理，修改范围可控。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在不过度设计的前提下，为真实可预见的扩展、错误处理、事务或兼容性提供清晰机制。</w:t>
            </w:r>
          </w:p>
        </w:tc>
      </w:tr>
      <w:tr>
        <w:trPr>
          <w:wBefore/>
          <w:trHeight w:val="6913" w:hRule="atLeast"/>
        </w:trPr>
        <w:tc>
          <w:tcPr>
            <w:tcW w:w="154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pBdr>
                <w:bottom w:val="thick" w:sz="0"/>
              </w:pBdr>
              <w:snapToGrid/>
              <w:spacing w:before="0" w:after="0" w:line="240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需求理解与澄清</w:t>
            </w:r>
          </w:p>
        </w:tc>
        <w:tc>
          <w:tcPr>
            <w:tcW w:w="213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1F1F1F"/>
                <w:spacing w:val="0"/>
                <w:sz w:val="20"/>
                <w:u w:val="none"/>
              </w:rPr>
              <w:t>在开始实施前，模型能否准确理解用户真实意图，识别影响方案和验收结果的关键歧义，并通过必要提问、明确假设或提供选项，使需求达到可执行状态。</w:t>
            </w:r>
          </w:p>
        </w:tc>
        <w:tc>
          <w:tcPr>
            <w:tcW w:w="8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模糊需求维度，不适用时可选N/A</w:t>
            </w:r>
          </w:p>
        </w:tc>
        <w:tc>
          <w:tcPr>
            <w:tcW w:w="304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完全无识别能力。对模糊需求装作清楚，硬猜实现；产物与用户真实意图严重偏离；不主动提任何澄清问题。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有"可能没理解"的意识但不行动。仅写一两句"如果不对请告诉我"敷衍式备注，仍按错误假设硬干；澄清问题缺失或问的是无关紧要的格式细节。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能问问题但不到位。能识别到 1-2 个明显的模糊点并提问，但漏掉关键决策点（业务边界、数据口径、性能要求）；问题颗粒度过粗或过细，未能帮助用户聚焦。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澄清问题准确且必要。能在第 1 轮主动提出 2-4 个真正影响实现的关键问题（覆盖业务边界、技术选型、数据范围等）；对自行假设的部分明确标注"我假设了 X，如不对请告知"。</w:t>
            </w:r>
          </w:p>
        </w:tc>
        <w:tc>
          <w:tcPr>
            <w:tcW w:w="239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5EFF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</w:rPr>
              <w:t>澄清+决策建议。除提问外，给出每个选项的权衡与推荐方案；能识别隐性需求并主动验证（"通常这类场景还需要 Y，是否需要？"），让用户在最少轮次内完成需求收敛。</w:t>
            </w:r>
          </w:p>
        </w:tc>
      </w:tr>
    </w:tbl>
    <w:p>
      <w:pPr>
        <w:pStyle w:val="g7usvp"/>
        <w:numPr/>
        <w:snapToGrid/>
        <w:spacing w:line="408"/>
        <w:ind w:left="0"/>
        <w:rPr/>
      </w:pPr>
    </w:p>
    <w:p>
      <w:pPr>
        <w:pStyle w:val="giepc1"/>
        <w:numPr>
          <w:ilvl w:val="0"/>
          <w:numId w:val="12"/>
        </w:numPr>
        <w:pBdr/>
        <w:snapToGrid/>
        <w:spacing w:line="408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R</w:t>
      </w:r>
      <w:r>
        <w:rPr>
          <w:rFonts w:hint="eastAsia"/>
          <w:i w:val="false"/>
          <w:strike w:val="false"/>
          <w:color w:val="000000"/>
          <w:u w:val="none"/>
        </w:rPr>
        <w:t>ubric</w:t>
      </w:r>
      <w:commentRangeEnd w:id="0"/>
      <w:r>
        <w:rPr/>
        <w:commentReference w:id="0"/>
      </w:r>
    </w:p>
    <w:p>
      <w:pPr>
        <w:pStyle w:val="qgmfxb"/>
        <w:numPr/>
        <w:ind/>
        <w:rPr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/>
        <w:t>Rubric 的数据结构</w:t>
      </w:r>
    </w:p>
    <w:p>
      <w:pPr>
        <w:numPr/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在讨论质量之前，先统一 Rubric 的"数据结构"。</w:t>
      </w:r>
      <w:r>
        <w:rPr>
          <w:rFonts w:hint="eastAsia"/>
          <w:i w:val="false"/>
          <w:strike w:val="false"/>
          <w:color w:val="000000"/>
          <w:u w:val="none"/>
        </w:rPr>
        <w:t>我们建议（其他topic可以参考），</w:t>
      </w:r>
      <w:r>
        <w:rPr>
          <w:i w:val="false"/>
          <w:strike w:val="false"/>
          <w:color w:val="000000"/>
          <w:u w:val="none"/>
        </w:rPr>
        <w:t>每条 Rubric 包含以下字段：</w:t>
      </w:r>
    </w:p>
    <w:tbl>
      <w:tblPr>
        <w:tblStyle w:val="41fjxu"/>
        <w:tblLayout w:type="fixed"/>
        <w:tblLook/>
      </w:tblPr>
      <w:tblGrid>
        <w:gridCol w:w="2470"/>
        <w:gridCol w:w="2693"/>
        <w:gridCol w:w="2496"/>
        <w:gridCol w:w="7607"/>
      </w:tblGrid>
      <w:tr>
        <w:trPr>
          <w:wBefore/>
          <w:trHeight/>
        </w:trPr>
        <w:tc>
          <w:tcPr>
            <w:tcW w:w="2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269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含义</w:t>
            </w:r>
          </w:p>
        </w:tc>
        <w:tc>
          <w:tcPr>
            <w:tcW w:w="24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取值</w:t>
            </w:r>
          </w:p>
        </w:tc>
        <w:tc>
          <w:tcPr>
            <w:tcW w:w="7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Criterion（判定点描述）</w:t>
            </w:r>
          </w:p>
        </w:tc>
        <w:tc>
          <w:tcPr>
            <w:tcW w:w="269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用自然语言描述的判定条件</w:t>
            </w:r>
          </w:p>
        </w:tc>
        <w:tc>
          <w:tcPr>
            <w:tcW w:w="24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自由文本</w:t>
            </w:r>
          </w:p>
        </w:tc>
        <w:tc>
          <w:tcPr>
            <w:tcW w:w="7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必须是Yes/No二元判定句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（建议疑问句，可用陈述句），且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Yes = 得分</w:t>
            </w:r>
          </w:p>
        </w:tc>
      </w:tr>
      <w:tr>
        <w:trPr>
          <w:wBefore/>
          <w:trHeight/>
        </w:trPr>
        <w:tc>
          <w:tcPr>
            <w:tcW w:w="2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Type（类型）</w:t>
            </w:r>
          </w:p>
        </w:tc>
        <w:tc>
          <w:tcPr>
            <w:tcW w:w="269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客观可量化 vs 主观不可量化</w:t>
            </w:r>
          </w:p>
        </w:tc>
        <w:tc>
          <w:tcPr>
            <w:tcW w:w="24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Objective / Subjective</w:t>
            </w:r>
          </w:p>
        </w:tc>
        <w:tc>
          <w:tcPr>
            <w:tcW w:w="7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可以</w:t>
            </w:r>
            <w:r>
              <w:rPr>
                <w:rFonts w:hint="eastAsia"/>
              </w:rPr>
              <w:t>客观</w:t>
            </w:r>
            <w:r>
              <w:rPr>
                <w:rFonts w:hint="eastAsia"/>
              </w:rPr>
              <w:t>判断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需主观</w:t>
            </w:r>
            <w:r>
              <w:rPr>
                <w:rFonts w:hint="eastAsia"/>
              </w:rPr>
              <w:t>判断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审美</w:t>
            </w:r>
            <w:r>
              <w:rPr>
                <w:rFonts w:hint="eastAsia"/>
              </w:rPr>
              <w:t>居多</w:t>
            </w:r>
            <w:r>
              <w:rPr>
                <w:rFonts w:hint="eastAsia"/>
              </w:rPr>
              <w:t>）</w:t>
            </w:r>
          </w:p>
        </w:tc>
      </w:tr>
      <w:tr>
        <w:trPr>
          <w:wBefore/>
          <w:trHeight/>
        </w:trPr>
        <w:tc>
          <w:tcPr>
            <w:tcW w:w="2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Necessity（必要性）</w:t>
            </w:r>
          </w:p>
        </w:tc>
        <w:tc>
          <w:tcPr>
            <w:tcW w:w="269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显性要求 vs 隐性要求</w:t>
            </w:r>
          </w:p>
        </w:tc>
        <w:tc>
          <w:tcPr>
            <w:tcW w:w="24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Explicit / Implicit</w:t>
            </w:r>
          </w:p>
        </w:tc>
        <w:tc>
          <w:tcPr>
            <w:tcW w:w="7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Explicit = 题目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prompt+历史上文等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明确写了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；Implicit = 需要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推理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具体实现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</w:tr>
      <w:tr>
        <w:trPr>
          <w:wBefore/>
          <w:trHeight/>
        </w:trPr>
        <w:tc>
          <w:tcPr>
            <w:tcW w:w="2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Priority（优先级）</w:t>
            </w:r>
          </w:p>
        </w:tc>
        <w:tc>
          <w:tcPr>
            <w:tcW w:w="269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核心底线 vs 锦上添花</w:t>
            </w:r>
          </w:p>
        </w:tc>
        <w:tc>
          <w:tcPr>
            <w:tcW w:w="24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Must have / Nice to have</w:t>
            </w:r>
          </w:p>
        </w:tc>
        <w:tc>
          <w:tcPr>
            <w:tcW w:w="7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/</w:t>
            </w:r>
          </w:p>
        </w:tc>
      </w:tr>
      <w:tr>
        <w:trPr>
          <w:wBefore/>
          <w:trHeight w:val="2270" w:hRule="atLeast"/>
        </w:trPr>
        <w:tc>
          <w:tcPr>
            <w:tcW w:w="2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>Dimension（评测维度）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>（可多选）</w:t>
            </w:r>
          </w:p>
        </w:tc>
        <w:tc>
          <w:tcPr>
            <w:tcW w:w="269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Rubric 对应的能力维度</w:t>
            </w:r>
          </w:p>
        </w:tc>
        <w:tc>
          <w:tcPr>
            <w:tcW w:w="24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见下方维度分类</w:t>
            </w:r>
          </w:p>
        </w:tc>
        <w:tc>
          <w:tcPr>
            <w:tcW w:w="7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 by rubric维度聚合分析模型表现</w:t>
            </w:r>
          </w:p>
        </w:tc>
      </w:tr>
    </w:tbl>
    <w:p>
      <w:pPr>
        <w:pStyle w:val="671375"/>
        <w:numPr/>
        <w:pBdr>
          <w:bottom/>
        </w:pBdr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Dimension 维度分类</w:t>
      </w:r>
    </w:p>
    <w:tbl>
      <w:tblPr>
        <w:tblStyle w:val="41fjxu"/>
        <w:tblLayout w:type="fixed"/>
        <w:tblLook/>
      </w:tblPr>
      <w:tblGrid>
        <w:gridCol w:w="5272"/>
        <w:gridCol w:w="9760"/>
      </w:tblGrid>
      <w:tr>
        <w:trPr>
          <w:wBefore/>
          <w:trHeight/>
        </w:trPr>
        <w:tc>
          <w:tcPr>
            <w:tcW w:w="52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b/>
              </w:rPr>
            </w:pP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9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b/>
              </w:rPr>
            </w:pPr>
            <w:r>
              <w:rPr>
                <w:rFonts w:hint="eastAsia"/>
                <w:b/>
              </w:rPr>
              <w:t>特殊说明</w:t>
            </w:r>
          </w:p>
        </w:tc>
      </w:tr>
      <w:tr>
        <w:trPr>
          <w:wBefore/>
          <w:trHeight w:val="892" w:hRule="atLeast"/>
        </w:trPr>
        <w:tc>
          <w:tcPr>
            <w:tcW w:w="52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b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指令遵循</w:t>
            </w:r>
          </w:p>
        </w:tc>
        <w:tc>
          <w:tcPr>
            <w:tcW w:w="9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是否满足题目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指令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的约束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prompt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明确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禁止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约束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归档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指令遵循</w:t>
            </w:r>
          </w:p>
        </w:tc>
      </w:tr>
      <w:tr>
        <w:trPr>
          <w:wBefore/>
          <w:trHeight/>
        </w:trPr>
        <w:tc>
          <w:tcPr>
            <w:tcW w:w="52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b/>
              </w:rPr>
            </w:pPr>
            <w:r>
              <w:rPr>
                <w:rFonts w:hint="eastAsia"/>
                <w:b/>
              </w:rPr>
              <w:t>功能完整性</w:t>
            </w:r>
          </w:p>
        </w:tc>
        <w:tc>
          <w:tcPr>
            <w:tcW w:w="9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76"/>
              <w:ind w:left="0" w:right="0"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功能、核心链路</w:t>
            </w:r>
          </w:p>
        </w:tc>
      </w:tr>
      <w:tr>
        <w:trPr>
          <w:wBefore/>
          <w:trHeight w:val="1001" w:hRule="atLeast"/>
        </w:trPr>
        <w:tc>
          <w:tcPr>
            <w:tcW w:w="52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b/>
              </w:rPr>
            </w:pPr>
            <w:r>
              <w:rPr>
                <w:rFonts w:hint="eastAsia"/>
                <w:b/>
              </w:rPr>
              <w:t>视觉审美</w:t>
            </w:r>
          </w:p>
        </w:tc>
        <w:tc>
          <w:tcPr>
            <w:tcW w:w="9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非必选</w:t>
            </w:r>
          </w:p>
        </w:tc>
      </w:tr>
    </w:tbl>
    <w:p>
      <w:pPr>
        <w:pStyle w:val="ablt93"/>
        <w:numPr/>
        <w:ind w:left="0"/>
        <w:rPr/>
      </w:pPr>
      <w:r>
        <w:rPr>
          <w:rFonts w:hint="eastAsia"/>
          <w:b/>
          <w:color w:val="FF0000"/>
          <w:sz w:val="26"/>
        </w:rPr>
        <w:t>注意</w:t>
      </w:r>
      <w:r>
        <w:rPr>
          <w:rFonts w:hint="eastAsia"/>
          <w:b/>
          <w:color w:val="FF0000"/>
          <w:sz w:val="26"/>
        </w:rPr>
        <w:t>：</w:t>
      </w:r>
      <w:r>
        <w:rPr>
          <w:rFonts w:hint="eastAsia"/>
          <w:b/>
          <w:color w:val="FF0000"/>
          <w:sz w:val="26"/>
        </w:rPr>
        <w:t>每轮rubric总条数15-30条最好（如题目复杂可超出30条），每个dimension维度对应criterion至少5条</w:t>
      </w:r>
    </w:p>
    <w:p>
      <w:pPr>
        <w:pStyle w:val="qgmfxb"/>
        <w:numPr>
          <w:ilvl w:val="0"/>
          <w:numId w:val="17"/>
        </w:numPr>
        <w:pBdr/>
        <w:rPr>
          <w:rFonts w:hint="eastAsia"/>
        </w:rPr>
      </w:pPr>
      <w:r>
        <w:rPr/>
        <w:t>Rubric</w:t>
      </w:r>
      <w:r>
        <w:rPr>
          <w:rFonts w:hint="eastAsia"/>
        </w:rPr>
        <w:t>与</w:t>
      </w:r>
      <w:r>
        <w:rPr>
          <w:rFonts w:hint="eastAsia"/>
        </w:rPr>
        <w:t>维度</w:t>
      </w:r>
      <w:r>
        <w:rPr>
          <w:rFonts w:hint="eastAsia"/>
        </w:rPr>
        <w:t>分数</w:t>
      </w:r>
      <w:r>
        <w:rPr>
          <w:rFonts w:hint="eastAsia"/>
        </w:rPr>
        <w:t>映射</w:t>
      </w:r>
      <w:r>
        <w:rPr>
          <w:rFonts w:hint="eastAsia"/>
        </w:rPr>
        <w:t>规则</w:t>
      </w:r>
    </w:p>
    <w:p>
      <w:pPr>
        <w:pStyle w:val="g7usvp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两层分工</w:t>
      </w:r>
    </w:p>
    <w:tbl>
      <w:tblPr>
        <w:tblStyle w:val="41fjxu"/>
        <w:tblLayout w:type="fixed"/>
      </w:tblPr>
      <w:tblGrid>
        <w:gridCol w:w="5095"/>
        <w:gridCol w:w="9385"/>
      </w:tblGrid>
      <w:tr>
        <w:trPr>
          <w:trHeight w:val="457" w:hRule="atLeast"/>
        </w:trPr>
        <w:tc>
          <w:tcPr>
            <w:tcW w:w="5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层</w:t>
            </w:r>
          </w:p>
        </w:tc>
        <w:tc>
          <w:tcPr>
            <w:tcW w:w="93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输出</w:t>
            </w:r>
          </w:p>
        </w:tc>
      </w:tr>
      <w:tr>
        <w:trPr/>
        <w:tc>
          <w:tcPr>
            <w:tcW w:w="5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判定层</w:t>
            </w:r>
          </w:p>
        </w:tc>
        <w:tc>
          <w:tcPr>
            <w:tcW w:w="93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每条 criterion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判断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，</w:t>
            </w:r>
            <w:r>
              <w:rPr>
                <w:b/>
                <w:i w:val="false"/>
                <w:strike w:val="false"/>
                <w:color w:val="FF0000"/>
                <w:u w:val="none"/>
              </w:rPr>
              <w:t>单条判定只允许二值（通过 / 不通过），不给部分分；</w:t>
            </w:r>
          </w:p>
        </w:tc>
      </w:tr>
      <w:tr>
        <w:trPr>
          <w:trHeight w:val="2202" w:hRule="atLeast"/>
        </w:trPr>
        <w:tc>
          <w:tcPr>
            <w:tcW w:w="5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计分层</w:t>
            </w:r>
          </w:p>
        </w:tc>
        <w:tc>
          <w:tcPr>
            <w:tcW w:w="93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pBdr/>
              <w:snapToGrid/>
              <w:spacing w:before="0" w:after="0" w:line="240"/>
              <w:ind/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由通过条数计算维度分，取值 0 ~ 4.0，步长 0.5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n      = 该维度总条数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k      = 判定通过的条数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通过率 = k / n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原始分 = 通过率 × 4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维度得分 = 向下取整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原始分</w:t>
            </w:r>
          </w:p>
        </w:tc>
      </w:tr>
    </w:tbl>
    <w:p>
      <w:pPr>
        <w:pStyle w:val="g7usvp"/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计算</w:t>
      </w:r>
      <w:r>
        <w:rPr>
          <w:i w:val="false"/>
          <w:strike w:val="false"/>
          <w:color w:val="000000"/>
          <w:u w:val="none"/>
        </w:rPr>
        <w:t>示例</w:t>
      </w:r>
    </w:p>
    <w:tbl>
      <w:tblPr>
        <w:tblStyle w:val="41fjxu"/>
        <w:tblLayout w:type="fixed"/>
      </w:tblPr>
      <w:tblGrid>
        <w:gridCol w:w="2067"/>
        <w:gridCol w:w="1810"/>
        <w:gridCol w:w="1551"/>
        <w:gridCol w:w="4566"/>
        <w:gridCol w:w="3878"/>
        <w:gridCol w:w="2671"/>
      </w:tblGrid>
      <w:tr>
        <w:trPr>
          <w:trHeight w:val="473" w:hRule="atLeast"/>
        </w:trPr>
        <w:tc>
          <w:tcPr>
            <w:tcW w:w="20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维度</w:t>
            </w:r>
          </w:p>
        </w:tc>
        <w:tc>
          <w:tcPr>
            <w:tcW w:w="18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n</w:t>
            </w:r>
          </w:p>
        </w:tc>
        <w:tc>
          <w:tcPr>
            <w:tcW w:w="15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k</w:t>
            </w:r>
          </w:p>
        </w:tc>
        <w:tc>
          <w:tcPr>
            <w:tcW w:w="456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通过率</w:t>
            </w:r>
          </w:p>
        </w:tc>
        <w:tc>
          <w:tcPr>
            <w:tcW w:w="387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原始分</w:t>
            </w:r>
          </w:p>
        </w:tc>
        <w:tc>
          <w:tcPr>
            <w:tcW w:w="267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向下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取整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得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维度得分</w:t>
            </w:r>
          </w:p>
        </w:tc>
      </w:tr>
      <w:tr>
        <w:trPr>
          <w:trHeight w:val="473" w:hRule="atLeast"/>
        </w:trPr>
        <w:tc>
          <w:tcPr>
            <w:tcW w:w="20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视觉审美</w:t>
            </w:r>
          </w:p>
        </w:tc>
        <w:tc>
          <w:tcPr>
            <w:tcW w:w="18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8</w:t>
            </w:r>
          </w:p>
        </w:tc>
        <w:tc>
          <w:tcPr>
            <w:tcW w:w="15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4</w:t>
            </w:r>
          </w:p>
        </w:tc>
        <w:tc>
          <w:tcPr>
            <w:tcW w:w="456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4/8 = 0.500</w:t>
            </w:r>
          </w:p>
        </w:tc>
        <w:tc>
          <w:tcPr>
            <w:tcW w:w="387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0.5 × 4 =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2.0</w:t>
            </w:r>
          </w:p>
        </w:tc>
        <w:tc>
          <w:tcPr>
            <w:tcW w:w="267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2.0</w:t>
            </w:r>
          </w:p>
        </w:tc>
      </w:tr>
      <w:tr>
        <w:trPr>
          <w:trHeight w:val="579" w:hRule="atLeast"/>
        </w:trPr>
        <w:tc>
          <w:tcPr>
            <w:tcW w:w="20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功能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完整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性</w:t>
            </w:r>
          </w:p>
        </w:tc>
        <w:tc>
          <w:tcPr>
            <w:tcW w:w="18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25</w:t>
            </w:r>
          </w:p>
        </w:tc>
        <w:tc>
          <w:tcPr>
            <w:tcW w:w="15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19</w:t>
            </w:r>
          </w:p>
        </w:tc>
        <w:tc>
          <w:tcPr>
            <w:tcW w:w="456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19/25 = 0.760</w:t>
            </w:r>
          </w:p>
        </w:tc>
        <w:tc>
          <w:tcPr>
            <w:tcW w:w="387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0.76 × 4 =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3.04</w:t>
            </w:r>
          </w:p>
        </w:tc>
        <w:tc>
          <w:tcPr>
            <w:tcW w:w="267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3.0</w:t>
            </w:r>
          </w:p>
        </w:tc>
      </w:tr>
    </w:tbl>
    <w:p>
      <w:pPr>
        <w:pStyle w:val="ablt93"/>
        <w:pBdr/>
        <w:snapToGrid/>
        <w:spacing w:line="408"/>
        <w:rPr/>
      </w:pPr>
    </w:p>
    <w:p>
      <w:pPr>
        <w:pStyle w:val="giepc1"/>
        <w:numPr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六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Vibe Tags 与备注（人评最重要的环节 ⭐）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vh8ho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</w:rPr>
                          <w:t>在平台上是</w:t>
                        </w:r>
                        <w:r>
                          <w:rPr>
                            <w:highlight w:val="yellow"/>
                          </w:rPr>
                          <w:t>pros+cons+stylistic fingerprints</w:t>
                        </w:r>
                        <w:r>
                          <w:rPr>
                            <w:rFonts w:hint="eastAsia"/>
                            <w:highlight w:val="yellow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highlight w:val="yellow"/>
                            <w:shd w:val="clear" w:color="auto" w:fill="auto"/>
                          </w:rPr>
                          <w:t>三个部分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highlight w:val="yellow"/>
                          </w:rPr>
                        </w:pPr>
                        <w:r>
                          <w:rPr>
                            <w:i w:val="false"/>
                            <w:strike w:val="false"/>
                            <w:color w:val="000000"/>
                            <w:highlight w:val="yellow"/>
                            <w:u w:val="none"/>
                          </w:rPr>
                          <w:t>Vibe 标注就是用来记录这种"感受差异"的，是后续做模型特性聚合分析、训练偏好回流、产品决策的</w:t>
                        </w:r>
                        <w:r>
                          <w:rPr>
                            <w:b/>
                            <w:i w:val="false"/>
                            <w:strike w:val="false"/>
                            <w:color w:val="000000"/>
                            <w:highlight w:val="yellow"/>
                            <w:u w:val="none"/>
                          </w:rPr>
                          <w:t>核心信号源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highlight w:val="yellow"/>
                            <w:u w:val="none"/>
                          </w:rPr>
                          <w:t>。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highlight w:val="yellow"/>
                          </w:rPr>
                        </w:pPr>
                        <w:r>
                          <w:rPr>
                            <w:rFonts w:hint="eastAsia"/>
                            <w:highlight w:val="yellow"/>
                          </w:rPr>
                          <w:t>需要写的东西包括</w:t>
                        </w:r>
                      </w:p>
                      <w:p>
                        <w:pPr>
                          <w:numPr>
                            <w:ilvl w:val="1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highlight w:val="yellow"/>
                          </w:rPr>
                        </w:pPr>
                        <w:r>
                          <w:rPr>
                            <w:rFonts w:hint="eastAsia"/>
                            <w:highlight w:val="yellow"/>
                          </w:rPr>
                          <w:t>1）文字反馈里给出上文多维度打分的依据，比如cons里写：</w:t>
                        </w:r>
                      </w:p>
                      <w:p>
                        <w:pPr>
                          <w:numPr>
                            <w:ilvl w:val="2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给了1.5分，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【</w:t>
                        </w:r>
                        <w:r>
                          <w:rPr>
                            <w:rFonts w:ascii="PingFang SC" w:hAnsi="PingFang SC" w:eastAsia="PingFang SC" w:cs="PingFang SC"/>
                            <w:b/>
                            <w:i w:val="false"/>
                            <w:strike w:val="false"/>
                            <w:color w:val="333333"/>
                            <w:spacing w:val="0"/>
                            <w:sz w:val="20"/>
                            <w:u w:val="none"/>
                            <w:shd w:val="clear" w:color="auto" w:fill="auto"/>
                          </w:rPr>
                          <w:t>任务完成度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】扩展点找对了，但最终交付仍不完整：既有测试因配置兼容报错，新测试数据不全、分裂守恒测试未真实断线；分裂后运力未合理分到子网；配置字段未贯通对局链路，多轮 Debug 后仍未验收通过。</w:t>
                        </w:r>
                      </w:p>
                      <w:p>
                        <w:pPr>
                          <w:numPr>
                            <w:ilvl w:val="2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给了0.5分，</w:t>
                        </w: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【任务收敛效率】能围绕原结构连续打补丁，但根因定位和验证闭环弱；测试兼容、真实断线、配置生效同一批问题反复出现，五次 Debug 仍未收敛。</w:t>
                        </w:r>
                      </w:p>
                      <w:p>
                        <w:pPr>
                          <w:numPr>
                            <w:ilvl w:val="1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2）vibe标签选择</w:t>
                        </w:r>
                      </w:p>
                      <w:p>
                        <w:pPr>
                          <w:numPr>
                            <w:ilvl w:val="2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b/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b/>
                            <w:shd w:val="clear" w:color="auto" w:fill="auto"/>
                          </w:rPr>
                          <w:t>从标签中选择该模型最突出的特点，没有不必硬写</w:t>
                        </w:r>
                      </w:p>
                      <w:p>
                        <w:pPr>
                          <w:numPr>
                            <w:ilvl w:val="1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3）文字反馈中补充其他信息</w:t>
                        </w:r>
                      </w:p>
                      <w:p>
                        <w:pPr>
                          <w:numPr>
                            <w:ilvl w:val="2"/>
                            <w:numId w:val="18"/>
                          </w:numPr>
                          <w:pBdr/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不包含在vibe标签和pointwise中的信息</w:t>
                        </w:r>
                      </w:p>
                      <w:p>
                        <w:pPr>
                          <w:numPr>
                            <w:ilvl w:val="2"/>
                            <w:numId w:val="18"/>
                          </w:numPr>
                          <w:pBdr>
                            <w:bottom/>
                          </w:pBdr>
                          <w:snapToGrid/>
                          <w:spacing w:line="312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shd w:val="clear" w:color="auto" w:fill="auto"/>
                          </w:rPr>
                          <w:t>比如在风格中写：习惯调用子agent,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喜欢用 emoji 写 commit message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tabs/>
        <w:kinsoku/>
        <w:wordWrap/>
        <w:autoSpaceDE/>
        <w:autoSpaceDN/>
        <w:snapToGrid/>
        <w:spacing/>
        <w:ind w:left="0"/>
        <w:outlineLvl w:val="9"/>
        <w:rPr/>
      </w:pPr>
      <w:r>
        <w:rPr>
          <w:rFonts w:hint="eastAsia"/>
        </w:rPr>
        <w:t>在平台上进行操作</w:t>
      </w:r>
    </w:p>
    <w:p>
      <w:pPr>
        <w:pStyle w:val="mdjnt8"/>
        <w:numPr/>
        <w:pBdr>
          <w:bottom/>
        </w:pBdr>
        <w:snapToGrid/>
        <w:spacing w:line="408"/>
        <w:ind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760085" cy="9878341"/>
            <wp:effectExtent l="0" t="0" r="0" b="0"/>
            <wp:docPr id="38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987834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 w:val="false"/>
          <w:strike w:val="false"/>
          <w:color w:val="000000"/>
          <w:u w:val="none"/>
        </w:rPr>
        <w:tab/>
      </w:r>
    </w:p>
    <w:p>
      <w:pPr>
        <w:pStyle w:val="mdjnt8"/>
        <w:numPr/>
        <w:ind/>
        <w:rPr/>
      </w:pPr>
      <w:r>
        <w:rPr/>
        <w:t>vibe tags表格</w:t>
      </w:r>
    </w:p>
    <w:p>
      <w:pPr>
        <w:numPr/>
        <w:snapToGrid/>
        <w:spacing w:line="312"/>
        <w:ind w:left="0"/>
        <w:rPr/>
      </w:pPr>
      <w:r>
        <w:rPr>
          <w:rFonts w:hint="eastAsia"/>
        </w:rPr>
        <w:t>总表格如下：</w:t>
      </w:r>
    </w:p>
    <w:tbl>
      <w:tblPr>
        <w:tblStyle w:val="nz1999"/>
        <w:tblLayout w:type="fixed"/>
        <w:tblLook/>
      </w:tblPr>
      <w:tblGrid>
        <w:gridCol w:w="1646"/>
        <w:gridCol w:w="1327"/>
        <w:gridCol w:w="2188"/>
        <w:gridCol w:w="4472"/>
        <w:gridCol w:w="4523"/>
      </w:tblGrid>
      <w:tr>
        <w:trPr>
          <w:wBefore/>
          <w:trHeight w:val="766" w:hRule="atLeast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分类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具体tag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定义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判定信号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架构与组织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模块拆分清晰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多文件项目里能感受到职责划分明显，不是大杂烩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看产物文件树 / 模块名是否自解释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架构与组织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命名一致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全程同一种命名风格，不混用 camelCase / snake_case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文件、变量等可见的取名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工程纪律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单文件也整洁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 HTML / 单文件交付里，函数/类切分得当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浏览器 view-source 大致扫一眼粒度（限单文件题）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工程纪律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错误处理完备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边界 case（空输入、网络失败、非法值）都做了 friendly 处理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故意输入空值、超长字符、断网模拟看反馈是否友好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工程纪律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操作流畅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大量数据 / 复杂动画 / 频繁交互下肉眼无明显卡顿、掉帧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实际拖拽、点击、输入若干次，凭手感判断；不强制开 DevTools Performance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审美在线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配色、间距、字体、留白形成统一风格，主题贴合度也算在内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整体看 30 秒就能感受到设计感；如题目写明主题（赛博朋克 / 工业风 / 节日主题），看 UI 是否真的呼应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微交互细腻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按压反馈、hover 状态、loading 占位都做了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鼠标过元素 / 点按钮 / 等异步看到细节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动效有节奏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动画时长、缓动、触发时机恰到好处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触发若干动画看是否自然不生硬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窗口自适应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不同屏幕尺寸下都不破相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浏览器拉窗口 / 切换设备模拟器，至少看 375 / 768 / 1920 三档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超预期交付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超预期交付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实现了 prompt 没明说、但显著提升体验的功能或细节，包括：识别隐性需求、识别 DP（设坑点）、补充常识级附加功能（撤销 / 复制 / 快捷键   / README 等）、做出 rubric 之外让人"哇"的点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操作完产物后能可数地说出"它多做了哪几件好事"；与其他模型对比有可见差异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多轮收敛与协作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One-Shot 通过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第 1 轮就完整交付，不需要任何修正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直接看是否首轮就 OK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多轮收敛与协作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精准定位修复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 debug 时能直接找到根因，最小改动修复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看每一轮的修改范围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多轮收敛与协作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主动澄清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模糊需求型题目里主动提出关键澄清问题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看模型在第 1 轮是否反问而不是硬猜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多轮收敛与协作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保留上下文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多轮交互时记得之前的约定（命名、技术栈、风格）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多轮后看代码风格是否一致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核心功能缺失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关键功能直接没做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对照 prompt 显性要求逐条核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行为不正确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功能在但行为不对（拖拽失灵、计算错误、状态不同步、点了无响应等）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实际操作复现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边界处理缺失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空输入 / 极值 / 异常输入直接崩或行为离谱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故意输入畸形数据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状态不持久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刷新 / 切换 tab 后状态丢失（prompt 暗示需要持久化时）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刷一次页面看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运行问题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加载缓慢 / 资源臃肿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页面初次加载明显慢，或反复加载相同资源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肉眼判断"打开太久才出内容"；可选开 Network 看请求数 / 总 size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运行问题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操作卡顿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普通操作（拖拽、点击、滚动）下肉眼可感知的卡顿 / 掉帧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实际操作若干次凭手感判断；不强制开 DevTools Performance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运行问题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使用报错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使用过程中 Console 持续刷红字，或 alert / 错误弹窗反复弹出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打开 Console 一眼可见，或操作时频繁被错误提示打断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审美模板化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直接用 Bootstrap / Tailwind 默认配色或常见模板皮，无品牌感、无主题贴合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看一眼就有"这就是套个模板"的感觉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布局错乱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元素重叠、溢出窗口、文字截断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标准 1920×1080 屏幕一眼可见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配色冲突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色彩搭配生硬，前景背景对比不足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关键文字读不清楚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动效失控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动画过度 / 卡顿 / 在错误时机触发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观察至少一次完整交互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视觉与体验缺陷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窗口自适应失败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拉窗口或切换设备尺寸后排版炸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试 375px / 768px / 1920px 三档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需求遵循缺陷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偏离主题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整体方向跑偏，做了别的东西 / 违反硬性限制 / 不顾 prompt 自己加一堆没要求的东西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看产物 30 秒就能识别；对照 prompt 看是否大方向一致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难以 debug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多轮调试中无法定向修复问题，指出问题后模型反复改不对、反复给错误方案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看是否在 5 轮上限内仍未解决同一个 bug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拆东补西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修一个 bug 换出另一个 bug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多轮对比看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遗忘上下文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后面轮次忘了前面定的约定（命名、技术栈、风格）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看是否在多轮间漂移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多轮收敛缺陷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主动放弃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直接说"这个我做不到"或胡乱给个 placeholder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看是否中途交差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技术栈偏好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偏好 Three.js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3D 题倾向用 Three.js 而非纯 Canvas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复杂 3D：正面；简单 2D 也用：负面（杀鸡用牛刀）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技术栈偏好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偏好纯 Canvas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即使有 Three.js 选项也用 Canvas 实现 3D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轻量游戏：正面；复杂 3D：负面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技术栈偏好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偏好现代框架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不指定技术栈时默认套 React / Vue / Svelte 等现代框架 + Tailwind / UnoCSS 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现代化场景：正面；轻量交付：负面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技术栈偏好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偏好原生 JS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不引入框架直接写 vanilla（含纯 HTML / CSS / JS）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单文件交付：正面；复杂应用：负面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技术栈偏好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重度依赖 CDN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一上来就引 jQuery / Bootstrap / Three.js CDN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演示：正面；离线场景：负面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架构与组织风格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单文件原教旨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不管多复杂都塞一个 HTML 里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单文件交付：正面；中大型：负面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架构与组织风格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过度拆分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简单需求拆成 N 个文件 N 层目录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大项目：正面；MVP：负面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UI 风格指纹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偏好质感丰富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大量阴影 / 浮起卡片 / 毛玻璃 / 渐变层叠等"有材质感"的视觉处理（涵盖原 Material Design /   Glassmorphism）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后台系统 / 仪表盘：正面；轻量工具 / 文字密集页：负面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UI 风格指纹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偏好极简留白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大量留白 + 单一强调色 + 细字重 + 极少装饰元素（涵盖原 Apple HIG / 极简主义）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内容展示 / 高端工具：正面；游戏 / 3D 仿真 / 复杂应用：负面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UI 风格指纹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偏好炫技氛围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偏爱霓虹色 / glow 阴影 / 大渐变 / 粒子动效等"视觉冲击"型处理（涵盖原 霓虹/赛博偏好）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游戏 / cyber 主题：正面；专业工具 / 严肃场景：负面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起手式与流程习惯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先列计划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第 1 轮先输出 plan / 拆 step，再写代码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复杂题：正面；简单题：啰嗦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起手式与流程习惯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直接动手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拿到 prompt 直接写代码不寒暄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简单题：正面；复杂题：可能漏需求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多轮交互习惯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偏全量重写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每次修改重写整个文件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小文件：正面；大文件：低效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多轮交互习惯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偏 patch 修改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每次只给 diff / patch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大文件：正面；改动大：晦涩</w:t>
            </w:r>
          </w:p>
        </w:tc>
      </w:tr>
      <w:tr>
        <w:trPr>
          <w:wBefore/>
          <w:trHeight w:val="285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多轮交互习惯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自检后再交付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写完后自己描述测试过程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复杂题：正面；简单题：啰嗦</w:t>
            </w:r>
          </w:p>
        </w:tc>
      </w:tr>
      <w:tr>
        <w:trPr>
          <w:wBefore/>
          <w:trHeight w:val="370" w:hRule="atLeast"/>
        </w:trPr>
        <w:tc>
          <w:tcPr>
            <w:tcW w:w="16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Stylistic Fingerprints</w:t>
            </w:r>
          </w:p>
        </w:tc>
        <w:tc>
          <w:tcPr>
            <w:tcW w:w="13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多轮交互习惯</w:t>
            </w:r>
          </w:p>
        </w:tc>
        <w:tc>
          <w:tcPr>
            <w:tcW w:w="21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等用户喂报错</w:t>
            </w:r>
          </w:p>
        </w:tc>
        <w:tc>
          <w:tcPr>
            <w:tcW w:w="447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不主动跑代码，等用户贴报错才修</w:t>
            </w:r>
          </w:p>
        </w:tc>
        <w:tc>
          <w:tcPr>
            <w:tcW w:w="45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谨慎风格：可接受；高效场景：负面</w:t>
            </w:r>
          </w:p>
        </w:tc>
      </w:tr>
    </w:tbl>
    <w:p>
      <w:pPr>
        <w:numPr/>
        <w:pBdr>
          <w:bottom w:val="thick" w:color="000000" w:sz="8"/>
        </w:pBdr>
        <w:ind w:left="0"/>
        <w:rPr/>
      </w:pPr>
    </w:p>
    <w:p>
      <w:pPr>
        <w:pStyle w:val="giepc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检查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每道题要进行如下检查：</w:t>
      </w:r>
    </w:p>
    <w:p>
      <w:pPr>
        <w:pStyle w:val="ablt93"/>
        <w:numPr>
          <w:ilvl w:val="0"/>
          <w:numId w:val="19"/>
        </w:numPr>
        <w:pBdr/>
        <w:ind/>
        <w:rPr>
          <w:rFonts w:hint="eastAsia"/>
        </w:rPr>
      </w:pPr>
      <w:r>
        <w:rPr>
          <w:rFonts w:hint="eastAsia"/>
        </w:rPr>
        <w:t>排序和总体印象分是否有差异</w:t>
      </w:r>
    </w:p>
    <w:p>
      <w:pPr>
        <w:pStyle w:val="ablt93"/>
        <w:numPr>
          <w:ilvl w:val="0"/>
          <w:numId w:val="19"/>
        </w:numPr>
        <w:pBdr/>
        <w:ind/>
        <w:rPr>
          <w:rFonts w:hint="eastAsia"/>
        </w:rPr>
      </w:pPr>
      <w:r>
        <w:rPr>
          <w:rFonts w:hint="eastAsia"/>
        </w:rPr>
        <w:t>ponitwise各维度的打分是否合理，是否在cons和pros里说清楚打分依据，是否情绪化打分</w:t>
      </w:r>
    </w:p>
    <w:p>
      <w:pPr>
        <w:pStyle w:val="ablt93"/>
        <w:numPr>
          <w:ilvl w:val="1"/>
          <w:numId w:val="19"/>
        </w:numPr>
        <w:pBdr/>
        <w:ind/>
        <w:rPr>
          <w:rFonts w:hint="eastAsia"/>
        </w:rPr>
      </w:pPr>
      <w:r>
        <w:rPr>
          <w:rFonts w:hint="eastAsia"/>
        </w:rPr>
        <w:t>如果和总体印象分趋势完全不符合，主要原因是什么？是否在cons和pros里说清楚理由</w:t>
      </w:r>
    </w:p>
    <w:p>
      <w:pPr>
        <w:pStyle w:val="ablt93"/>
        <w:numPr>
          <w:ilvl w:val="0"/>
          <w:numId w:val="1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给出这个题目的洞察：模型在这个题上的共性和差异点，模型的能力边界</w:t>
      </w:r>
      <w:r>
        <w:rPr>
          <w:rFonts w:hint="eastAsia"/>
        </w:rPr>
        <w:br w:type="textWrapping"/>
      </w:r>
      <w:r>
        <w:rPr>
          <w:rFonts w:hint="eastAsia"/>
        </w:rPr>
        <w:tab/>
      </w:r>
    </w:p>
    <w:p>
      <w:pPr>
        <w:pStyle w:val="giepc1"/>
        <w:numPr/>
        <w:ind/>
        <w:rPr/>
      </w:pPr>
      <w:r>
        <w:rPr/>
        <w:t xml:space="preserve">8. FAQ </w:t>
      </w:r>
      <w:r>
        <w:rPr/>
        <w:fldChar w:fldCharType="begin"/>
      </w:r>
      <w:r>
        <w:rPr/>
        <w:instrText>MENTION_WXWORK at-1786692695990-wozbKqDgAAQ__TkYAZhMWA6q8yzYwP-Q 1688854356574103 1688854356574103 w3_AZcAPwYAAAwCN1KMf2R0CQSOYLD7D \tdkey 12fq6b</w:instrText>
      </w:r>
      <w:r>
        <w:rPr/>
        <w:fldChar w:fldCharType="separate"/>
      </w:r>
      <w:r>
        <w:rPr/>
        <w:t>@jayyjlin(jayyjlin)</w:t>
      </w:r>
      <w:r>
        <w:rPr/>
        <w:fldChar w:fldCharType="end"/>
      </w:r>
    </w:p>
    <w:tbl>
      <w:tblPr>
        <w:tblStyle w:val="nz1999"/>
        <w:tblLayout w:type="fixed"/>
        <w:tblLook/>
      </w:tblPr>
      <w:tblGrid>
        <w:gridCol w:w="8670"/>
        <w:gridCol w:w="10545"/>
      </w:tblGrid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问题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解答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我打开产物白屏了，怎么标 Vibe？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Cons 贴 静态 UI 实现 或 偏离主题，备注写"白屏，Console 报 XX 错"。其他维度可暂跳过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多个模型都用了 Three.js，要不要都贴"偏好 Three.js"？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不贴。指纹的意思是"该模型相对独特的偏好"，所有人都用就不是指纹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Pros 和 Cons 同时贴 主题贴合 和 霓虹色应付，矛盾吗？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不矛盾。可以是"整体主题贴合，但具体配色用霓虹色应付"——但请在备注里说清楚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我看不出技术栈偏好怎么办？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不贴。风格指纹本来就是"特别明显时才贴"，看不出说明该模型在这维度无突出风格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自由备注必填吗？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强烈建议填。即使所有标签都为空，备注里写一句"中规中矩"也比完全空白有用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我想标的现象在标签库里没有怎么办？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 [自定义] 创建，标注完后告诉运营整理，下个版本可能纳入预设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同一个产物 Vibe 标完 30 分钟后怎么改？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重新打开标注 modal，覆盖保存即可。Vibe 没有版本历史</w:t>
            </w:r>
          </w:p>
        </w:tc>
      </w:tr>
      <w:tr>
        <w:trPr>
          <w:wBefore/>
          <w:trHeight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Vibe 备注会用来训练模型吗？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会。所以请用工程师视角写真实感受，不要带情绪 / 玩梗 / 敷衍</w:t>
            </w:r>
          </w:p>
        </w:tc>
      </w:tr>
      <w:tr>
        <w:trPr>
          <w:wBefore/>
          <w:trHeight w:val="1383" w:hRule="atLeast"/>
        </w:trPr>
        <w:tc>
          <w:tcPr>
            <w:tcW w:w="86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风格指纹和 Cons 标签有时候很像（如"重度依赖 CDN" vs “依赖泛滥”），怎么选？</w:t>
            </w:r>
          </w:p>
        </w:tc>
        <w:tc>
          <w:tcPr>
            <w:tcW w:w="10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看场景：该题 prompt 没禁止外部依赖 → 指纹；prompt 明确要求"不引外部依赖"或在敏感场景 → Cons</w:t>
            </w:r>
          </w:p>
        </w:tc>
      </w:tr>
    </w:tbl>
    <w:p>
      <w:pPr>
        <w:numPr/>
        <w:pBdr>
          <w:bottom w:val="thick" w:color="000000" w:sz="8"/>
        </w:pBdr>
        <w:ind w:left="0"/>
        <w:rPr/>
      </w:pPr>
    </w:p>
    <w:p>
      <w:pPr>
        <w:numPr/>
        <w:pBdr>
          <w:bottom/>
        </w:pBdr>
        <w:snapToGrid/>
        <w:spacing w:line="312"/>
        <w:ind w:left="0"/>
        <w:rPr/>
      </w:pPr>
      <w:r>
        <w:rPr>
          <w:i/>
          <w:strike w:val="false"/>
          <w:color w:val="000000"/>
          <w:u w:val="none"/>
        </w:rPr>
        <w:t>Last updated: 2026.0</w:t>
      </w:r>
      <w:r>
        <w:rPr>
          <w:rFonts w:hint="eastAsia"/>
          <w:i/>
          <w:strike w:val="false"/>
          <w:color w:val="000000"/>
          <w:u w:val="none"/>
        </w:rPr>
        <w:t>8</w:t>
      </w:r>
      <w:r>
        <w:rPr>
          <w:i/>
          <w:strike w:val="false"/>
          <w:color w:val="000000"/>
          <w:u w:val="none"/>
        </w:rPr>
        <w:t xml:space="preserve"> · 反馈联系 jay</w:t>
      </w:r>
    </w:p>
    <w:p>
      <w:pPr>
        <w:pStyle w:val="ablt93"/>
        <w:numPr/>
        <w:ind w:left="0"/>
        <w:rPr/>
      </w:pPr>
    </w:p>
    <w:p>
      <w:pPr>
        <w:pStyle w:val="rdbvau"/>
        <w:numPr/>
        <w:ind/>
        <w:jc w:val="left"/>
        <w:rPr/>
      </w:pPr>
    </w:p>
    <w:p>
      <w:pPr>
        <w:pStyle w:val="ablt93"/>
        <w:numPr/>
        <w:ind w:left="0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ziluzou" w:date="2026-09-21T18:05:33Z" w:initials="">
    <w:p>
      <w:pPr>
        <w:rPr/>
      </w:pPr>
      <w:r>
        <w:rPr/>
        <w:t>请注意：新增rubric标注和打分映射规范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3"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">
    <w:lvl w:ilvl="3">
      <w:start w:val="1"/>
      <w:numFmt w:val="chineseCountingThousand"/>
      <w:lvlText w:val="%4、"/>
      <w:lvlJc w:val="left"/>
      <w:pPr>
        <w:ind w:left="178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0">
      <w:start w:val="5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abstractNum w:abstractNumId="10"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</w:abstractNum>
  <w:abstractNum w:abstractNumId="11">
    <w:lvl w:ilvl="0">
      <w:start w:val="4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1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tabs/>
        <w:ind w:left="165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6"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17">
    <w:lvl w:ilvl="5">
      <w:start w:val="1"/>
      <w:numFmt w:val="lowerLetter"/>
      <w:lvlText w:val="%6)"/>
      <w:lvlJc w:val="left"/>
      <w:pPr>
        <w:ind w:left="2536" w:hanging="336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  <w:rPr/>
    </w:lvl>
    <w:lvl w:ilvl="7">
      <w:start w:val="1"/>
      <w:numFmt w:val="decimal"/>
      <w:lvlText w:val="%8、"/>
      <w:lvlJc w:val="left"/>
      <w:pPr>
        <w:ind w:left="3416" w:hanging="336"/>
      </w:pPr>
      <w:rPr/>
    </w:lvl>
    <w:lvl w:ilvl="4">
      <w:start w:val="1"/>
      <w:numFmt w:val="decimal"/>
      <w:lvlText w:val="%5、"/>
      <w:lvlJc w:val="left"/>
      <w:pPr>
        <w:ind w:left="2096" w:hanging="336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  <w:rPr/>
    </w:lvl>
    <w:lvl w:ilvl="0">
      <w:start w:val="2"/>
      <w:numFmt w:val="chineseCountingThousand"/>
      <w:lvlText w:val="%1、"/>
      <w:lvlJc w:val="left"/>
      <w:pPr>
        <w:tabs/>
        <w:ind w:left="462" w:hanging="462"/>
      </w:pPr>
      <w:rPr>
        <w:rFonts w:hint="default" w:ascii="" w:hAnsi="" w:cs=""/>
      </w:rPr>
    </w:lvl>
    <w:lvl w:ilvl="1">
      <w:start w:val="1"/>
      <w:numFmt w:val="decimal"/>
      <w:lvlText w:val="%2、"/>
      <w:lvlJc w:val="left"/>
      <w:pPr>
        <w:ind w:left="776" w:hanging="336"/>
      </w:pPr>
      <w:rPr/>
    </w:lvl>
    <w:lvl w:ilvl="8">
      <w:start w:val="1"/>
      <w:numFmt w:val="lowerLetter"/>
      <w:lvlText w:val="%9)"/>
      <w:lvlJc w:val="left"/>
      <w:pPr>
        <w:ind w:left="3856" w:hanging="336"/>
      </w:pPr>
      <w:rPr/>
    </w:lvl>
  </w:abstractNum>
  <w:abstractNum w:abstractNumId="18">
    <w:lvl w:ilvl="0">
      <w:start w:val="2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1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18">
    <w:abstractNumId w:val="8"/>
  </w:num>
  <w:num w:numId="19">
    <w:abstractNumId w:val="2"/>
  </w:num>
  <w:num w:numId="6">
    <w:abstractNumId w:val="18"/>
  </w:num>
  <w:num w:numId="1">
    <w:abstractNumId w:val="10"/>
  </w:num>
  <w:num w:numId="10">
    <w:abstractNumId w:val="6"/>
  </w:num>
  <w:num w:numId="4">
    <w:abstractNumId w:val="14"/>
  </w:num>
  <w:num w:numId="5">
    <w:abstractNumId w:val="13"/>
  </w:num>
  <w:num w:numId="13">
    <w:abstractNumId w:val="12"/>
  </w:num>
  <w:num w:numId="16">
    <w:abstractNumId w:val="1"/>
  </w:num>
  <w:num w:numId="3">
    <w:abstractNumId w:val="17"/>
  </w:num>
  <w:num w:numId="12">
    <w:abstractNumId w:val="9"/>
  </w:num>
  <w:num w:numId="2">
    <w:abstractNumId w:val="16"/>
  </w:num>
  <w:num w:numId="15">
    <w:abstractNumId w:val="7"/>
  </w:num>
  <w:num w:numId="9">
    <w:abstractNumId w:val="4"/>
  </w:num>
  <w:num w:numId="14">
    <w:abstractNumId w:val="5"/>
  </w:num>
  <w:num w:numId="8">
    <w:abstractNumId w:val="15"/>
  </w:num>
  <w:num w:numId="17">
    <w:abstractNumId w:val="3"/>
  </w:num>
  <w:num w:numId="7">
    <w:abstractNumId w:val="11"/>
  </w:num>
  <w:num w:numId="11">
    <w:abstractNumId w:val="19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symx2p">
    <w:name w:val="Table Grid"/>
    <w:basedOn w:val="8kw5c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ib58i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tjmej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fsb5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i0dpy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ytcw5">
    <w:name w:val="Table Grid"/>
    <w:basedOn w:val="8l17r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vccp7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iseabp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2sf4q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urwxgt">
    <w:name w:val="Table Grid"/>
    <w:basedOn w:val="2wagc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motxi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uaizk">
    <w:name w:val="Table Grid"/>
    <w:basedOn w:val="j4rrb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ljnh9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5v8xpv">
    <w:name w:val="Table Grid"/>
    <w:basedOn w:val="5tpue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2a1j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7usv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l4xl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xihto">
    <w:name w:val="Table Grid"/>
    <w:basedOn w:val="gvjc1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hcjju">
    <w:name w:val="Table Grid"/>
    <w:basedOn w:val="13scy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kfo7j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zc2kxd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zcql4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nz1999">
    <w:name w:val="Table Grid"/>
    <w:basedOn w:val="c2a1j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dauf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9w11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nuw3b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rbne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k5p3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2fza7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m8n6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4sml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66coi">
    <w:name w:val="Table Grid"/>
    <w:basedOn w:val="u7qma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6zj4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syiz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4ve9i">
    <w:name w:val="Table Grid"/>
    <w:basedOn w:val="6k6io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1pw6pb">
    <w:name w:val="Table Grid"/>
    <w:basedOn w:val="38ehb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8veclr">
    <w:name w:val="Table Grid"/>
    <w:basedOn w:val="gg9xy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uzzzk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45e8v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2kyqp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ywpb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xht1v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48kosj">
    <w:name w:val="Table Grid"/>
    <w:basedOn w:val="i0dpy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no58u">
    <w:name w:val="Table Grid"/>
    <w:basedOn w:val="ui77h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isqh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8fhm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bk40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jcfj7h">
    <w:name w:val="Table Grid"/>
    <w:basedOn w:val="zuwb6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hq1l9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y8f9x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wf7zv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pe839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gvjc1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oobm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5kv39">
    <w:name w:val="Table Grid"/>
    <w:basedOn w:val="t5bou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5tpue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jk5z57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w9jrh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1hk7i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100si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2o7oj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ia77p">
    <w:name w:val="Table Grid"/>
    <w:basedOn w:val="xh2ke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rkjna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2x4u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wa9wg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uvhf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aw58y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qo65vz">
    <w:name w:val="Table Grid"/>
    <w:basedOn w:val="uzzzk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mdjnt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oxb6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onotgm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ogxx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51ml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vw0b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dbmmvs">
    <w:name w:val="Table Grid"/>
    <w:basedOn w:val="rkjna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u7qma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72jhl">
    <w:name w:val="Table Grid"/>
    <w:basedOn w:val="dhtrt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ekwj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ashy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i1yapq">
    <w:name w:val="Table Grid"/>
    <w:basedOn w:val="onotgm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fnszs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wqtvr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e455o6">
    <w:name w:val="Table Grid"/>
    <w:basedOn w:val="45e8v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aq05q">
    <w:name w:val="Table Grid"/>
    <w:basedOn w:val="y0j2i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m2c8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jdt2v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77c4z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he8oy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dm4q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h4y4ep">
    <w:name w:val="Table Grid"/>
    <w:basedOn w:val="sa4ru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6iw3f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v6mn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k6m6yw">
    <w:name w:val="Table Grid"/>
    <w:basedOn w:val="npycn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jwte9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sbsbe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38ehb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6g8ed">
    <w:name w:val="Table Grid"/>
    <w:basedOn w:val="fnszs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2wagc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h45p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9v08u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l6ol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nwhpv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jncyip" w:default="true">
    <w:name w:val="Default Paragraph Font"/>
    <w:basedOn w:val=""/>
    <w:next w:val=""/>
    <w:uiPriority w:val="1"/>
    <w:semiHidden/>
    <w:unhideWhenUsed/>
  </w:style>
  <w:style w:type="paragraph" w:styleId="s3yfj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cuv5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uhsr3r">
    <w:name w:val="Table Grid"/>
    <w:basedOn w:val="y070b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y0j2i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250c1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m1a8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vfha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jb6tf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r8e92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paragraph" w:styleId="kozrav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dc0u1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yrcy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w9e08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3dm1e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voj13">
    <w:name w:val="Table Grid"/>
    <w:basedOn w:val="9v08u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gmfxb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8kw5c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7fem8r">
    <w:name w:val="Table Grid"/>
    <w:basedOn w:val="r8e92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q5gb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4rrb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r5j5dl">
    <w:name w:val="Table Grid"/>
    <w:basedOn w:val="d8fhm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hdfs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v9d5o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46cv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ahia1">
    <w:name w:val="Table Grid"/>
    <w:basedOn w:val="sgvsz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kammwk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iqjqk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c6ivd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9mq2y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ivno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12">
    <w:name w:val="Grid Table 1 Light"/>
    <w:pPr>
      <w:numPr/>
      <w:spacing w:after="0" w:line="240" w:lineRule="auto"/>
    </w:pPr>
    <w:rPr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shd/>
    </w:tcPr>
    <w:tblStylePr w:type="lastRow">
      <w:pPr/>
      <w:rPr>
        <w:b/>
        <w:bCs/>
      </w:rPr>
      <w:tcPr>
        <w:tcBorders>
          <w:top w:val="double" w:color="666666" w:themeColor="text1" w:themeTint="99" w:sz="2" w:space="0"/>
        </w:tcBorders>
        <w:shd/>
      </w:tcPr>
    </w:tblStylePr>
    <w:tblStylePr w:type="lastCol">
      <w:pPr/>
      <w:rPr>
        <w:b/>
        <w:bCs/>
      </w:rPr>
      <w:tcPr>
        <w:tcBorders/>
        <w:shd/>
      </w:tcPr>
    </w:tblStylePr>
    <w:tblStylePr w:type="firstCol">
      <w:pPr/>
      <w:rPr>
        <w:b/>
        <w:bCs/>
      </w:rPr>
      <w:tcPr>
        <w:tcBorders/>
        <w:shd w:fill=""/>
      </w:tcPr>
    </w:tblStylePr>
    <w:tblStylePr w:type="firstRow">
      <w:pPr/>
      <w:rPr>
        <w:b/>
        <w:bCs/>
      </w:rPr>
      <w:tcPr>
        <w:tcBorders>
          <w:bottom w:val="single" w:color="666666" w:themeColor="text1" w:themeTint="99" w:sz="12" w:space="0"/>
        </w:tcBorders>
        <w:shd w:fill=""/>
      </w:tcPr>
    </w:tblStylePr>
  </w:style>
  <w:style w:type="paragraph" w:styleId="87z6a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41fjxu">
    <w:name w:val="Table Grid"/>
    <w:basedOn w:val="3dm1e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km5q13">
    <w:name w:val="Table Grid"/>
    <w:basedOn w:val="100si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tw87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wvmi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ifoli6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wsr1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pgx07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ke0c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j67z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py0t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13scy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gvsz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lxvje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gjcg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t5bou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3pz6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p548wa">
    <w:name w:val="Table Grid"/>
    <w:basedOn w:val="wa9wg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lwp3s">
    <w:name w:val="Table Grid"/>
    <w:basedOn w:val="wqtvr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4st9">
    <w:name w:val="Table Grid"/>
    <w:basedOn w:val="aw58y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y070b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xrdu2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eadr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7b2j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truq9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iepc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fxek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zuwb6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zbn4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n48vr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f3i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2nc1hx">
    <w:name w:val="Table Grid"/>
    <w:basedOn w:val="0h5y5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kspzc">
    <w:name w:val="Table Grid"/>
    <w:basedOn w:val="v9d5o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hue5k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0gjau">
    <w:name w:val="Table Grid"/>
    <w:basedOn w:val="pgx07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iturc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7137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1l39h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4g9jn5">
    <w:name w:val="Table Grid"/>
    <w:basedOn w:val="w9e08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7asb2x">
    <w:name w:val="Table Grid"/>
    <w:basedOn w:val="w9jrh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hn45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xh2ke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vv7xy">
    <w:name w:val="Hyperlink"/>
    <w:basedOn w:val="jncyip"/>
    <w:next w:val=""/>
    <w:uiPriority w:val="99"/>
    <w:unhideWhenUsed/>
    <w:rPr>
      <w:color w:val="1E6FFF" w:themeColor="hyperlink"/>
      <w:u w:val="single"/>
    </w:rPr>
  </w:style>
  <w:style w:type="paragraph" w:styleId="pskny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htrt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e2lb9">
    <w:name w:val="Table Grid"/>
    <w:basedOn w:val="c6ivd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seyp5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pqp0gz">
    <w:name w:val="Table Grid"/>
    <w:basedOn w:val="8cuv5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4sr3m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3l0x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yy2cp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bfgg5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mbn7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tbx1my">
    <w:name w:val="Table Grid"/>
    <w:basedOn w:val="n48vr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tvbmd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6bpvu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3xnd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w0dom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9ktjkt">
    <w:name w:val="Table Grid"/>
    <w:basedOn w:val="yuvnh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slmu8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8fhi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c7h9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gg9xy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9q7ts8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8vp3y6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68n5y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7g5nf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lrkwpk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2v53qh">
    <w:name w:val="Table Grid"/>
    <w:basedOn w:val="2fza7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7f9n1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l17r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o1as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mhk7k3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6zfri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sa4ru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v7ks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8qr1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h5y5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2m3eb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mbc1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ui77h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pycn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6k6io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iesau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rjj1a">
    <w:name w:val="Table Grid"/>
    <w:basedOn w:val="8ywpb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xq1qzy">
    <w:name w:val="Table Grid"/>
    <w:basedOn w:val="68n5y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yuvnh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comments" Target="comments.xml" /><Relationship Id="rId15" Type="http://schemas.openxmlformats.org/officeDocument/2006/relationships/image" Target="media/image11.png" /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14" Type="http://schemas.openxmlformats.org/officeDocument/2006/relationships/image" Target="media/image10.jpg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3" Type="http://schemas.openxmlformats.org/officeDocument/2006/relationships/image" Target="media/image9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12" Type="http://schemas.openxmlformats.org/officeDocument/2006/relationships/image" Target="media/image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2026-09-22T16:14:14Z</dcterms:created>
  <dcterms:modified xsi:type="dcterms:W3CDTF">2026-09-22T16:14:14Z</dcterms:modified>
</cp:coreProperties>
</file>