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A26B8" w14:textId="64317732" w:rsidR="0098347F" w:rsidRPr="005D746B" w:rsidRDefault="00235264">
      <w:pPr>
        <w:spacing w:after="160"/>
        <w:jc w:val="center"/>
        <w:rPr>
          <w:rFonts w:hint="eastAsia"/>
        </w:rP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项目启动</w:t>
      </w:r>
      <w:r w:rsidR="005D746B">
        <w:rPr>
          <w:rFonts w:ascii="宋体" w:eastAsia="宋体" w:hAnsi="宋体" w:cs="宋体" w:hint="eastAsia"/>
          <w:b/>
          <w:bCs/>
          <w:color w:val="1F3864"/>
          <w:sz w:val="32"/>
          <w:szCs w:val="32"/>
        </w:rPr>
        <w:t>通知</w:t>
      </w:r>
    </w:p>
    <w:p w14:paraId="5C9C1FC8" w14:textId="77777777" w:rsidR="0098347F" w:rsidRDefault="00235264">
      <w:pPr>
        <w:spacing w:after="80"/>
        <w:jc w:val="center"/>
      </w:pPr>
      <w:r>
        <w:rPr>
          <w:rFonts w:ascii="Arial" w:eastAsia="Arial" w:hAnsi="Arial" w:cs="Arial"/>
          <w:color w:val="2E5496"/>
          <w:sz w:val="24"/>
          <w:szCs w:val="24"/>
        </w:rPr>
        <w:t>肿瘤患者压力性损伤风险预测模型开发项目</w:t>
      </w:r>
    </w:p>
    <w:p w14:paraId="6C7C2BAC" w14:textId="126EF0A7" w:rsidR="0098347F" w:rsidRPr="005D746B" w:rsidRDefault="00235264">
      <w:pPr>
        <w:spacing w:after="360"/>
        <w:jc w:val="center"/>
        <w:rPr>
          <w:rFonts w:hint="eastAsia"/>
        </w:rPr>
      </w:pPr>
      <w:r>
        <w:rPr>
          <w:rFonts w:ascii="Arial" w:eastAsia="Arial" w:hAnsi="Arial" w:cs="Arial"/>
          <w:color w:val="888888"/>
        </w:rPr>
        <w:t>时间：</w:t>
      </w:r>
      <w:r>
        <w:rPr>
          <w:rFonts w:ascii="Arial" w:eastAsia="Arial" w:hAnsi="Arial" w:cs="Arial"/>
          <w:color w:val="888888"/>
        </w:rPr>
        <w:t>_</w:t>
      </w:r>
      <w:r w:rsidR="005D746B">
        <w:rPr>
          <w:rFonts w:ascii="Arial" w:eastAsia="Arial" w:hAnsi="Arial" w:cs="Arial"/>
          <w:color w:val="888888"/>
        </w:rPr>
        <w:t>2026</w:t>
      </w:r>
      <w:r>
        <w:rPr>
          <w:rFonts w:ascii="Arial" w:eastAsia="Arial" w:hAnsi="Arial" w:cs="Arial"/>
          <w:color w:val="888888"/>
        </w:rPr>
        <w:t>___</w:t>
      </w:r>
      <w:r>
        <w:rPr>
          <w:rFonts w:ascii="Arial" w:eastAsia="Arial" w:hAnsi="Arial" w:cs="Arial"/>
          <w:color w:val="888888"/>
        </w:rPr>
        <w:t>年</w:t>
      </w:r>
      <w:r>
        <w:rPr>
          <w:rFonts w:ascii="Arial" w:eastAsia="Arial" w:hAnsi="Arial" w:cs="Arial"/>
          <w:color w:val="888888"/>
        </w:rPr>
        <w:t>__</w:t>
      </w:r>
      <w:r w:rsidR="005D746B">
        <w:rPr>
          <w:rFonts w:ascii="Arial" w:eastAsia="Arial" w:hAnsi="Arial" w:cs="Arial"/>
          <w:color w:val="888888"/>
        </w:rPr>
        <w:t>3</w:t>
      </w:r>
      <w:r>
        <w:rPr>
          <w:rFonts w:ascii="Arial" w:eastAsia="Arial" w:hAnsi="Arial" w:cs="Arial"/>
          <w:color w:val="888888"/>
        </w:rPr>
        <w:t>__</w:t>
      </w:r>
      <w:r>
        <w:rPr>
          <w:rFonts w:ascii="Arial" w:eastAsia="Arial" w:hAnsi="Arial" w:cs="Arial"/>
          <w:color w:val="888888"/>
        </w:rPr>
        <w:t>月</w:t>
      </w:r>
      <w:r>
        <w:rPr>
          <w:rFonts w:ascii="Arial" w:eastAsia="Arial" w:hAnsi="Arial" w:cs="Arial"/>
          <w:color w:val="888888"/>
        </w:rPr>
        <w:t>__</w:t>
      </w:r>
      <w:r w:rsidR="005D746B">
        <w:rPr>
          <w:rFonts w:ascii="Arial" w:eastAsia="Arial" w:hAnsi="Arial" w:cs="Arial"/>
          <w:color w:val="888888"/>
        </w:rPr>
        <w:t>17</w:t>
      </w:r>
      <w:r>
        <w:rPr>
          <w:rFonts w:ascii="Arial" w:eastAsia="Arial" w:hAnsi="Arial" w:cs="Arial"/>
          <w:color w:val="888888"/>
        </w:rPr>
        <w:t>__</w:t>
      </w:r>
      <w:r>
        <w:rPr>
          <w:rFonts w:ascii="Arial" w:eastAsia="Arial" w:hAnsi="Arial" w:cs="Arial"/>
          <w:color w:val="888888"/>
        </w:rPr>
        <w:t>日</w:t>
      </w:r>
    </w:p>
    <w:p w14:paraId="72A45486" w14:textId="77777777" w:rsidR="0098347F" w:rsidRDefault="0098347F">
      <w:pPr>
        <w:pBdr>
          <w:bottom w:val="single" w:sz="3" w:space="1" w:color="CCCCCC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98347F" w14:paraId="096D49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1326F" w14:textId="3EC5ADD6" w:rsidR="0098347F" w:rsidRDefault="005D746B">
            <w:r>
              <w:rPr>
                <w:rFonts w:ascii="宋体" w:eastAsia="宋体" w:hAnsi="宋体" w:cs="宋体" w:hint="eastAsia"/>
                <w:b/>
                <w:bCs/>
                <w:color w:val="333333"/>
              </w:rPr>
              <w:t>通知</w:t>
            </w:r>
            <w:r w:rsidR="00235264">
              <w:rPr>
                <w:rFonts w:ascii="Arial" w:eastAsia="Arial" w:hAnsi="Arial" w:cs="Arial"/>
                <w:b/>
                <w:bCs/>
                <w:color w:val="333333"/>
              </w:rPr>
              <w:t>目标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87C82" w14:textId="77777777" w:rsidR="0098347F" w:rsidRDefault="00235264">
            <w:r>
              <w:rPr>
                <w:rFonts w:ascii="Arial" w:eastAsia="Arial" w:hAnsi="Arial" w:cs="Arial"/>
                <w:color w:val="333333"/>
              </w:rPr>
              <w:t>统一项目理解、确认分工职责、对齐技术方案、建立协作规范</w:t>
            </w:r>
          </w:p>
        </w:tc>
      </w:tr>
    </w:tbl>
    <w:p w14:paraId="40B626F7" w14:textId="77777777" w:rsidR="0098347F" w:rsidRDefault="0098347F">
      <w:pPr>
        <w:spacing w:before="60" w:after="60"/>
      </w:pPr>
    </w:p>
    <w:p w14:paraId="2701A4DE" w14:textId="77777777" w:rsidR="0098347F" w:rsidRDefault="0098347F">
      <w:pPr>
        <w:pBdr>
          <w:bottom w:val="single" w:sz="3" w:space="1" w:color="CCCCCC"/>
        </w:pBdr>
        <w:spacing w:before="120" w:after="120"/>
      </w:pPr>
    </w:p>
    <w:p w14:paraId="051E8D41" w14:textId="77777777" w:rsidR="0098347F" w:rsidRDefault="00235264">
      <w:pPr>
        <w:pStyle w:val="1"/>
        <w:spacing w:before="32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会议议程总</w:t>
      </w:r>
      <w:proofErr w:type="gram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览</w:t>
      </w:r>
      <w:proofErr w:type="gramEnd"/>
    </w:p>
    <w:tbl>
      <w:tblPr>
        <w:tblW w:w="72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4926"/>
      </w:tblGrid>
      <w:tr w:rsidR="005D746B" w14:paraId="2770A589" w14:textId="77777777" w:rsidTr="005D746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D975C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序号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4665D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时长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7AB44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议题</w:t>
            </w:r>
          </w:p>
        </w:tc>
      </w:tr>
      <w:tr w:rsidR="005D746B" w14:paraId="6A030D69" w14:textId="77777777" w:rsidTr="005D746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B4340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FB6DC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10 分钟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6C9C6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项目背景与目标介绍</w:t>
            </w:r>
          </w:p>
        </w:tc>
      </w:tr>
      <w:tr w:rsidR="005D746B" w14:paraId="3CE38D64" w14:textId="77777777" w:rsidTr="005D746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66B9C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AF9D0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20 分钟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E9EF7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数据情况说明与预处理方案讨论</w:t>
            </w:r>
          </w:p>
        </w:tc>
      </w:tr>
      <w:tr w:rsidR="005D746B" w14:paraId="11E1B6E3" w14:textId="77777777" w:rsidTr="005D746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3FAA4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319BB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25 分钟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EDE98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算法方案讲解（逻辑回归 + MLP）</w:t>
            </w:r>
          </w:p>
        </w:tc>
      </w:tr>
      <w:tr w:rsidR="005D746B" w14:paraId="0D8BF1D3" w14:textId="77777777" w:rsidTr="005D746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1E59B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22C32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20 分钟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65F8A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模型评估与部署方案介绍</w:t>
            </w:r>
          </w:p>
        </w:tc>
      </w:tr>
      <w:tr w:rsidR="005D746B" w14:paraId="596F66A5" w14:textId="77777777" w:rsidTr="005D746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8E6D8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CD957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15 分钟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AB585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协作规范确定（文件管理、沟通机制）</w:t>
            </w:r>
          </w:p>
        </w:tc>
      </w:tr>
      <w:tr w:rsidR="005D746B" w14:paraId="264924C2" w14:textId="77777777" w:rsidTr="005D746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1ADEC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9F261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10 分钟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43D32" w14:textId="77777777" w:rsidR="005D746B" w:rsidRDefault="005D746B" w:rsidP="005D746B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问题答疑与行动项确认</w:t>
            </w:r>
          </w:p>
        </w:tc>
      </w:tr>
    </w:tbl>
    <w:p w14:paraId="5F13F201" w14:textId="77777777" w:rsidR="0098347F" w:rsidRDefault="0098347F">
      <w:pPr>
        <w:spacing w:before="60" w:after="60"/>
      </w:pPr>
    </w:p>
    <w:p w14:paraId="1B37EDCD" w14:textId="77777777" w:rsidR="0098347F" w:rsidRDefault="0098347F">
      <w:pPr>
        <w:pBdr>
          <w:bottom w:val="single" w:sz="3" w:space="1" w:color="CCCCCC"/>
        </w:pBdr>
        <w:spacing w:before="120" w:after="120"/>
      </w:pPr>
    </w:p>
    <w:p w14:paraId="4BAA985B" w14:textId="77777777" w:rsidR="0098347F" w:rsidRDefault="00235264">
      <w:pPr>
        <w:pStyle w:val="1"/>
        <w:spacing w:before="32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各议题详细说明</w:t>
      </w:r>
    </w:p>
    <w:p w14:paraId="6AA3AE74" w14:textId="77777777" w:rsidR="0098347F" w:rsidRDefault="00235264">
      <w:pPr>
        <w:pStyle w:val="2"/>
        <w:spacing w:before="240" w:after="120"/>
      </w:pPr>
      <w:r>
        <w:rPr>
          <w:rFonts w:ascii="Arial" w:eastAsia="Arial" w:hAnsi="Arial" w:cs="Arial"/>
          <w:b/>
          <w:bCs/>
          <w:color w:val="2E5496"/>
          <w:sz w:val="24"/>
          <w:szCs w:val="24"/>
        </w:rPr>
        <w:t>议题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 xml:space="preserve"> 1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>：项目背景与目标（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>10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>分钟）</w:t>
      </w:r>
    </w:p>
    <w:p w14:paraId="2468785A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目的：让所有成员对项目整体有统一认知，特别是没有医学背景的成员需要理解业务目标。</w:t>
      </w:r>
    </w:p>
    <w:p w14:paraId="56DDD0DD" w14:textId="77777777" w:rsidR="0098347F" w:rsidRDefault="0098347F">
      <w:pPr>
        <w:spacing w:before="60" w:after="60"/>
      </w:pPr>
    </w:p>
    <w:p w14:paraId="16A282A8" w14:textId="77777777" w:rsidR="0098347F" w:rsidRDefault="00235264">
      <w:pPr>
        <w:spacing w:before="20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讲述要点</w:t>
      </w:r>
    </w:p>
    <w:p w14:paraId="737B2EBC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压力性损伤是肿瘤患者的重要并发症，目前临床缺乏精准的早期预警工具</w:t>
      </w:r>
    </w:p>
    <w:p w14:paraId="57BCDBFB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Braden</w:t>
      </w:r>
      <w:r>
        <w:rPr>
          <w:rFonts w:ascii="Arial" w:eastAsia="Arial" w:hAnsi="Arial" w:cs="Arial"/>
          <w:color w:val="333333"/>
          <w:sz w:val="22"/>
          <w:szCs w:val="22"/>
        </w:rPr>
        <w:t>量表评分将患者分为四个风险等级：无风险（</w:t>
      </w:r>
      <w:r>
        <w:rPr>
          <w:rFonts w:ascii="Arial" w:eastAsia="Arial" w:hAnsi="Arial" w:cs="Arial"/>
          <w:color w:val="333333"/>
          <w:sz w:val="22"/>
          <w:szCs w:val="22"/>
        </w:rPr>
        <w:t>≥19</w:t>
      </w:r>
      <w:r>
        <w:rPr>
          <w:rFonts w:ascii="Arial" w:eastAsia="Arial" w:hAnsi="Arial" w:cs="Arial"/>
          <w:color w:val="333333"/>
          <w:sz w:val="22"/>
          <w:szCs w:val="22"/>
        </w:rPr>
        <w:t>分）、低风险（</w:t>
      </w:r>
      <w:r>
        <w:rPr>
          <w:rFonts w:ascii="Arial" w:eastAsia="Arial" w:hAnsi="Arial" w:cs="Arial"/>
          <w:color w:val="333333"/>
          <w:sz w:val="22"/>
          <w:szCs w:val="22"/>
        </w:rPr>
        <w:t>15-18</w:t>
      </w:r>
      <w:r>
        <w:rPr>
          <w:rFonts w:ascii="Arial" w:eastAsia="Arial" w:hAnsi="Arial" w:cs="Arial"/>
          <w:color w:val="333333"/>
          <w:sz w:val="22"/>
          <w:szCs w:val="22"/>
        </w:rPr>
        <w:t>分）、中风险（</w:t>
      </w:r>
      <w:r>
        <w:rPr>
          <w:rFonts w:ascii="Arial" w:eastAsia="Arial" w:hAnsi="Arial" w:cs="Arial"/>
          <w:color w:val="333333"/>
          <w:sz w:val="22"/>
          <w:szCs w:val="22"/>
        </w:rPr>
        <w:t>13-14</w:t>
      </w:r>
      <w:r>
        <w:rPr>
          <w:rFonts w:ascii="Arial" w:eastAsia="Arial" w:hAnsi="Arial" w:cs="Arial"/>
          <w:color w:val="333333"/>
          <w:sz w:val="22"/>
          <w:szCs w:val="22"/>
        </w:rPr>
        <w:t>分）、高风险（</w:t>
      </w:r>
      <w:r>
        <w:rPr>
          <w:rFonts w:ascii="Arial" w:eastAsia="Arial" w:hAnsi="Arial" w:cs="Arial"/>
          <w:color w:val="333333"/>
          <w:sz w:val="22"/>
          <w:szCs w:val="22"/>
        </w:rPr>
        <w:t>≤12</w:t>
      </w:r>
      <w:r>
        <w:rPr>
          <w:rFonts w:ascii="Arial" w:eastAsia="Arial" w:hAnsi="Arial" w:cs="Arial"/>
          <w:color w:val="333333"/>
          <w:sz w:val="22"/>
          <w:szCs w:val="22"/>
        </w:rPr>
        <w:t>分），这是因变量</w:t>
      </w:r>
      <w:r>
        <w:rPr>
          <w:rFonts w:ascii="Arial" w:eastAsia="Arial" w:hAnsi="Arial" w:cs="Arial"/>
          <w:color w:val="333333"/>
          <w:sz w:val="22"/>
          <w:szCs w:val="22"/>
        </w:rPr>
        <w:t>Y</w:t>
      </w:r>
    </w:p>
    <w:p w14:paraId="0350056D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自变量</w:t>
      </w:r>
      <w:r>
        <w:rPr>
          <w:rFonts w:ascii="Arial" w:eastAsia="Arial" w:hAnsi="Arial" w:cs="Arial"/>
          <w:color w:val="333333"/>
          <w:sz w:val="22"/>
          <w:szCs w:val="22"/>
        </w:rPr>
        <w:t>X</w:t>
      </w:r>
      <w:r>
        <w:rPr>
          <w:rFonts w:ascii="Arial" w:eastAsia="Arial" w:hAnsi="Arial" w:cs="Arial"/>
          <w:color w:val="333333"/>
          <w:sz w:val="22"/>
          <w:szCs w:val="22"/>
        </w:rPr>
        <w:t>包含约</w:t>
      </w:r>
      <w:r>
        <w:rPr>
          <w:rFonts w:ascii="Arial" w:eastAsia="Arial" w:hAnsi="Arial" w:cs="Arial"/>
          <w:color w:val="333333"/>
          <w:sz w:val="22"/>
          <w:szCs w:val="22"/>
        </w:rPr>
        <w:t>20+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个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临床指标，涵盖人口学信息、肿瘤特征、合并症、化验指标四大类</w:t>
      </w:r>
    </w:p>
    <w:p w14:paraId="2FECE6E3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我们的任务是建出能准确预测风险等级的模型，并找出哪些因素影响最大</w:t>
      </w:r>
    </w:p>
    <w:p w14:paraId="2E626677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最终产出供甲方用于论文发表和临床工具落地</w:t>
      </w:r>
      <w:r>
        <w:rPr>
          <w:rFonts w:ascii="Arial" w:eastAsia="Arial" w:hAnsi="Arial" w:cs="Arial"/>
          <w:color w:val="333333"/>
          <w:sz w:val="22"/>
          <w:szCs w:val="22"/>
        </w:rPr>
        <w:t>——</w:t>
      </w:r>
      <w:r>
        <w:rPr>
          <w:rFonts w:ascii="Arial" w:eastAsia="Arial" w:hAnsi="Arial" w:cs="Arial"/>
          <w:color w:val="333333"/>
          <w:sz w:val="22"/>
          <w:szCs w:val="22"/>
        </w:rPr>
        <w:t>因此模型不仅要准，还要可解释、可部署</w:t>
      </w:r>
    </w:p>
    <w:p w14:paraId="10019F1A" w14:textId="77777777" w:rsidR="0098347F" w:rsidRDefault="0098347F">
      <w:pPr>
        <w:spacing w:before="60" w:after="60"/>
      </w:pPr>
    </w:p>
    <w:p w14:paraId="294160F1" w14:textId="77777777" w:rsidR="0098347F" w:rsidRDefault="00235264">
      <w:pPr>
        <w:spacing w:before="20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需要全组理解的关键约束</w:t>
      </w:r>
    </w:p>
    <w:p w14:paraId="4C30D5BE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lastRenderedPageBreak/>
        <w:t>合同明确了三个时间节点：第</w:t>
      </w:r>
      <w:r>
        <w:rPr>
          <w:rFonts w:ascii="Arial" w:eastAsia="Arial" w:hAnsi="Arial" w:cs="Arial"/>
          <w:color w:val="333333"/>
          <w:sz w:val="22"/>
          <w:szCs w:val="22"/>
        </w:rPr>
        <w:t>10</w:t>
      </w:r>
      <w:r>
        <w:rPr>
          <w:rFonts w:ascii="Arial" w:eastAsia="Arial" w:hAnsi="Arial" w:cs="Arial"/>
          <w:color w:val="333333"/>
          <w:sz w:val="22"/>
          <w:szCs w:val="22"/>
        </w:rPr>
        <w:t>日（数据处理）</w:t>
      </w:r>
      <w:r>
        <w:rPr>
          <w:rFonts w:ascii="Arial" w:eastAsia="Arial" w:hAnsi="Arial" w:cs="Arial"/>
          <w:color w:val="333333"/>
          <w:sz w:val="22"/>
          <w:szCs w:val="22"/>
        </w:rPr>
        <w:t>、第</w:t>
      </w:r>
      <w:r>
        <w:rPr>
          <w:rFonts w:ascii="Arial" w:eastAsia="Arial" w:hAnsi="Arial" w:cs="Arial"/>
          <w:color w:val="333333"/>
          <w:sz w:val="22"/>
          <w:szCs w:val="22"/>
        </w:rPr>
        <w:t>90</w:t>
      </w:r>
      <w:r>
        <w:rPr>
          <w:rFonts w:ascii="Arial" w:eastAsia="Arial" w:hAnsi="Arial" w:cs="Arial"/>
          <w:color w:val="333333"/>
          <w:sz w:val="22"/>
          <w:szCs w:val="22"/>
        </w:rPr>
        <w:t>日（模型构建）、第</w:t>
      </w:r>
      <w:r>
        <w:rPr>
          <w:rFonts w:ascii="Arial" w:eastAsia="Arial" w:hAnsi="Arial" w:cs="Arial"/>
          <w:color w:val="333333"/>
          <w:sz w:val="22"/>
          <w:szCs w:val="22"/>
        </w:rPr>
        <w:t>120</w:t>
      </w:r>
      <w:r>
        <w:rPr>
          <w:rFonts w:ascii="Arial" w:eastAsia="Arial" w:hAnsi="Arial" w:cs="Arial"/>
          <w:color w:val="333333"/>
          <w:sz w:val="22"/>
          <w:szCs w:val="22"/>
        </w:rPr>
        <w:t>日（部署工具）</w:t>
      </w:r>
    </w:p>
    <w:p w14:paraId="0884ABD9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这是乙方（我们）对甲方的承诺，不能延误</w:t>
      </w:r>
    </w:p>
    <w:p w14:paraId="64C164CB" w14:textId="77777777" w:rsidR="0098347F" w:rsidRDefault="0098347F">
      <w:pPr>
        <w:spacing w:before="60" w:after="60"/>
      </w:pPr>
    </w:p>
    <w:p w14:paraId="6A44AC17" w14:textId="77777777" w:rsidR="0098347F" w:rsidRDefault="00235264">
      <w:pPr>
        <w:pStyle w:val="2"/>
        <w:spacing w:before="240" w:after="120"/>
      </w:pPr>
      <w:r>
        <w:rPr>
          <w:rFonts w:ascii="Arial" w:eastAsia="Arial" w:hAnsi="Arial" w:cs="Arial"/>
          <w:b/>
          <w:bCs/>
          <w:color w:val="2E5496"/>
          <w:sz w:val="24"/>
          <w:szCs w:val="24"/>
        </w:rPr>
        <w:t>议题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 xml:space="preserve"> 2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>：数据情况说明与预处理方案讨论（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>20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>分钟）</w:t>
      </w:r>
    </w:p>
    <w:p w14:paraId="678AE138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目的：数据处理组向全员汇报数据现状，算法开发组和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部署组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提出需求，三组对齐对数据的期望格式。</w:t>
      </w:r>
    </w:p>
    <w:p w14:paraId="55EF0CA4" w14:textId="77777777" w:rsidR="0098347F" w:rsidRDefault="0098347F">
      <w:pPr>
        <w:spacing w:before="60" w:after="60"/>
      </w:pPr>
    </w:p>
    <w:p w14:paraId="4EC4CD9D" w14:textId="77777777" w:rsidR="0098347F" w:rsidRDefault="00235264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数据处理组需提前</w:t>
      </w:r>
      <w:proofErr w:type="gramEnd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了解并汇报</w:t>
      </w:r>
    </w:p>
    <w:p w14:paraId="6F10D84C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数据维度概况：约</w:t>
      </w:r>
      <w:r>
        <w:rPr>
          <w:rFonts w:ascii="Arial" w:eastAsia="Arial" w:hAnsi="Arial" w:cs="Arial"/>
          <w:color w:val="333333"/>
          <w:sz w:val="22"/>
          <w:szCs w:val="22"/>
        </w:rPr>
        <w:t>10</w:t>
      </w:r>
      <w:r>
        <w:rPr>
          <w:rFonts w:ascii="Arial" w:eastAsia="Arial" w:hAnsi="Arial" w:cs="Arial"/>
          <w:color w:val="333333"/>
          <w:sz w:val="22"/>
          <w:szCs w:val="22"/>
        </w:rPr>
        <w:t>万条样本，因变量</w:t>
      </w:r>
      <w:r>
        <w:rPr>
          <w:rFonts w:ascii="Arial" w:eastAsia="Arial" w:hAnsi="Arial" w:cs="Arial"/>
          <w:color w:val="333333"/>
          <w:sz w:val="22"/>
          <w:szCs w:val="22"/>
        </w:rPr>
        <w:t>1</w:t>
      </w:r>
      <w:r>
        <w:rPr>
          <w:rFonts w:ascii="Arial" w:eastAsia="Arial" w:hAnsi="Arial" w:cs="Arial"/>
          <w:color w:val="333333"/>
          <w:sz w:val="22"/>
          <w:szCs w:val="22"/>
        </w:rPr>
        <w:t>个（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有序四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分类），自变量约</w:t>
      </w:r>
      <w:r>
        <w:rPr>
          <w:rFonts w:ascii="Arial" w:eastAsia="Arial" w:hAnsi="Arial" w:cs="Arial"/>
          <w:color w:val="333333"/>
          <w:sz w:val="22"/>
          <w:szCs w:val="22"/>
        </w:rPr>
        <w:t>20+</w:t>
      </w:r>
      <w:r>
        <w:rPr>
          <w:rFonts w:ascii="Arial" w:eastAsia="Arial" w:hAnsi="Arial" w:cs="Arial"/>
          <w:color w:val="333333"/>
          <w:sz w:val="22"/>
          <w:szCs w:val="22"/>
        </w:rPr>
        <w:t>个</w:t>
      </w:r>
    </w:p>
    <w:p w14:paraId="7446DAC3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数据缺失情况初步判断（收到数据后第一件事）</w:t>
      </w:r>
    </w:p>
    <w:p w14:paraId="5D434E1E" w14:textId="15496ADF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变量类型确认：哪些是连续变量，哪些是二分类，哪些是无序多分类</w:t>
      </w:r>
      <w:r>
        <w:rPr>
          <w:rFonts w:ascii="Arial" w:eastAsia="Arial" w:hAnsi="Arial" w:cs="Arial"/>
          <w:color w:val="333333"/>
          <w:sz w:val="22"/>
          <w:szCs w:val="22"/>
        </w:rPr>
        <w:t>—</w:t>
      </w:r>
      <w:r>
        <w:rPr>
          <w:rFonts w:ascii="Arial" w:eastAsia="Arial" w:hAnsi="Arial" w:cs="Arial"/>
          <w:color w:val="333333"/>
          <w:sz w:val="22"/>
          <w:szCs w:val="22"/>
        </w:rPr>
        <w:t>—</w:t>
      </w:r>
      <w:r w:rsidRPr="005D746B">
        <w:rPr>
          <w:rFonts w:ascii="Arial" w:eastAsia="Arial" w:hAnsi="Arial" w:cs="Arial"/>
          <w:color w:val="333333"/>
          <w:sz w:val="22"/>
          <w:szCs w:val="22"/>
          <w:highlight w:val="yellow"/>
        </w:rPr>
        <w:t>此项需甲方提供变量说明文档</w:t>
      </w:r>
      <w:r w:rsidR="005D746B" w:rsidRPr="005D746B">
        <w:rPr>
          <w:rFonts w:ascii="宋体" w:eastAsia="宋体" w:hAnsi="宋体" w:cs="宋体" w:hint="eastAsia"/>
          <w:color w:val="333333"/>
          <w:sz w:val="22"/>
          <w:szCs w:val="22"/>
          <w:highlight w:val="yellow"/>
        </w:rPr>
        <w:t>（建议）</w:t>
      </w:r>
    </w:p>
    <w:p w14:paraId="7A18C8A9" w14:textId="77777777" w:rsidR="0098347F" w:rsidRDefault="0098347F">
      <w:pPr>
        <w:spacing w:before="60" w:after="60"/>
      </w:pPr>
    </w:p>
    <w:p w14:paraId="23D6ED96" w14:textId="71C46F97" w:rsidR="0098347F" w:rsidRDefault="00235264">
      <w:pPr>
        <w:spacing w:before="20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关键问题</w:t>
      </w:r>
    </w:p>
    <w:p w14:paraId="07656671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异常值处理标准：</w:t>
      </w:r>
    </w:p>
    <w:p w14:paraId="5817B373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仅靠</w:t>
      </w:r>
      <w:r>
        <w:rPr>
          <w:rFonts w:ascii="Arial" w:eastAsia="Arial" w:hAnsi="Arial" w:cs="Arial"/>
          <w:color w:val="333333"/>
          <w:sz w:val="22"/>
          <w:szCs w:val="22"/>
        </w:rPr>
        <w:t>Z</w:t>
      </w:r>
      <w:r>
        <w:rPr>
          <w:rFonts w:ascii="Arial" w:eastAsia="Arial" w:hAnsi="Arial" w:cs="Arial"/>
          <w:color w:val="333333"/>
          <w:sz w:val="22"/>
          <w:szCs w:val="22"/>
        </w:rPr>
        <w:t>分数判断还是引入临床阈值（如</w:t>
      </w:r>
      <w:r>
        <w:rPr>
          <w:rFonts w:ascii="Arial" w:eastAsia="Arial" w:hAnsi="Arial" w:cs="Arial"/>
          <w:color w:val="333333"/>
          <w:sz w:val="22"/>
          <w:szCs w:val="22"/>
        </w:rPr>
        <w:t>BMI &lt; 10</w:t>
      </w:r>
      <w:r>
        <w:rPr>
          <w:rFonts w:ascii="Arial" w:eastAsia="Arial" w:hAnsi="Arial" w:cs="Arial"/>
          <w:color w:val="333333"/>
          <w:sz w:val="22"/>
          <w:szCs w:val="22"/>
        </w:rPr>
        <w:t>或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&gt; 60</w:t>
      </w:r>
      <w:r>
        <w:rPr>
          <w:rFonts w:ascii="Arial" w:eastAsia="Arial" w:hAnsi="Arial" w:cs="Arial"/>
          <w:color w:val="333333"/>
          <w:sz w:val="22"/>
          <w:szCs w:val="22"/>
        </w:rPr>
        <w:t>视为异常）？需要明确规则并记录在案，论文中需要说明。</w:t>
      </w:r>
    </w:p>
    <w:p w14:paraId="204C17AC" w14:textId="77777777" w:rsidR="0098347F" w:rsidRDefault="0098347F">
      <w:pPr>
        <w:spacing w:before="60" w:after="60"/>
      </w:pPr>
    </w:p>
    <w:p w14:paraId="2234F39C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缺失超过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30%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的变量如何处理：</w:t>
      </w:r>
    </w:p>
    <w:p w14:paraId="64725E25" w14:textId="032F0C62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直接剔除还是保留并在结果中注明？这个决策需要算法开发组</w:t>
      </w:r>
      <w:r>
        <w:rPr>
          <w:rFonts w:ascii="Arial" w:eastAsia="Arial" w:hAnsi="Arial" w:cs="Arial"/>
          <w:color w:val="333333"/>
          <w:sz w:val="22"/>
          <w:szCs w:val="22"/>
        </w:rPr>
        <w:t>一起确认。</w:t>
      </w:r>
    </w:p>
    <w:p w14:paraId="12928D4E" w14:textId="77777777" w:rsidR="0098347F" w:rsidRDefault="0098347F">
      <w:pPr>
        <w:spacing w:before="60" w:after="60"/>
      </w:pPr>
    </w:p>
    <w:p w14:paraId="1B43B757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训练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/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测试集比例：</w:t>
      </w:r>
    </w:p>
    <w:p w14:paraId="0FDD3B75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建议</w:t>
      </w:r>
      <w:r>
        <w:rPr>
          <w:rFonts w:ascii="Arial" w:eastAsia="Arial" w:hAnsi="Arial" w:cs="Arial"/>
          <w:color w:val="333333"/>
          <w:sz w:val="22"/>
          <w:szCs w:val="22"/>
        </w:rPr>
        <w:t>7:3</w:t>
      </w:r>
      <w:r>
        <w:rPr>
          <w:rFonts w:ascii="Arial" w:eastAsia="Arial" w:hAnsi="Arial" w:cs="Arial"/>
          <w:color w:val="333333"/>
          <w:sz w:val="22"/>
          <w:szCs w:val="22"/>
        </w:rPr>
        <w:t>，但如果某个风险等级样本量偏少，分层抽样后可能测试集样本不足，需要检查分布后决定。</w:t>
      </w:r>
    </w:p>
    <w:p w14:paraId="353EA97B" w14:textId="77777777" w:rsidR="0098347F" w:rsidRDefault="0098347F">
      <w:pPr>
        <w:spacing w:before="60" w:after="60"/>
      </w:pPr>
    </w:p>
    <w:p w14:paraId="3FF8B371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数据集交付格式：</w:t>
      </w:r>
    </w:p>
    <w:p w14:paraId="4308D523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数据处理组产出哪些文件？建议输出：</w:t>
      </w:r>
      <w:r>
        <w:rPr>
          <w:rFonts w:ascii="Arial" w:eastAsia="Arial" w:hAnsi="Arial" w:cs="Arial"/>
          <w:color w:val="333333"/>
          <w:sz w:val="22"/>
          <w:szCs w:val="22"/>
        </w:rPr>
        <w:t>cleaned_data.csv</w:t>
      </w:r>
      <w:r>
        <w:rPr>
          <w:rFonts w:ascii="Arial" w:eastAsia="Arial" w:hAnsi="Arial" w:cs="Arial"/>
          <w:color w:val="333333"/>
          <w:sz w:val="22"/>
          <w:szCs w:val="22"/>
        </w:rPr>
        <w:t>（清洗后全量）、</w:t>
      </w:r>
      <w:r>
        <w:rPr>
          <w:rFonts w:ascii="Arial" w:eastAsia="Arial" w:hAnsi="Arial" w:cs="Arial"/>
          <w:color w:val="333333"/>
          <w:sz w:val="22"/>
          <w:szCs w:val="22"/>
        </w:rPr>
        <w:t>train.csv</w:t>
      </w:r>
      <w:r>
        <w:rPr>
          <w:rFonts w:ascii="Arial" w:eastAsia="Arial" w:hAnsi="Arial" w:cs="Arial"/>
          <w:color w:val="333333"/>
          <w:sz w:val="22"/>
          <w:szCs w:val="22"/>
        </w:rPr>
        <w:t>、</w:t>
      </w:r>
      <w:r>
        <w:rPr>
          <w:rFonts w:ascii="Arial" w:eastAsia="Arial" w:hAnsi="Arial" w:cs="Arial"/>
          <w:color w:val="333333"/>
          <w:sz w:val="22"/>
          <w:szCs w:val="22"/>
        </w:rPr>
        <w:t>test.csv</w:t>
      </w:r>
      <w:r>
        <w:rPr>
          <w:rFonts w:ascii="Arial" w:eastAsia="Arial" w:hAnsi="Arial" w:cs="Arial"/>
          <w:color w:val="333333"/>
          <w:sz w:val="22"/>
          <w:szCs w:val="22"/>
        </w:rPr>
        <w:t>，以及</w:t>
      </w:r>
      <w:r>
        <w:rPr>
          <w:rFonts w:ascii="Arial" w:eastAsia="Arial" w:hAnsi="Arial" w:cs="Arial"/>
          <w:color w:val="333333"/>
          <w:sz w:val="22"/>
          <w:szCs w:val="22"/>
        </w:rPr>
        <w:t>preprocessing_report.md</w:t>
      </w:r>
      <w:r>
        <w:rPr>
          <w:rFonts w:ascii="Arial" w:eastAsia="Arial" w:hAnsi="Arial" w:cs="Arial"/>
          <w:color w:val="333333"/>
          <w:sz w:val="22"/>
          <w:szCs w:val="22"/>
        </w:rPr>
        <w:t>（记录所有处理决策）。</w:t>
      </w:r>
    </w:p>
    <w:p w14:paraId="44E56672" w14:textId="77777777" w:rsidR="0098347F" w:rsidRDefault="0098347F">
      <w:pPr>
        <w:spacing w:before="60" w:after="60"/>
      </w:pPr>
    </w:p>
    <w:p w14:paraId="2F980F3D" w14:textId="77777777" w:rsidR="0098347F" w:rsidRDefault="00235264">
      <w:pPr>
        <w:pStyle w:val="2"/>
        <w:spacing w:before="240" w:after="120"/>
      </w:pPr>
      <w:r>
        <w:rPr>
          <w:rFonts w:ascii="Arial" w:eastAsia="Arial" w:hAnsi="Arial" w:cs="Arial"/>
          <w:b/>
          <w:bCs/>
          <w:color w:val="2E5496"/>
          <w:sz w:val="24"/>
          <w:szCs w:val="24"/>
        </w:rPr>
        <w:t>议题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 xml:space="preserve"> 3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>：算法方案讲解（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>25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>分钟）</w:t>
      </w:r>
    </w:p>
    <w:p w14:paraId="778D593E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目的：让所有人理解两个模型的原理和实现计划，特别是数据处理组和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部署组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需要知道他们要用什么样的数据，以及他们会收到什么样的模型。</w:t>
      </w:r>
    </w:p>
    <w:p w14:paraId="04A5A7AC" w14:textId="77777777" w:rsidR="0098347F" w:rsidRDefault="0098347F">
      <w:pPr>
        <w:spacing w:before="60" w:after="60"/>
      </w:pPr>
    </w:p>
    <w:p w14:paraId="621E269B" w14:textId="5896A565" w:rsidR="0098347F" w:rsidRDefault="00235264">
      <w:pPr>
        <w:spacing w:before="20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3.1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有序逻辑回归</w:t>
      </w:r>
    </w:p>
    <w:p w14:paraId="39BC0032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为什么选有序逻辑回归而不是普通逻辑回归：</w:t>
      </w:r>
    </w:p>
    <w:p w14:paraId="7C60499D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因变量</w:t>
      </w:r>
      <w:r>
        <w:rPr>
          <w:rFonts w:ascii="Arial" w:eastAsia="Arial" w:hAnsi="Arial" w:cs="Arial"/>
          <w:color w:val="333333"/>
          <w:sz w:val="22"/>
          <w:szCs w:val="22"/>
        </w:rPr>
        <w:t>Y</w:t>
      </w:r>
      <w:r>
        <w:rPr>
          <w:rFonts w:ascii="Arial" w:eastAsia="Arial" w:hAnsi="Arial" w:cs="Arial"/>
          <w:color w:val="333333"/>
          <w:sz w:val="22"/>
          <w:szCs w:val="22"/>
        </w:rPr>
        <w:t>是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有序四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分类（有明确顺序关系），有序逻辑回归能利用这一顺序信息，而普通多分类逻辑回归会丢失顺序信息。</w:t>
      </w:r>
    </w:p>
    <w:p w14:paraId="14F508DE" w14:textId="77777777" w:rsidR="0098347F" w:rsidRDefault="0098347F">
      <w:pPr>
        <w:spacing w:before="60" w:after="60"/>
      </w:pPr>
    </w:p>
    <w:p w14:paraId="1761F7CE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模型输出什么：</w:t>
      </w:r>
    </w:p>
    <w:p w14:paraId="246C546F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lastRenderedPageBreak/>
        <w:t>每个变量的</w:t>
      </w:r>
      <w:r>
        <w:rPr>
          <w:rFonts w:ascii="Arial" w:eastAsia="Arial" w:hAnsi="Arial" w:cs="Arial"/>
          <w:color w:val="333333"/>
          <w:sz w:val="22"/>
          <w:szCs w:val="22"/>
        </w:rPr>
        <w:t>OR</w:t>
      </w:r>
      <w:r>
        <w:rPr>
          <w:rFonts w:ascii="Arial" w:eastAsia="Arial" w:hAnsi="Arial" w:cs="Arial"/>
          <w:color w:val="333333"/>
          <w:sz w:val="22"/>
          <w:szCs w:val="22"/>
        </w:rPr>
        <w:t>值（优势比）和</w:t>
      </w:r>
      <w:r>
        <w:rPr>
          <w:rFonts w:ascii="Arial" w:eastAsia="Arial" w:hAnsi="Arial" w:cs="Arial"/>
          <w:color w:val="333333"/>
          <w:sz w:val="22"/>
          <w:szCs w:val="22"/>
        </w:rPr>
        <w:t>95%</w:t>
      </w:r>
      <w:r>
        <w:rPr>
          <w:rFonts w:ascii="Arial" w:eastAsia="Arial" w:hAnsi="Arial" w:cs="Arial"/>
          <w:color w:val="333333"/>
          <w:sz w:val="22"/>
          <w:szCs w:val="22"/>
        </w:rPr>
        <w:t>置信区间，</w:t>
      </w:r>
      <w:r>
        <w:rPr>
          <w:rFonts w:ascii="Arial" w:eastAsia="Arial" w:hAnsi="Arial" w:cs="Arial"/>
          <w:color w:val="333333"/>
          <w:sz w:val="22"/>
          <w:szCs w:val="22"/>
        </w:rPr>
        <w:t>OR&gt;1</w:t>
      </w:r>
      <w:r>
        <w:rPr>
          <w:rFonts w:ascii="Arial" w:eastAsia="Arial" w:hAnsi="Arial" w:cs="Arial"/>
          <w:color w:val="333333"/>
          <w:sz w:val="22"/>
          <w:szCs w:val="22"/>
        </w:rPr>
        <w:t>表示该因素增加高风险等级的可能性，</w:t>
      </w:r>
      <w:r>
        <w:rPr>
          <w:rFonts w:ascii="Arial" w:eastAsia="Arial" w:hAnsi="Arial" w:cs="Arial"/>
          <w:color w:val="333333"/>
          <w:sz w:val="22"/>
          <w:szCs w:val="22"/>
        </w:rPr>
        <w:t>OR&lt;1</w:t>
      </w:r>
      <w:r>
        <w:rPr>
          <w:rFonts w:ascii="Arial" w:eastAsia="Arial" w:hAnsi="Arial" w:cs="Arial"/>
          <w:color w:val="333333"/>
          <w:sz w:val="22"/>
          <w:szCs w:val="22"/>
        </w:rPr>
        <w:t>表示保护性因素。</w:t>
      </w:r>
    </w:p>
    <w:p w14:paraId="6AEFDB72" w14:textId="77777777" w:rsidR="0098347F" w:rsidRDefault="0098347F">
      <w:pPr>
        <w:spacing w:before="60" w:after="60"/>
      </w:pPr>
    </w:p>
    <w:p w14:paraId="0EC29C4D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特征重要性如何体现：</w:t>
      </w:r>
    </w:p>
    <w:p w14:paraId="5AF3016D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通过</w:t>
      </w:r>
      <w:r>
        <w:rPr>
          <w:rFonts w:ascii="Arial" w:eastAsia="Arial" w:hAnsi="Arial" w:cs="Arial"/>
          <w:color w:val="333333"/>
          <w:sz w:val="22"/>
          <w:szCs w:val="22"/>
        </w:rPr>
        <w:t>OR</w:t>
      </w:r>
      <w:r>
        <w:rPr>
          <w:rFonts w:ascii="Arial" w:eastAsia="Arial" w:hAnsi="Arial" w:cs="Arial"/>
          <w:color w:val="333333"/>
          <w:sz w:val="22"/>
          <w:szCs w:val="22"/>
        </w:rPr>
        <w:t>值的大小和置信区间来判断各变量的影响权重，这直接对应论文的特征重要性排序图。</w:t>
      </w:r>
    </w:p>
    <w:p w14:paraId="378A8911" w14:textId="77777777" w:rsidR="0098347F" w:rsidRDefault="0098347F">
      <w:pPr>
        <w:spacing w:before="60" w:after="60"/>
      </w:pPr>
    </w:p>
    <w:p w14:paraId="58B91C2E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模型文件输出格式：</w:t>
      </w:r>
      <w:r>
        <w:rPr>
          <w:rFonts w:ascii="Arial" w:eastAsia="Arial" w:hAnsi="Arial" w:cs="Arial"/>
          <w:color w:val="333333"/>
          <w:sz w:val="22"/>
          <w:szCs w:val="22"/>
        </w:rPr>
        <w:t>.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pkl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（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Python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sklearn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格式），便于后续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部署组调用</w:t>
      </w:r>
      <w:proofErr w:type="gramEnd"/>
    </w:p>
    <w:p w14:paraId="507AE3BB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实现计划：基于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sklear</w:t>
      </w:r>
      <w:r>
        <w:rPr>
          <w:rFonts w:ascii="Arial" w:eastAsia="Arial" w:hAnsi="Arial" w:cs="Arial"/>
          <w:color w:val="333333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的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OrderedModel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或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statsmodels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的</w:t>
      </w:r>
      <w:r>
        <w:rPr>
          <w:rFonts w:ascii="Arial" w:eastAsia="Arial" w:hAnsi="Arial" w:cs="Arial"/>
          <w:color w:val="333333"/>
          <w:sz w:val="22"/>
          <w:szCs w:val="22"/>
        </w:rPr>
        <w:t>proportional odds model</w:t>
      </w:r>
    </w:p>
    <w:p w14:paraId="157F60AB" w14:textId="77777777" w:rsidR="0098347F" w:rsidRDefault="0098347F">
      <w:pPr>
        <w:spacing w:before="60" w:after="60"/>
      </w:pPr>
    </w:p>
    <w:p w14:paraId="7B21BE83" w14:textId="77777777" w:rsidR="005D746B" w:rsidRDefault="00235264" w:rsidP="005D746B">
      <w:pPr>
        <w:spacing w:before="200" w:after="80"/>
        <w:rPr>
          <w:rFonts w:ascii="Arial" w:hAnsi="Arial" w:cs="Arial"/>
          <w:b/>
          <w:bCs/>
          <w:color w:val="333333"/>
          <w:sz w:val="22"/>
          <w:szCs w:val="22"/>
        </w:rPr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3.2 </w:t>
      </w:r>
      <w:r>
        <w:rPr>
          <w:rFonts w:ascii="宋体" w:eastAsia="宋体" w:hAnsi="宋体" w:cs="宋体" w:hint="eastAsia"/>
          <w:b/>
          <w:bCs/>
          <w:color w:val="333333"/>
          <w:sz w:val="22"/>
          <w:szCs w:val="22"/>
        </w:rPr>
        <w:t>神经网络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MLP</w:t>
      </w:r>
    </w:p>
    <w:p w14:paraId="31E875E7" w14:textId="2412AA73" w:rsidR="0098347F" w:rsidRDefault="00235264" w:rsidP="005D746B">
      <w:pPr>
        <w:spacing w:before="20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MLP</w:t>
      </w:r>
      <w:r>
        <w:rPr>
          <w:rFonts w:ascii="宋体" w:eastAsia="宋体" w:hAnsi="宋体" w:cs="宋体" w:hint="eastAsia"/>
          <w:b/>
          <w:bCs/>
          <w:color w:val="333333"/>
          <w:sz w:val="22"/>
          <w:szCs w:val="22"/>
        </w:rPr>
        <w:t>结构设计：</w:t>
      </w:r>
    </w:p>
    <w:p w14:paraId="3DFFF83C" w14:textId="77777777" w:rsidR="0098347F" w:rsidRDefault="00235264">
      <w:pPr>
        <w:spacing w:before="60" w:after="60"/>
      </w:pPr>
      <w:r>
        <w:rPr>
          <w:rFonts w:ascii="宋体" w:eastAsia="宋体" w:hAnsi="宋体" w:cs="宋体" w:hint="eastAsia"/>
          <w:color w:val="333333"/>
          <w:sz w:val="22"/>
          <w:szCs w:val="22"/>
        </w:rPr>
        <w:t>输</w:t>
      </w:r>
      <w:r>
        <w:rPr>
          <w:rFonts w:ascii="Arial" w:eastAsia="Arial" w:hAnsi="Arial" w:cs="Arial"/>
          <w:color w:val="333333"/>
          <w:sz w:val="22"/>
          <w:szCs w:val="22"/>
        </w:rPr>
        <w:t>入层（变量维度）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→ </w:t>
      </w:r>
      <w:r>
        <w:rPr>
          <w:rFonts w:ascii="Arial" w:eastAsia="Arial" w:hAnsi="Arial" w:cs="Arial"/>
          <w:color w:val="333333"/>
          <w:sz w:val="22"/>
          <w:szCs w:val="22"/>
        </w:rPr>
        <w:t>若干隐藏层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→ </w:t>
      </w:r>
      <w:r>
        <w:rPr>
          <w:rFonts w:ascii="Arial" w:eastAsia="Arial" w:hAnsi="Arial" w:cs="Arial"/>
          <w:color w:val="333333"/>
          <w:sz w:val="22"/>
          <w:szCs w:val="22"/>
        </w:rPr>
        <w:t>输出层（</w:t>
      </w:r>
      <w:r>
        <w:rPr>
          <w:rFonts w:ascii="Arial" w:eastAsia="Arial" w:hAnsi="Arial" w:cs="Arial"/>
          <w:color w:val="333333"/>
          <w:sz w:val="22"/>
          <w:szCs w:val="22"/>
        </w:rPr>
        <w:t>4</w:t>
      </w:r>
      <w:r>
        <w:rPr>
          <w:rFonts w:ascii="Arial" w:eastAsia="Arial" w:hAnsi="Arial" w:cs="Arial"/>
          <w:color w:val="333333"/>
          <w:sz w:val="22"/>
          <w:szCs w:val="22"/>
        </w:rPr>
        <w:t>个类别的概率）。隐藏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层数量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和节点数为超参，后续由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部署组优化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。</w:t>
      </w:r>
    </w:p>
    <w:p w14:paraId="1FE2DD0E" w14:textId="77777777" w:rsidR="0098347F" w:rsidRDefault="0098347F">
      <w:pPr>
        <w:spacing w:before="60" w:after="60"/>
      </w:pPr>
    </w:p>
    <w:p w14:paraId="5D4731F5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有序多分类如何处理：</w:t>
      </w:r>
    </w:p>
    <w:p w14:paraId="0F5475F9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输出层使用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Softmax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激活，损失函数建议使用</w:t>
      </w:r>
      <w:r>
        <w:rPr>
          <w:rFonts w:ascii="Arial" w:eastAsia="Arial" w:hAnsi="Arial" w:cs="Arial"/>
          <w:color w:val="333333"/>
          <w:sz w:val="22"/>
          <w:szCs w:val="22"/>
        </w:rPr>
        <w:t>ordinal cross-entropy</w:t>
      </w:r>
      <w:r>
        <w:rPr>
          <w:rFonts w:ascii="Arial" w:eastAsia="Arial" w:hAnsi="Arial" w:cs="Arial"/>
          <w:color w:val="333333"/>
          <w:sz w:val="22"/>
          <w:szCs w:val="22"/>
        </w:rPr>
        <w:t>或普通</w:t>
      </w:r>
      <w:r>
        <w:rPr>
          <w:rFonts w:ascii="Arial" w:eastAsia="Arial" w:hAnsi="Arial" w:cs="Arial"/>
          <w:color w:val="333333"/>
          <w:sz w:val="22"/>
          <w:szCs w:val="22"/>
        </w:rPr>
        <w:t>categorical cross-entropy</w:t>
      </w:r>
      <w:r>
        <w:rPr>
          <w:rFonts w:ascii="Arial" w:eastAsia="Arial" w:hAnsi="Arial" w:cs="Arial"/>
          <w:color w:val="333333"/>
          <w:sz w:val="22"/>
          <w:szCs w:val="22"/>
        </w:rPr>
        <w:t>，需要在建模时评估哪种更适合。</w:t>
      </w:r>
    </w:p>
    <w:p w14:paraId="363E8F80" w14:textId="77777777" w:rsidR="0098347F" w:rsidRDefault="0098347F">
      <w:pPr>
        <w:spacing w:before="60" w:after="60"/>
      </w:pPr>
    </w:p>
    <w:p w14:paraId="1913E444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特征重要性如何提取：</w:t>
      </w:r>
    </w:p>
    <w:p w14:paraId="2B28B21C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MLP</w:t>
      </w:r>
      <w:r>
        <w:rPr>
          <w:rFonts w:ascii="Arial" w:eastAsia="Arial" w:hAnsi="Arial" w:cs="Arial"/>
          <w:color w:val="333333"/>
          <w:sz w:val="22"/>
          <w:szCs w:val="22"/>
        </w:rPr>
        <w:t>没有像逻辑回归一样直观的系数，建议使用</w:t>
      </w:r>
      <w:r>
        <w:rPr>
          <w:rFonts w:ascii="Arial" w:eastAsia="Arial" w:hAnsi="Arial" w:cs="Arial"/>
          <w:color w:val="333333"/>
          <w:sz w:val="22"/>
          <w:szCs w:val="22"/>
        </w:rPr>
        <w:t>SHAP</w:t>
      </w:r>
      <w:r>
        <w:rPr>
          <w:rFonts w:ascii="Arial" w:eastAsia="Arial" w:hAnsi="Arial" w:cs="Arial"/>
          <w:color w:val="333333"/>
          <w:sz w:val="22"/>
          <w:szCs w:val="22"/>
        </w:rPr>
        <w:t>值或输入层权重绝对值均值来近似表示特征重要性，用于与逻辑回归结果对比。</w:t>
      </w:r>
    </w:p>
    <w:p w14:paraId="5345B8DB" w14:textId="77777777" w:rsidR="0098347F" w:rsidRDefault="0098347F">
      <w:pPr>
        <w:spacing w:before="60" w:after="60"/>
      </w:pPr>
    </w:p>
    <w:p w14:paraId="34D19DD9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模型文件输出格式：</w:t>
      </w:r>
      <w:r>
        <w:rPr>
          <w:rFonts w:ascii="Arial" w:eastAsia="Arial" w:hAnsi="Arial" w:cs="Arial"/>
          <w:color w:val="333333"/>
          <w:sz w:val="22"/>
          <w:szCs w:val="22"/>
        </w:rPr>
        <w:t>.h5</w:t>
      </w:r>
      <w:r>
        <w:rPr>
          <w:rFonts w:ascii="Arial" w:eastAsia="Arial" w:hAnsi="Arial" w:cs="Arial"/>
          <w:color w:val="333333"/>
          <w:sz w:val="22"/>
          <w:szCs w:val="22"/>
        </w:rPr>
        <w:t>或</w:t>
      </w:r>
      <w:r>
        <w:rPr>
          <w:rFonts w:ascii="Arial" w:eastAsia="Arial" w:hAnsi="Arial" w:cs="Arial"/>
          <w:color w:val="333333"/>
          <w:sz w:val="22"/>
          <w:szCs w:val="22"/>
        </w:rPr>
        <w:t>.pb</w:t>
      </w:r>
      <w:r>
        <w:rPr>
          <w:rFonts w:ascii="Arial" w:eastAsia="Arial" w:hAnsi="Arial" w:cs="Arial"/>
          <w:color w:val="333333"/>
          <w:sz w:val="22"/>
          <w:szCs w:val="22"/>
        </w:rPr>
        <w:t>（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Keras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/TensorFlow</w:t>
      </w:r>
      <w:r>
        <w:rPr>
          <w:rFonts w:ascii="Arial" w:eastAsia="Arial" w:hAnsi="Arial" w:cs="Arial"/>
          <w:color w:val="333333"/>
          <w:sz w:val="22"/>
          <w:szCs w:val="22"/>
        </w:rPr>
        <w:t>格式）</w:t>
      </w:r>
    </w:p>
    <w:p w14:paraId="68A16413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框架选择：</w:t>
      </w:r>
      <w:r>
        <w:rPr>
          <w:rFonts w:ascii="Arial" w:eastAsia="Arial" w:hAnsi="Arial" w:cs="Arial"/>
          <w:color w:val="333333"/>
          <w:sz w:val="22"/>
          <w:szCs w:val="22"/>
        </w:rPr>
        <w:t>TensorFlow/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Keras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或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PyTorch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，会议上统一确认</w:t>
      </w:r>
    </w:p>
    <w:p w14:paraId="1289095E" w14:textId="77777777" w:rsidR="0098347F" w:rsidRDefault="0098347F">
      <w:pPr>
        <w:spacing w:before="60" w:after="60"/>
      </w:pPr>
    </w:p>
    <w:p w14:paraId="2E39142C" w14:textId="77777777" w:rsidR="0098347F" w:rsidRDefault="00235264">
      <w:pPr>
        <w:spacing w:before="20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两模型开发的协作接口</w:t>
      </w:r>
    </w:p>
    <w:p w14:paraId="5EC7983A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算法开发组从</w:t>
      </w:r>
      <w:r>
        <w:rPr>
          <w:rFonts w:ascii="Arial" w:eastAsia="Arial" w:hAnsi="Arial" w:cs="Arial"/>
          <w:color w:val="333333"/>
          <w:sz w:val="22"/>
          <w:szCs w:val="22"/>
        </w:rPr>
        <w:t>数据处理组接收：</w:t>
      </w:r>
      <w:r>
        <w:rPr>
          <w:rFonts w:ascii="Arial" w:eastAsia="Arial" w:hAnsi="Arial" w:cs="Arial"/>
          <w:color w:val="333333"/>
          <w:sz w:val="22"/>
          <w:szCs w:val="22"/>
        </w:rPr>
        <w:t>train.csv</w:t>
      </w:r>
      <w:r>
        <w:rPr>
          <w:rFonts w:ascii="Arial" w:eastAsia="Arial" w:hAnsi="Arial" w:cs="Arial"/>
          <w:color w:val="333333"/>
          <w:sz w:val="22"/>
          <w:szCs w:val="22"/>
        </w:rPr>
        <w:t>和</w:t>
      </w:r>
      <w:r>
        <w:rPr>
          <w:rFonts w:ascii="Arial" w:eastAsia="Arial" w:hAnsi="Arial" w:cs="Arial"/>
          <w:color w:val="333333"/>
          <w:sz w:val="22"/>
          <w:szCs w:val="22"/>
        </w:rPr>
        <w:t>test.csv</w:t>
      </w:r>
    </w:p>
    <w:p w14:paraId="2A27C469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算法开发组交付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给部署组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：训练好的模型文件（</w:t>
      </w:r>
      <w:r>
        <w:rPr>
          <w:rFonts w:ascii="Arial" w:eastAsia="Arial" w:hAnsi="Arial" w:cs="Arial"/>
          <w:color w:val="333333"/>
          <w:sz w:val="22"/>
          <w:szCs w:val="22"/>
        </w:rPr>
        <w:t>.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pkl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和</w:t>
      </w:r>
      <w:r>
        <w:rPr>
          <w:rFonts w:ascii="Arial" w:eastAsia="Arial" w:hAnsi="Arial" w:cs="Arial"/>
          <w:color w:val="333333"/>
          <w:sz w:val="22"/>
          <w:szCs w:val="22"/>
        </w:rPr>
        <w:t>.h5/.pb</w:t>
      </w:r>
      <w:r>
        <w:rPr>
          <w:rFonts w:ascii="Arial" w:eastAsia="Arial" w:hAnsi="Arial" w:cs="Arial"/>
          <w:color w:val="333333"/>
          <w:sz w:val="22"/>
          <w:szCs w:val="22"/>
        </w:rPr>
        <w:t>）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+ </w:t>
      </w:r>
      <w:r>
        <w:rPr>
          <w:rFonts w:ascii="Arial" w:eastAsia="Arial" w:hAnsi="Arial" w:cs="Arial"/>
          <w:color w:val="333333"/>
          <w:sz w:val="22"/>
          <w:szCs w:val="22"/>
        </w:rPr>
        <w:t>特征名称列表（保证输入格式一致）</w:t>
      </w:r>
    </w:p>
    <w:p w14:paraId="52A6B3BB" w14:textId="77777777" w:rsidR="0098347F" w:rsidRDefault="0098347F">
      <w:pPr>
        <w:spacing w:before="60" w:after="60"/>
      </w:pPr>
    </w:p>
    <w:p w14:paraId="6049E0A0" w14:textId="2653ECA2" w:rsidR="0098347F" w:rsidRDefault="00235264">
      <w:pPr>
        <w:pStyle w:val="2"/>
        <w:spacing w:before="240" w:after="120"/>
      </w:pPr>
      <w:r>
        <w:rPr>
          <w:rFonts w:ascii="Arial" w:eastAsia="Arial" w:hAnsi="Arial" w:cs="Arial"/>
          <w:b/>
          <w:bCs/>
          <w:color w:val="2E5496"/>
          <w:sz w:val="24"/>
          <w:szCs w:val="24"/>
        </w:rPr>
        <w:t>议题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 xml:space="preserve"> 4</w:t>
      </w:r>
      <w:r>
        <w:rPr>
          <w:rFonts w:ascii="Arial" w:eastAsia="Arial" w:hAnsi="Arial" w:cs="Arial"/>
          <w:b/>
          <w:bCs/>
          <w:color w:val="2E5496"/>
          <w:sz w:val="24"/>
          <w:szCs w:val="24"/>
        </w:rPr>
        <w:t>：模型评估与部署方案介绍</w:t>
      </w:r>
    </w:p>
    <w:p w14:paraId="0D3B5636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目的：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部署组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介绍评估体系和工具开发计划，算法开发组对评估指标设计提供意见。</w:t>
      </w:r>
    </w:p>
    <w:p w14:paraId="3867014D" w14:textId="77777777" w:rsidR="0098347F" w:rsidRDefault="0098347F">
      <w:pPr>
        <w:spacing w:before="60" w:after="60"/>
      </w:pPr>
    </w:p>
    <w:p w14:paraId="62A9BCD7" w14:textId="7CA9CDA0" w:rsidR="0098347F" w:rsidRDefault="00235264">
      <w:pPr>
        <w:spacing w:before="20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4.1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模型评估</w:t>
      </w:r>
    </w:p>
    <w:p w14:paraId="24BE6417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为什么评估统一由</w:t>
      </w:r>
      <w:proofErr w:type="gramStart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部署组</w:t>
      </w:r>
      <w:proofErr w:type="gramEnd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负责：</w:t>
      </w:r>
    </w:p>
    <w:p w14:paraId="371293FB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两个模型用同一套评估代码，才能保证指标可直接对比，避免因实现差异产生误差。</w:t>
      </w:r>
    </w:p>
    <w:p w14:paraId="5EC3E4EA" w14:textId="77777777" w:rsidR="0098347F" w:rsidRDefault="0098347F">
      <w:pPr>
        <w:spacing w:before="60" w:after="60"/>
      </w:pPr>
    </w:p>
    <w:p w14:paraId="1C31D1F5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评估指标说明：</w:t>
      </w:r>
    </w:p>
    <w:p w14:paraId="3E505B87" w14:textId="77777777" w:rsidR="0098347F" w:rsidRDefault="00235264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混淆矩阵（</w:t>
      </w:r>
      <w:r>
        <w:rPr>
          <w:rFonts w:ascii="Arial" w:eastAsia="Arial" w:hAnsi="Arial" w:cs="Arial"/>
          <w:color w:val="333333"/>
          <w:sz w:val="22"/>
          <w:szCs w:val="22"/>
        </w:rPr>
        <w:t>4×4</w:t>
      </w:r>
      <w:r>
        <w:rPr>
          <w:rFonts w:ascii="Arial" w:eastAsia="Arial" w:hAnsi="Arial" w:cs="Arial"/>
          <w:color w:val="333333"/>
          <w:sz w:val="22"/>
          <w:szCs w:val="22"/>
        </w:rPr>
        <w:t>，可视化各等级预测准确率）；多分类</w:t>
      </w:r>
      <w:r>
        <w:rPr>
          <w:rFonts w:ascii="Arial" w:eastAsia="Arial" w:hAnsi="Arial" w:cs="Arial"/>
          <w:color w:val="333333"/>
          <w:sz w:val="22"/>
          <w:szCs w:val="22"/>
        </w:rPr>
        <w:t>AUC</w:t>
      </w:r>
      <w:r>
        <w:rPr>
          <w:rFonts w:ascii="Arial" w:eastAsia="Arial" w:hAnsi="Arial" w:cs="Arial"/>
          <w:color w:val="333333"/>
          <w:sz w:val="22"/>
          <w:szCs w:val="22"/>
        </w:rPr>
        <w:t>（建议使用</w:t>
      </w:r>
      <w:r>
        <w:rPr>
          <w:rFonts w:ascii="Arial" w:eastAsia="Arial" w:hAnsi="Arial" w:cs="Arial"/>
          <w:color w:val="333333"/>
          <w:sz w:val="22"/>
          <w:szCs w:val="22"/>
        </w:rPr>
        <w:t>macro-average</w:t>
      </w:r>
      <w:r>
        <w:rPr>
          <w:rFonts w:ascii="Arial" w:eastAsia="Arial" w:hAnsi="Arial" w:cs="Arial"/>
          <w:color w:val="333333"/>
          <w:sz w:val="22"/>
          <w:szCs w:val="22"/>
        </w:rPr>
        <w:t>或</w:t>
      </w:r>
      <w:r>
        <w:rPr>
          <w:rFonts w:ascii="Arial" w:eastAsia="Arial" w:hAnsi="Arial" w:cs="Arial"/>
          <w:color w:val="333333"/>
          <w:sz w:val="22"/>
          <w:szCs w:val="22"/>
        </w:rPr>
        <w:t>weighted-average</w:t>
      </w:r>
      <w:r>
        <w:rPr>
          <w:rFonts w:ascii="Arial" w:eastAsia="Arial" w:hAnsi="Arial" w:cs="Arial"/>
          <w:color w:val="333333"/>
          <w:sz w:val="22"/>
          <w:szCs w:val="22"/>
        </w:rPr>
        <w:t>，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需会议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确认）；</w:t>
      </w:r>
      <w:r>
        <w:rPr>
          <w:rFonts w:ascii="Arial" w:eastAsia="Arial" w:hAnsi="Arial" w:cs="Arial"/>
          <w:color w:val="333333"/>
          <w:sz w:val="22"/>
          <w:szCs w:val="22"/>
        </w:rPr>
        <w:t>Kappa</w:t>
      </w:r>
      <w:r>
        <w:rPr>
          <w:rFonts w:ascii="Arial" w:eastAsia="Arial" w:hAnsi="Arial" w:cs="Arial"/>
          <w:color w:val="333333"/>
          <w:sz w:val="22"/>
          <w:szCs w:val="22"/>
        </w:rPr>
        <w:t>系数（衡量模型预测与实际标签的一致性，排除随机因素）；</w:t>
      </w:r>
      <w:r>
        <w:rPr>
          <w:rFonts w:ascii="Arial" w:eastAsia="Arial" w:hAnsi="Arial" w:cs="Arial"/>
          <w:color w:val="333333"/>
          <w:sz w:val="22"/>
          <w:szCs w:val="22"/>
        </w:rPr>
        <w:t>ROC</w:t>
      </w:r>
      <w:r>
        <w:rPr>
          <w:rFonts w:ascii="Arial" w:eastAsia="Arial" w:hAnsi="Arial" w:cs="Arial"/>
          <w:color w:val="333333"/>
          <w:sz w:val="22"/>
          <w:szCs w:val="22"/>
        </w:rPr>
        <w:t>曲线（每个风险等级</w:t>
      </w:r>
      <w:r>
        <w:rPr>
          <w:rFonts w:ascii="Arial" w:eastAsia="Arial" w:hAnsi="Arial" w:cs="Arial"/>
          <w:color w:val="333333"/>
          <w:sz w:val="22"/>
          <w:szCs w:val="22"/>
        </w:rPr>
        <w:t>vs</w:t>
      </w:r>
      <w:r>
        <w:rPr>
          <w:rFonts w:ascii="Arial" w:eastAsia="Arial" w:hAnsi="Arial" w:cs="Arial"/>
          <w:color w:val="333333"/>
          <w:sz w:val="22"/>
          <w:szCs w:val="22"/>
        </w:rPr>
        <w:t>其他的</w:t>
      </w:r>
      <w:r>
        <w:rPr>
          <w:rFonts w:ascii="Arial" w:eastAsia="Arial" w:hAnsi="Arial" w:cs="Arial"/>
          <w:color w:val="333333"/>
          <w:sz w:val="22"/>
          <w:szCs w:val="22"/>
        </w:rPr>
        <w:t>one-vs-rest</w:t>
      </w:r>
      <w:r>
        <w:rPr>
          <w:rFonts w:ascii="Arial" w:eastAsia="Arial" w:hAnsi="Arial" w:cs="Arial"/>
          <w:color w:val="333333"/>
          <w:sz w:val="22"/>
          <w:szCs w:val="22"/>
        </w:rPr>
        <w:t>曲线）。</w:t>
      </w:r>
    </w:p>
    <w:p w14:paraId="2BD41460" w14:textId="77777777" w:rsidR="0098347F" w:rsidRDefault="0098347F">
      <w:pPr>
        <w:spacing w:before="60" w:after="60"/>
      </w:pPr>
    </w:p>
    <w:p w14:paraId="021E618C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评估结果以统一格式整理为报告，提供给论文写作</w:t>
      </w:r>
    </w:p>
    <w:p w14:paraId="6290F3F3" w14:textId="77777777" w:rsidR="0098347F" w:rsidRDefault="0098347F">
      <w:pPr>
        <w:spacing w:before="60" w:after="60"/>
      </w:pPr>
    </w:p>
    <w:p w14:paraId="6DEBA50B" w14:textId="19427DF8" w:rsidR="0098347F" w:rsidRDefault="00235264">
      <w:pPr>
        <w:spacing w:before="20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4.2 </w:t>
      </w:r>
      <w:proofErr w:type="gramStart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超参优化</w:t>
      </w:r>
      <w:proofErr w:type="gramEnd"/>
    </w:p>
    <w:p w14:paraId="042779D5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对筛选出的最优模型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进行超参优化</w:t>
      </w:r>
      <w:proofErr w:type="gramEnd"/>
    </w:p>
    <w:p w14:paraId="797983F7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逻辑回归：正则化参数</w:t>
      </w:r>
      <w:r>
        <w:rPr>
          <w:rFonts w:ascii="Arial" w:eastAsia="Arial" w:hAnsi="Arial" w:cs="Arial"/>
          <w:color w:val="333333"/>
          <w:sz w:val="22"/>
          <w:szCs w:val="22"/>
        </w:rPr>
        <w:t>C</w:t>
      </w:r>
      <w:r>
        <w:rPr>
          <w:rFonts w:ascii="Arial" w:eastAsia="Arial" w:hAnsi="Arial" w:cs="Arial"/>
          <w:color w:val="333333"/>
          <w:sz w:val="22"/>
          <w:szCs w:val="22"/>
        </w:rPr>
        <w:t>、</w:t>
      </w:r>
      <w:r>
        <w:rPr>
          <w:rFonts w:ascii="Arial" w:eastAsia="Arial" w:hAnsi="Arial" w:cs="Arial"/>
          <w:color w:val="333333"/>
          <w:sz w:val="22"/>
          <w:szCs w:val="22"/>
        </w:rPr>
        <w:t>solver</w:t>
      </w:r>
      <w:r>
        <w:rPr>
          <w:rFonts w:ascii="Arial" w:eastAsia="Arial" w:hAnsi="Arial" w:cs="Arial"/>
          <w:color w:val="333333"/>
          <w:sz w:val="22"/>
          <w:szCs w:val="22"/>
        </w:rPr>
        <w:t>等</w:t>
      </w:r>
    </w:p>
    <w:p w14:paraId="45C8A5A6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MLP</w:t>
      </w:r>
      <w:r>
        <w:rPr>
          <w:rFonts w:ascii="Arial" w:eastAsia="Arial" w:hAnsi="Arial" w:cs="Arial"/>
          <w:color w:val="333333"/>
          <w:sz w:val="22"/>
          <w:szCs w:val="22"/>
        </w:rPr>
        <w:t>：隐藏层数、每层节点数、</w:t>
      </w:r>
      <w:r>
        <w:rPr>
          <w:rFonts w:ascii="Arial" w:eastAsia="Arial" w:hAnsi="Arial" w:cs="Arial"/>
          <w:color w:val="333333"/>
          <w:sz w:val="22"/>
          <w:szCs w:val="22"/>
        </w:rPr>
        <w:t>learning rate</w:t>
      </w:r>
      <w:r>
        <w:rPr>
          <w:rFonts w:ascii="Arial" w:eastAsia="Arial" w:hAnsi="Arial" w:cs="Arial"/>
          <w:color w:val="333333"/>
          <w:sz w:val="22"/>
          <w:szCs w:val="22"/>
        </w:rPr>
        <w:t>、</w:t>
      </w:r>
      <w:r>
        <w:rPr>
          <w:rFonts w:ascii="Arial" w:eastAsia="Arial" w:hAnsi="Arial" w:cs="Arial"/>
          <w:color w:val="333333"/>
          <w:sz w:val="22"/>
          <w:szCs w:val="22"/>
        </w:rPr>
        <w:t>dropout rate</w:t>
      </w:r>
      <w:r>
        <w:rPr>
          <w:rFonts w:ascii="Arial" w:eastAsia="Arial" w:hAnsi="Arial" w:cs="Arial"/>
          <w:color w:val="333333"/>
          <w:sz w:val="22"/>
          <w:szCs w:val="22"/>
        </w:rPr>
        <w:t>等</w:t>
      </w:r>
    </w:p>
    <w:p w14:paraId="3D87A227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方法：网格搜索（参数少时）或随机搜索（参数多时），计算资源有限时优先随机搜索</w:t>
      </w:r>
    </w:p>
    <w:p w14:paraId="17648BA3" w14:textId="77777777" w:rsidR="0098347F" w:rsidRDefault="0098347F">
      <w:pPr>
        <w:spacing w:before="60" w:after="60"/>
      </w:pPr>
    </w:p>
    <w:p w14:paraId="074D9B0C" w14:textId="26E75CE6" w:rsidR="0098347F" w:rsidRDefault="00235264">
      <w:pPr>
        <w:spacing w:before="20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4.3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临床工具开发</w:t>
      </w:r>
    </w:p>
    <w:p w14:paraId="4741E2FE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使用流程设计：医护人员录入患者指标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→ </w:t>
      </w:r>
      <w:r>
        <w:rPr>
          <w:rFonts w:ascii="Arial" w:eastAsia="Arial" w:hAnsi="Arial" w:cs="Arial"/>
          <w:color w:val="333333"/>
          <w:sz w:val="22"/>
          <w:szCs w:val="22"/>
        </w:rPr>
        <w:t>模型输出风险等级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→ </w:t>
      </w:r>
      <w:r>
        <w:rPr>
          <w:rFonts w:ascii="Arial" w:eastAsia="Arial" w:hAnsi="Arial" w:cs="Arial"/>
          <w:color w:val="333333"/>
          <w:sz w:val="22"/>
          <w:szCs w:val="22"/>
        </w:rPr>
        <w:t>显示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各风险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>因素贡献</w:t>
      </w:r>
    </w:p>
    <w:p w14:paraId="45ADF6A0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工具形式：</w:t>
      </w:r>
      <w:r>
        <w:rPr>
          <w:rFonts w:ascii="Arial" w:eastAsia="Arial" w:hAnsi="Arial" w:cs="Arial"/>
          <w:color w:val="333333"/>
          <w:sz w:val="22"/>
          <w:szCs w:val="22"/>
        </w:rPr>
        <w:t>Web</w:t>
      </w:r>
      <w:r>
        <w:rPr>
          <w:rFonts w:ascii="Arial" w:eastAsia="Arial" w:hAnsi="Arial" w:cs="Arial"/>
          <w:color w:val="333333"/>
          <w:sz w:val="22"/>
          <w:szCs w:val="22"/>
        </w:rPr>
        <w:t>界面原型（推荐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Streamlit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快速实现）</w:t>
      </w:r>
      <w:r>
        <w:rPr>
          <w:rFonts w:ascii="Arial" w:eastAsia="Arial" w:hAnsi="Arial" w:cs="Arial"/>
          <w:color w:val="333333"/>
          <w:sz w:val="22"/>
          <w:szCs w:val="22"/>
        </w:rPr>
        <w:t>+ REST API</w:t>
      </w:r>
      <w:r>
        <w:rPr>
          <w:rFonts w:ascii="Arial" w:eastAsia="Arial" w:hAnsi="Arial" w:cs="Arial"/>
          <w:color w:val="333333"/>
          <w:sz w:val="22"/>
          <w:szCs w:val="22"/>
        </w:rPr>
        <w:t>接口供医院系统集成</w:t>
      </w:r>
    </w:p>
    <w:p w14:paraId="3DDB357C" w14:textId="77777777" w:rsidR="0098347F" w:rsidRDefault="00235264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第</w:t>
      </w:r>
      <w:r>
        <w:rPr>
          <w:rFonts w:ascii="Arial" w:eastAsia="Arial" w:hAnsi="Arial" w:cs="Arial"/>
          <w:color w:val="333333"/>
          <w:sz w:val="22"/>
          <w:szCs w:val="22"/>
        </w:rPr>
        <w:t>120</w:t>
      </w:r>
      <w:r>
        <w:rPr>
          <w:rFonts w:ascii="Arial" w:eastAsia="Arial" w:hAnsi="Arial" w:cs="Arial"/>
          <w:color w:val="333333"/>
          <w:sz w:val="22"/>
          <w:szCs w:val="22"/>
        </w:rPr>
        <w:t>日前交付工具初版，供甲方验收和反馈</w:t>
      </w:r>
    </w:p>
    <w:p w14:paraId="5D32837F" w14:textId="6410C0C8" w:rsidR="0098347F" w:rsidRDefault="00235264" w:rsidP="005D746B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rFonts w:ascii="Arial" w:eastAsia="Arial" w:hAnsi="Arial" w:cs="Arial"/>
          <w:color w:val="333333"/>
          <w:sz w:val="22"/>
          <w:szCs w:val="22"/>
        </w:rPr>
        <w:t>会议上需确认：甲方对界面有无特殊要求？是否需要对接特定医院系统？</w:t>
      </w:r>
    </w:p>
    <w:p w14:paraId="75EB8F14" w14:textId="77777777" w:rsidR="0098347F" w:rsidRDefault="0098347F">
      <w:pPr>
        <w:pBdr>
          <w:bottom w:val="single" w:sz="3" w:space="1" w:color="CCCCCC"/>
        </w:pBdr>
        <w:spacing w:before="120" w:after="120"/>
      </w:pPr>
    </w:p>
    <w:p w14:paraId="68DCDA57" w14:textId="77777777" w:rsidR="0098347F" w:rsidRDefault="0098347F">
      <w:pPr>
        <w:spacing w:before="60" w:after="60"/>
      </w:pPr>
    </w:p>
    <w:p w14:paraId="7BB120FB" w14:textId="77777777" w:rsidR="0098347F" w:rsidRDefault="00235264">
      <w:pPr>
        <w:spacing w:before="60" w:after="60"/>
        <w:jc w:val="center"/>
      </w:pPr>
      <w:r>
        <w:rPr>
          <w:rFonts w:ascii="Arial" w:eastAsia="Arial" w:hAnsi="Arial" w:cs="Arial"/>
          <w:color w:val="888888"/>
        </w:rPr>
        <w:t xml:space="preserve">— </w:t>
      </w:r>
      <w:r>
        <w:rPr>
          <w:rFonts w:ascii="Arial" w:eastAsia="Arial" w:hAnsi="Arial" w:cs="Arial"/>
          <w:color w:val="888888"/>
        </w:rPr>
        <w:t>会议纪要请在会后</w:t>
      </w:r>
      <w:r>
        <w:rPr>
          <w:rFonts w:ascii="Arial" w:eastAsia="Arial" w:hAnsi="Arial" w:cs="Arial"/>
          <w:color w:val="888888"/>
        </w:rPr>
        <w:t>24</w:t>
      </w:r>
      <w:r>
        <w:rPr>
          <w:rFonts w:ascii="Arial" w:eastAsia="Arial" w:hAnsi="Arial" w:cs="Arial"/>
          <w:color w:val="888888"/>
        </w:rPr>
        <w:t>小时内整理发送至全体成员</w:t>
      </w:r>
      <w:r>
        <w:rPr>
          <w:rFonts w:ascii="Arial" w:eastAsia="Arial" w:hAnsi="Arial" w:cs="Arial"/>
          <w:color w:val="888888"/>
        </w:rPr>
        <w:t xml:space="preserve"> —</w:t>
      </w:r>
    </w:p>
    <w:sectPr w:rsidR="009834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3582"/>
    <w:multiLevelType w:val="hybridMultilevel"/>
    <w:tmpl w:val="12000C5C"/>
    <w:lvl w:ilvl="0" w:tplc="7B945244">
      <w:start w:val="1"/>
      <w:numFmt w:val="decimal"/>
      <w:lvlText w:val="%1."/>
      <w:lvlJc w:val="left"/>
      <w:pPr>
        <w:ind w:left="720" w:hanging="360"/>
      </w:pPr>
    </w:lvl>
    <w:lvl w:ilvl="1" w:tplc="77FC692A">
      <w:numFmt w:val="decimal"/>
      <w:lvlText w:val=""/>
      <w:lvlJc w:val="left"/>
    </w:lvl>
    <w:lvl w:ilvl="2" w:tplc="FDAA02FC">
      <w:numFmt w:val="decimal"/>
      <w:lvlText w:val=""/>
      <w:lvlJc w:val="left"/>
    </w:lvl>
    <w:lvl w:ilvl="3" w:tplc="C520D9AC">
      <w:numFmt w:val="decimal"/>
      <w:lvlText w:val=""/>
      <w:lvlJc w:val="left"/>
    </w:lvl>
    <w:lvl w:ilvl="4" w:tplc="420055B8">
      <w:numFmt w:val="decimal"/>
      <w:lvlText w:val=""/>
      <w:lvlJc w:val="left"/>
    </w:lvl>
    <w:lvl w:ilvl="5" w:tplc="D3CCBC38">
      <w:numFmt w:val="decimal"/>
      <w:lvlText w:val=""/>
      <w:lvlJc w:val="left"/>
    </w:lvl>
    <w:lvl w:ilvl="6" w:tplc="4DE6EBAC">
      <w:numFmt w:val="decimal"/>
      <w:lvlText w:val=""/>
      <w:lvlJc w:val="left"/>
    </w:lvl>
    <w:lvl w:ilvl="7" w:tplc="E612EDEC">
      <w:numFmt w:val="decimal"/>
      <w:lvlText w:val=""/>
      <w:lvlJc w:val="left"/>
    </w:lvl>
    <w:lvl w:ilvl="8" w:tplc="FE50DBA4">
      <w:numFmt w:val="decimal"/>
      <w:lvlText w:val=""/>
      <w:lvlJc w:val="left"/>
    </w:lvl>
  </w:abstractNum>
  <w:abstractNum w:abstractNumId="1" w15:restartNumberingAfterBreak="0">
    <w:nsid w:val="18B21BA8"/>
    <w:multiLevelType w:val="hybridMultilevel"/>
    <w:tmpl w:val="4C5E4934"/>
    <w:lvl w:ilvl="0" w:tplc="E4A637A0">
      <w:start w:val="1"/>
      <w:numFmt w:val="bullet"/>
      <w:lvlText w:val="●"/>
      <w:lvlJc w:val="left"/>
      <w:pPr>
        <w:ind w:left="720" w:hanging="360"/>
      </w:pPr>
    </w:lvl>
    <w:lvl w:ilvl="1" w:tplc="755E2046">
      <w:start w:val="1"/>
      <w:numFmt w:val="bullet"/>
      <w:lvlText w:val="○"/>
      <w:lvlJc w:val="left"/>
      <w:pPr>
        <w:ind w:left="1440" w:hanging="360"/>
      </w:pPr>
    </w:lvl>
    <w:lvl w:ilvl="2" w:tplc="A40CF838">
      <w:start w:val="1"/>
      <w:numFmt w:val="bullet"/>
      <w:lvlText w:val="■"/>
      <w:lvlJc w:val="left"/>
      <w:pPr>
        <w:ind w:left="2160" w:hanging="360"/>
      </w:pPr>
    </w:lvl>
    <w:lvl w:ilvl="3" w:tplc="0374EB8A">
      <w:start w:val="1"/>
      <w:numFmt w:val="bullet"/>
      <w:lvlText w:val="●"/>
      <w:lvlJc w:val="left"/>
      <w:pPr>
        <w:ind w:left="2880" w:hanging="360"/>
      </w:pPr>
    </w:lvl>
    <w:lvl w:ilvl="4" w:tplc="D5DA955C">
      <w:start w:val="1"/>
      <w:numFmt w:val="bullet"/>
      <w:lvlText w:val="○"/>
      <w:lvlJc w:val="left"/>
      <w:pPr>
        <w:ind w:left="3600" w:hanging="360"/>
      </w:pPr>
    </w:lvl>
    <w:lvl w:ilvl="5" w:tplc="56A2FD34">
      <w:start w:val="1"/>
      <w:numFmt w:val="bullet"/>
      <w:lvlText w:val="■"/>
      <w:lvlJc w:val="left"/>
      <w:pPr>
        <w:ind w:left="4320" w:hanging="360"/>
      </w:pPr>
    </w:lvl>
    <w:lvl w:ilvl="6" w:tplc="66F40D3E">
      <w:start w:val="1"/>
      <w:numFmt w:val="bullet"/>
      <w:lvlText w:val="●"/>
      <w:lvlJc w:val="left"/>
      <w:pPr>
        <w:ind w:left="5040" w:hanging="360"/>
      </w:pPr>
    </w:lvl>
    <w:lvl w:ilvl="7" w:tplc="63960914">
      <w:start w:val="1"/>
      <w:numFmt w:val="bullet"/>
      <w:lvlText w:val="●"/>
      <w:lvlJc w:val="left"/>
      <w:pPr>
        <w:ind w:left="5760" w:hanging="360"/>
      </w:pPr>
    </w:lvl>
    <w:lvl w:ilvl="8" w:tplc="B1E89F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C02C35"/>
    <w:multiLevelType w:val="hybridMultilevel"/>
    <w:tmpl w:val="345ADF36"/>
    <w:lvl w:ilvl="0" w:tplc="BE704960">
      <w:start w:val="1"/>
      <w:numFmt w:val="bullet"/>
      <w:lvlText w:val="•"/>
      <w:lvlJc w:val="left"/>
      <w:pPr>
        <w:ind w:left="720" w:hanging="360"/>
      </w:pPr>
    </w:lvl>
    <w:lvl w:ilvl="1" w:tplc="5CACC3D6">
      <w:numFmt w:val="decimal"/>
      <w:lvlText w:val=""/>
      <w:lvlJc w:val="left"/>
    </w:lvl>
    <w:lvl w:ilvl="2" w:tplc="977C1B08">
      <w:numFmt w:val="decimal"/>
      <w:lvlText w:val=""/>
      <w:lvlJc w:val="left"/>
    </w:lvl>
    <w:lvl w:ilvl="3" w:tplc="87B24A26">
      <w:numFmt w:val="decimal"/>
      <w:lvlText w:val=""/>
      <w:lvlJc w:val="left"/>
    </w:lvl>
    <w:lvl w:ilvl="4" w:tplc="1730FA84">
      <w:numFmt w:val="decimal"/>
      <w:lvlText w:val=""/>
      <w:lvlJc w:val="left"/>
    </w:lvl>
    <w:lvl w:ilvl="5" w:tplc="2ACE6F18">
      <w:numFmt w:val="decimal"/>
      <w:lvlText w:val=""/>
      <w:lvlJc w:val="left"/>
    </w:lvl>
    <w:lvl w:ilvl="6" w:tplc="71182C86">
      <w:numFmt w:val="decimal"/>
      <w:lvlText w:val=""/>
      <w:lvlJc w:val="left"/>
    </w:lvl>
    <w:lvl w:ilvl="7" w:tplc="8028DE18">
      <w:numFmt w:val="decimal"/>
      <w:lvlText w:val=""/>
      <w:lvlJc w:val="left"/>
    </w:lvl>
    <w:lvl w:ilvl="8" w:tplc="DC0AE95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47F"/>
    <w:rsid w:val="00235264"/>
    <w:rsid w:val="005D746B"/>
    <w:rsid w:val="0098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408B"/>
  <w15:docId w15:val="{A68787CD-A1B0-4687-BD70-EE976DFE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杨 旭东</cp:lastModifiedBy>
  <cp:revision>2</cp:revision>
  <dcterms:created xsi:type="dcterms:W3CDTF">2026-03-17T02:11:00Z</dcterms:created>
  <dcterms:modified xsi:type="dcterms:W3CDTF">2026-03-17T02:11:00Z</dcterms:modified>
</cp:coreProperties>
</file>