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1: Retail Intelligence</w:t>
      </w:r>
    </w:p>
    <w:p>
      <w:pPr>
        <w:pStyle w:val="Heading2"/>
      </w:pPr>
      <w:r>
        <w:t xml:space="preserve">KPI Definitions Sheet — Day 2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Prepared by Henry Nwankwo — NCPL AI Data Analyst Bootcamp, Cohort 3</w:t>
      </w:r>
    </w:p>
    <w:p>
      <w:pPr>
        <w:spacing w:after="200"/>
      </w:pPr>
      <w:r>
        <w:rPr>
          <w:sz w:val="21"/>
          <w:szCs w:val="21"/>
        </w:rPr>
        <w:t xml:space="preserve">This sheet defines the key business metrics used in the Day 2 SQL aggregation queries, including how each metric was adapted to the actual structure of the BlueMart retail dataset.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50"/>
      </w:tblGrid>
      <w:tr>
        <w:tc>
          <w:tcPr>
            <w:tcW w:type="dxa" w:w="2200"/>
            <w:shd w:fill="1F3D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 / Term</w:t>
            </w:r>
          </w:p>
        </w:tc>
        <w:tc>
          <w:tcPr>
            <w:tcW w:type="dxa" w:w="3500"/>
            <w:shd w:fill="1F3D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50"/>
            <w:shd w:fill="1F3D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on This Dataset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Revenue</w:t>
            </w:r>
          </w:p>
        </w:tc>
        <w:tc>
          <w:tcPr>
            <w:tcW w:type="dxa" w:w="3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Total sales value after discount is applied. Calculated per line item as quantity × unit_price × (1 − discount_pct/100), then summed.</w:t>
            </w:r>
          </w:p>
        </w:tc>
        <w:tc>
          <w:tcPr>
            <w:tcW w:type="dxa" w:w="365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bm_sales.total_value = quantity × unit_price only — it does NOT already subtract the discount, so Revenue must be recalculated rather than summing total_value directly.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AOV (Average Order Value)</w:t>
            </w:r>
          </w:p>
        </w:tc>
        <w:tc>
          <w:tcPr>
            <w:tcW w:type="dxa" w:w="3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Total Revenue ÷ Number of Orders.</w:t>
            </w:r>
          </w:p>
        </w:tc>
        <w:tc>
          <w:tcPr>
            <w:tcW w:type="dxa" w:w="365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This dataset has no order-level table — each bm_sales row is a line item, not a full order. AOV is therefore calculated per transaction row (Total Revenue ÷ number of sales rows) rather than per true multi-item order.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Units Sold</w:t>
            </w:r>
          </w:p>
        </w:tc>
        <w:tc>
          <w:tcPr>
            <w:tcW w:type="dxa" w:w="3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SUM of the quantity column in bm_sales, optionally grouped by product, store, or time period.</w:t>
            </w:r>
          </w:p>
        </w:tc>
        <w:tc>
          <w:tcPr>
            <w:tcW w:type="dxa" w:w="3650"/>
          </w:tcPr>
          <w:p>
            <w:r>
              <w:rPr>
                <w:i/>
                <w:iCs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Discount Rate</w:t>
            </w:r>
          </w:p>
        </w:tc>
        <w:tc>
          <w:tcPr>
            <w:tcW w:type="dxa" w:w="3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Total Discount Given ÷ Total Revenue (pre-discount), expressed as a percentage.</w:t>
            </w:r>
          </w:p>
        </w:tc>
        <w:tc>
          <w:tcPr>
            <w:tcW w:type="dxa" w:w="365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Total Discount = SUM(quantity × unit_price × discount_pct/100) across the relevant rows.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3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Not present as its own column in this dataset.</w:t>
            </w:r>
          </w:p>
        </w:tc>
        <w:tc>
          <w:tcPr>
            <w:tcW w:type="dxa" w:w="365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bm_stores.city is used as the regional grouping wherever the project brief says “region.”</w:t>
            </w:r>
          </w:p>
        </w:tc>
      </w:tr>
    </w:tbl>
    <w:p>
      <w:pPr>
        <w:pStyle w:val="Heading2"/>
        <w:spacing w:before="300"/>
      </w:pPr>
      <w:r>
        <w:t xml:space="preserve">Dataset Structure Notes</w:t>
      </w:r>
    </w:p>
    <w:p>
      <w:pPr>
        <w:spacing w:after="100"/>
      </w:pPr>
      <w:r>
        <w:rPr>
          <w:sz w:val="21"/>
          <w:szCs w:val="21"/>
        </w:rPr>
        <w:t xml:space="preserve">• Six tables: bm_customers, bm_stores, bm_skus, bm_sales, bm_promotions, bm_inventory.</w:t>
      </w:r>
    </w:p>
    <w:p>
      <w:pPr>
        <w:spacing w:after="100"/>
      </w:pPr>
      <w:r>
        <w:rPr>
          <w:sz w:val="21"/>
          <w:szCs w:val="21"/>
        </w:rPr>
        <w:t xml:space="preserve">• bm_sales.customer_id corresponds to bm_customers.cust_id (column names differ, values match).</w:t>
      </w:r>
    </w:p>
    <w:p>
      <w:pPr>
        <w:spacing w:after="100"/>
      </w:pPr>
      <w:r>
        <w:rPr>
          <w:sz w:val="21"/>
          <w:szCs w:val="21"/>
        </w:rPr>
        <w:t xml:space="preserve">• There is no order-level table; each bm_sales row represents a single product line item rather than a full multi-item order.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2026-08-24T21:41:13.145Z</dcterms:created>
  <dcterms:modified xsi:type="dcterms:W3CDTF">2026-08-24T21:41:13.162Z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