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Retail Intelligence — Executive Summary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Henry Nwankwo — NCPL AI Data Analyst Bootcamp, Cohort 3 — Project 1, Day 4</w:t>
      </w:r>
    </w:p>
    <w:p>
      <w:pPr>
        <w:pStyle w:val="Heading2"/>
        <w:spacing w:after="40" w:before="60"/>
      </w:pPr>
      <w:r>
        <w:t xml:space="preserve">1. Which category and region gives the highest revenue?</w:t>
      </w:r>
    </w:p>
    <w:p>
      <w:pPr>
        <w:spacing w:after="140"/>
      </w:pPr>
      <w:r>
        <w:rPr>
          <w:sz w:val="21"/>
          <w:szCs w:val="21"/>
        </w:rPr>
        <w:t xml:space="preserve">Electronics is the top-performing product category, led by batteries, chargers, and cables/mobile accessories. Dubai is the top-performing city, generating roughly double the revenue of Abu Dhabi and more than triple that of Sharjah — the three cities account for all store revenue in this dataset.</w:t>
      </w:r>
    </w:p>
    <w:p>
      <w:pPr>
        <w:pStyle w:val="Heading2"/>
        <w:spacing w:after="40" w:before="60"/>
      </w:pPr>
      <w:r>
        <w:t xml:space="preserve">2. How many customers are at risk of leaving?</w:t>
      </w:r>
    </w:p>
    <w:p>
      <w:pPr>
        <w:spacing w:after="140"/>
      </w:pPr>
      <w:r>
        <w:rPr>
          <w:sz w:val="21"/>
          <w:szCs w:val="21"/>
        </w:rPr>
        <w:t xml:space="preserve">Using RFM segmentation, 276 customers (5.5% of the base) are classified “At Risk” — historically high spenders who haven't purchased recently. A further 756 customers (15.1%) are already “Lost.” Together, roughly 1 in 5 customers need active re-engagement. By contrast, 522 customers (10.4%) are “Champions” and 1,479 (29.6%) are “Loyal,” representing the base's strongest retention segment.</w:t>
      </w:r>
    </w:p>
    <w:p>
      <w:pPr>
        <w:pStyle w:val="Heading2"/>
        <w:spacing w:after="40" w:before="60"/>
      </w:pPr>
      <w:r>
        <w:t xml:space="preserve">3. Did promotions help increase sales?</w:t>
      </w:r>
    </w:p>
    <w:p>
      <w:pPr>
        <w:spacing w:after="160"/>
      </w:pPr>
      <w:r>
        <w:rPr>
          <w:sz w:val="21"/>
          <w:szCs w:val="21"/>
        </w:rPr>
        <w:t xml:space="preserve">Yes. Average revenue per transaction was 46.4% higher during promotional periods ($120.44) than outside them ($93.19). Total revenue during promotion periods reached $41.1M versus $28.0M in non-promotion periods, despite promotion periods covering fewer transactions overall — indicating promotions meaningfully lift both transaction value and total sales.</w:t>
      </w:r>
    </w:p>
    <w:p>
      <w:pPr>
        <w:pStyle w:val="Heading2"/>
        <w:spacing w:after="80" w:before="60"/>
      </w:pPr>
      <w:r>
        <w:t xml:space="preserve">Supporting Visuals</w:t>
      </w: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20"/>
        <w:gridCol w:w="5220"/>
      </w:tblGrid>
      <w:tr>
        <w:tc>
          <w:tcPr>
            <w:tcW w:type="dxa" w:w="5220"/>
          </w:tcPr>
          <w:p>
            <w:pPr>
              <w:jc w:val="center"/>
            </w:pPr>
            <w:r>
              <w:drawing>
                <wp:inline distT="0" distB="0" distL="0" distR="0">
                  <wp:extent cx="2476500" cy="1466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Total Revenue by City</w:t>
            </w:r>
          </w:p>
        </w:tc>
        <w:tc>
          <w:tcPr>
            <w:tcW w:type="dxa" w:w="5220"/>
          </w:tcPr>
          <w:p>
            <w:pPr>
              <w:jc w:val="center"/>
            </w:pPr>
            <w:r>
              <w:drawing>
                <wp:inline distT="0" distB="0" distL="0" distR="0">
                  <wp:extent cx="1905000" cy="1800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Customer Distribution by RFM Segment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340fe81382bfd4dcf043ec7b95cb3254ab0903.png"/><Relationship Id="rId8" Type="http://schemas.openxmlformats.org/officeDocument/2006/relationships/image" Target="media/857e05a0c3f0b45ded2abcd2e83a894630091b7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2026-08-26T11:51:20.134Z</dcterms:created>
  <dcterms:modified xsi:type="dcterms:W3CDTF">2026-08-26T11:51:20.147Z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