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5DBD8">
      <w:pPr>
        <w:jc w:val="center"/>
        <w:rPr>
          <w:rFonts w:hint="default"/>
          <w:b/>
          <w:bCs/>
          <w:sz w:val="32"/>
          <w:szCs w:val="32"/>
          <w:u w:val="single"/>
          <w:lang w:val="en-US"/>
        </w:rPr>
      </w:pPr>
      <w:r>
        <w:rPr>
          <w:rFonts w:hint="default"/>
          <w:b/>
          <w:bCs/>
          <w:sz w:val="32"/>
          <w:szCs w:val="32"/>
          <w:u w:val="single"/>
          <w:lang w:val="en-US"/>
        </w:rPr>
        <w:t>Analysis report</w:t>
      </w:r>
    </w:p>
    <w:p w14:paraId="4CE57B17">
      <w:pPr>
        <w:ind w:left="330" w:hanging="330" w:hangingChars="150"/>
        <w:jc w:val="both"/>
        <w:rPr>
          <w:rFonts w:hint="default" w:ascii="Times New Roman" w:hAnsi="Times New Roman" w:cs="Times New Roman"/>
          <w:sz w:val="28"/>
          <w:szCs w:val="28"/>
          <w:lang w:val="en-US"/>
        </w:rPr>
      </w:pPr>
      <w:r>
        <w:pict>
          <v:shape id="_x0000_i1025" o:spt="75" type="#_x0000_t75" style="height:373.45pt;width:468pt;" filled="f" stroked="f" coordsize="21600,21600">
            <v:path/>
            <v:fill on="f" focussize="0,0"/>
            <v:stroke on="f"/>
            <v:imagedata r:id="rId6" o:title=""/>
            <o:lock v:ext="edit" aspectratio="t"/>
            <w10:wrap type="none"/>
            <w10:anchorlock/>
          </v:shape>
        </w:pict>
      </w:r>
      <w:r>
        <w:rPr>
          <w:rFonts w:hint="default" w:ascii="Times New Roman" w:hAnsi="Times New Roman" w:cs="Times New Roman"/>
          <w:sz w:val="24"/>
          <w:szCs w:val="24"/>
          <w:lang w:val="en-US"/>
        </w:rPr>
        <w:t>Figure 1: Spearman correlation matrix heatmap (red = positive, blue = negative correlations)</w:t>
      </w:r>
    </w:p>
    <w:p w14:paraId="701DE1ED">
      <w:pPr>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correlation analysis reveals the strength and direction of relationships between morphometric traits. Positive correlations indicate traits that increase together, while negative correlations suggest trade-offs. The presence of significant correlations justifies dimensionality reduction through PCA.</w:t>
      </w:r>
    </w:p>
    <w:p w14:paraId="545F0471">
      <w:pPr>
        <w:ind w:firstLine="720" w:firstLineChars="0"/>
        <w:jc w:val="both"/>
        <w:rPr>
          <w:rFonts w:hint="default"/>
          <w:lang w:val="en-US"/>
        </w:rPr>
      </w:pPr>
    </w:p>
    <w:p w14:paraId="3BC7899A">
      <w:pPr>
        <w:ind w:firstLine="720" w:firstLineChars="0"/>
        <w:jc w:val="both"/>
        <w:rPr>
          <w:rFonts w:hint="default"/>
          <w:lang w:val="en-US"/>
        </w:rPr>
      </w:pPr>
    </w:p>
    <w:p w14:paraId="74F61894">
      <w:pPr>
        <w:ind w:firstLine="720" w:firstLineChars="0"/>
        <w:jc w:val="both"/>
        <w:rPr>
          <w:rFonts w:hint="default"/>
          <w:lang w:val="en-US"/>
        </w:rPr>
      </w:pPr>
    </w:p>
    <w:p w14:paraId="0144C544">
      <w:pPr>
        <w:ind w:firstLine="720" w:firstLineChars="0"/>
        <w:jc w:val="both"/>
        <w:rPr>
          <w:rFonts w:hint="default"/>
          <w:lang w:val="en-US"/>
        </w:rPr>
      </w:pPr>
    </w:p>
    <w:p w14:paraId="02F11636">
      <w:pPr>
        <w:ind w:firstLine="720" w:firstLineChars="0"/>
        <w:jc w:val="both"/>
        <w:rPr>
          <w:rFonts w:hint="default"/>
          <w:lang w:val="en-US"/>
        </w:rPr>
      </w:pPr>
    </w:p>
    <w:p w14:paraId="52FF6CF9">
      <w:pPr>
        <w:jc w:val="center"/>
        <w:rPr>
          <w:rFonts w:hint="default"/>
          <w:b/>
          <w:bCs/>
          <w:u w:val="single"/>
          <w:lang w:val="en-US"/>
        </w:rPr>
      </w:pPr>
      <w:r>
        <w:rPr>
          <w:rFonts w:hint="default"/>
          <w:b/>
          <w:bCs/>
          <w:u w:val="single"/>
          <w:lang w:val="en-US"/>
        </w:rPr>
        <w:t>PCA VISUALIZATION</w:t>
      </w:r>
    </w:p>
    <w:p w14:paraId="6077DF24">
      <w:pPr>
        <w:ind w:left="1540" w:hanging="1540" w:hangingChars="700"/>
        <w:jc w:val="both"/>
        <w:rPr/>
      </w:pPr>
      <w:r>
        <w:pict>
          <v:shape id="_x0000_i1026" o:spt="75" type="#_x0000_t75" style="height:328.15pt;width:467.45pt;" filled="f" stroked="f" coordsize="21600,21600">
            <v:path/>
            <v:fill on="f" focussize="0,0"/>
            <v:stroke on="f"/>
            <v:imagedata r:id="rId7" o:title=""/>
            <o:lock v:ext="edit" aspectratio="t"/>
            <w10:wrap type="none"/>
            <w10:anchorlock/>
          </v:shape>
        </w:pict>
      </w:r>
      <w:r>
        <w:rPr>
          <w:rFonts w:hint="default"/>
          <w:lang w:val="en-US" w:eastAsia="zh-CN"/>
        </w:rPr>
        <w:t>Figure 2: Scree plot showing variance explained by each principal component</w:t>
      </w:r>
    </w:p>
    <w:p w14:paraId="7EBD29D3">
      <w:pPr>
        <w:jc w:val="both"/>
      </w:pPr>
      <w:r>
        <w:pict>
          <v:shape id="_x0000_i1027" o:spt="75" alt="" type="#_x0000_t75" style="height:242.75pt;width:467.85pt;" filled="f" o:preferrelative="t" stroked="f" coordsize="21600,21600">
            <v:path/>
            <v:fill on="f" focussize="0,0"/>
            <v:stroke on="f"/>
            <v:imagedata r:id="rId8" o:title=""/>
            <o:lock v:ext="edit" aspectratio="t"/>
            <w10:wrap type="none"/>
            <w10:anchorlock/>
          </v:shape>
        </w:pict>
      </w:r>
    </w:p>
    <w:p w14:paraId="3BBF7DF9">
      <w:pPr>
        <w:ind w:firstLine="1120" w:firstLineChars="40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Figure 3: Contribution of each original variable to PC1 and PC2</w:t>
      </w:r>
    </w:p>
    <w:p w14:paraId="1DBC94FF">
      <w:pPr>
        <w:ind w:firstLine="2090" w:firstLineChars="950"/>
        <w:jc w:val="both"/>
        <w:rPr>
          <w:rFonts w:hint="default"/>
          <w:lang w:val="en-US" w:eastAsia="zh-CN"/>
        </w:rPr>
      </w:pPr>
    </w:p>
    <w:p w14:paraId="6A67FC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Segoe UI" w:cs="Times New Roman"/>
          <w:i w:val="0"/>
          <w:iCs w:val="0"/>
          <w:caps w:val="0"/>
          <w:color w:val="333333"/>
          <w:spacing w:val="0"/>
          <w:sz w:val="28"/>
          <w:szCs w:val="28"/>
        </w:rPr>
      </w:pPr>
      <w:r>
        <w:rPr>
          <w:rFonts w:hint="default" w:ascii="Times New Roman" w:hAnsi="Times New Roman" w:eastAsia="Segoe UI" w:cs="Times New Roman"/>
          <w:i w:val="0"/>
          <w:iCs w:val="0"/>
          <w:caps w:val="0"/>
          <w:color w:val="333333"/>
          <w:spacing w:val="0"/>
          <w:sz w:val="28"/>
          <w:szCs w:val="28"/>
          <w:bdr w:val="none" w:color="auto" w:sz="0" w:space="0"/>
        </w:rPr>
        <w:t>The PCA revealed that the first three principal components explain </w:t>
      </w:r>
      <w:r>
        <w:rPr>
          <w:rStyle w:val="7"/>
          <w:rFonts w:hint="default" w:ascii="Times New Roman" w:hAnsi="Times New Roman" w:eastAsia="Segoe UI" w:cs="Times New Roman"/>
          <w:i w:val="0"/>
          <w:iCs w:val="0"/>
          <w:caps w:val="0"/>
          <w:color w:val="333333"/>
          <w:spacing w:val="0"/>
          <w:sz w:val="28"/>
          <w:szCs w:val="28"/>
          <w:bdr w:val="none" w:color="auto" w:sz="0" w:space="0"/>
        </w:rPr>
        <w:t>78.5%</w:t>
      </w:r>
      <w:r>
        <w:rPr>
          <w:rFonts w:hint="default" w:ascii="Times New Roman" w:hAnsi="Times New Roman" w:eastAsia="Segoe UI" w:cs="Times New Roman"/>
          <w:i w:val="0"/>
          <w:iCs w:val="0"/>
          <w:caps w:val="0"/>
          <w:color w:val="333333"/>
          <w:spacing w:val="0"/>
          <w:sz w:val="28"/>
          <w:szCs w:val="28"/>
          <w:bdr w:val="none" w:color="auto" w:sz="0" w:space="0"/>
        </w:rPr>
        <w:t> of total variance:</w:t>
      </w:r>
    </w:p>
    <w:p w14:paraId="750522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PC1</w:t>
      </w:r>
      <w:r>
        <w:rPr>
          <w:rFonts w:hint="default" w:ascii="Times New Roman" w:hAnsi="Times New Roman" w:eastAsia="Segoe UI" w:cs="Times New Roman"/>
          <w:i w:val="0"/>
          <w:iCs w:val="0"/>
          <w:caps w:val="0"/>
          <w:color w:val="333333"/>
          <w:spacing w:val="0"/>
          <w:sz w:val="28"/>
          <w:szCs w:val="28"/>
          <w:bdr w:val="none" w:color="auto" w:sz="0" w:space="0"/>
        </w:rPr>
        <w:t> explains 51% of variance</w:t>
      </w:r>
    </w:p>
    <w:p w14:paraId="0480F2E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PC2</w:t>
      </w:r>
      <w:r>
        <w:rPr>
          <w:rFonts w:hint="default" w:ascii="Times New Roman" w:hAnsi="Times New Roman" w:eastAsia="Segoe UI" w:cs="Times New Roman"/>
          <w:i w:val="0"/>
          <w:iCs w:val="0"/>
          <w:caps w:val="0"/>
          <w:color w:val="333333"/>
          <w:spacing w:val="0"/>
          <w:sz w:val="28"/>
          <w:szCs w:val="28"/>
          <w:bdr w:val="none" w:color="auto" w:sz="0" w:space="0"/>
        </w:rPr>
        <w:t> explains 17.2% of variance</w:t>
      </w:r>
    </w:p>
    <w:p w14:paraId="17299B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PC3</w:t>
      </w:r>
      <w:r>
        <w:rPr>
          <w:rFonts w:hint="default" w:ascii="Times New Roman" w:hAnsi="Times New Roman" w:eastAsia="Segoe UI" w:cs="Times New Roman"/>
          <w:i w:val="0"/>
          <w:iCs w:val="0"/>
          <w:caps w:val="0"/>
          <w:color w:val="333333"/>
          <w:spacing w:val="0"/>
          <w:sz w:val="28"/>
          <w:szCs w:val="28"/>
          <w:bdr w:val="none" w:color="auto" w:sz="0" w:space="0"/>
        </w:rPr>
        <w:t> explains 10.3% of variance</w:t>
      </w:r>
    </w:p>
    <w:p w14:paraId="467C94CD">
      <w:pPr>
        <w:jc w:val="both"/>
        <w:rPr>
          <w:rFonts w:hint="default"/>
          <w:lang w:val="en-US" w:eastAsia="zh-CN"/>
        </w:rPr>
      </w:pPr>
    </w:p>
    <w:p w14:paraId="4DB7D8F3">
      <w:pPr>
        <w:jc w:val="both"/>
      </w:pPr>
      <w:r>
        <w:pict>
          <v:shape id="_x0000_i1029" o:spt="75" alt="" type="#_x0000_t75" style="height:301.3pt;width:412.8pt;" filled="f" o:preferrelative="t" stroked="f" coordsize="21600,21600">
            <v:path/>
            <v:fill on="f" focussize="0,0"/>
            <v:stroke on="f"/>
            <v:imagedata r:id="rId9" o:title=""/>
            <o:lock v:ext="edit" aspectratio="t"/>
            <w10:wrap type="none"/>
            <w10:anchorlock/>
          </v:shape>
        </w:pict>
      </w:r>
    </w:p>
    <w:p w14:paraId="5B11CF32">
      <w:pPr>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Figure 4: PCA biplot with points colored by group (without confidence ellipses)</w:t>
      </w:r>
    </w:p>
    <w:p w14:paraId="5CA3AFA2">
      <w:pPr>
        <w:jc w:val="both"/>
      </w:pPr>
    </w:p>
    <w:p w14:paraId="449B3D4B">
      <w:pPr>
        <w:ind w:left="1650" w:hanging="1650" w:hangingChars="750"/>
        <w:jc w:val="left"/>
        <w:rPr>
          <w:rFonts w:hint="default" w:ascii="Times New Roman" w:hAnsi="Times New Roman" w:cs="Times New Roman"/>
          <w:sz w:val="28"/>
          <w:szCs w:val="28"/>
        </w:rPr>
      </w:pPr>
      <w:r>
        <w:pict>
          <v:shape id="_x0000_i1030" o:spt="75" alt="" type="#_x0000_t75" style="height:381.1pt;width:530.75pt;" filled="f" o:preferrelative="t" stroked="f" coordsize="21600,21600">
            <v:path/>
            <v:fill on="f" focussize="0,0"/>
            <v:stroke on="f"/>
            <v:imagedata r:id="rId10" cropbottom="376f" o:title=""/>
            <o:lock v:ext="edit" aspectratio="t"/>
            <w10:wrap type="none"/>
            <w10:anchorlock/>
          </v:shape>
        </w:pict>
      </w:r>
      <w:r>
        <w:rPr>
          <w:rFonts w:hint="default" w:ascii="Times New Roman" w:hAnsi="Times New Roman" w:cs="Times New Roman"/>
          <w:sz w:val="28"/>
          <w:szCs w:val="28"/>
        </w:rPr>
        <w:t>Figure 5: PCA biplot with 95% confidence ellipses for each group</w:t>
      </w:r>
    </w:p>
    <w:p w14:paraId="7D9DFC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default" w:ascii="Times New Roman" w:hAnsi="Times New Roman" w:eastAsia="Segoe UI" w:cs="Times New Roman"/>
          <w:i w:val="0"/>
          <w:iCs w:val="0"/>
          <w:caps w:val="0"/>
          <w:color w:val="333333"/>
          <w:spacing w:val="0"/>
          <w:sz w:val="28"/>
          <w:szCs w:val="28"/>
        </w:rPr>
      </w:pPr>
      <w:r>
        <w:rPr>
          <w:rFonts w:hint="default" w:ascii="Times New Roman" w:hAnsi="Times New Roman" w:eastAsia="Segoe UI" w:cs="Times New Roman"/>
          <w:i w:val="0"/>
          <w:iCs w:val="0"/>
          <w:caps w:val="0"/>
          <w:color w:val="333333"/>
          <w:spacing w:val="0"/>
          <w:sz w:val="28"/>
          <w:szCs w:val="28"/>
          <w:bdr w:val="none" w:color="auto" w:sz="0" w:space="0"/>
          <w:lang w:val="en-US"/>
        </w:rPr>
        <w:t>Here we can see that th</w:t>
      </w:r>
      <w:r>
        <w:rPr>
          <w:rFonts w:hint="default" w:ascii="Times New Roman" w:hAnsi="Times New Roman" w:eastAsia="Segoe UI" w:cs="Times New Roman"/>
          <w:i w:val="0"/>
          <w:iCs w:val="0"/>
          <w:caps w:val="0"/>
          <w:color w:val="333333"/>
          <w:spacing w:val="0"/>
          <w:sz w:val="28"/>
          <w:szCs w:val="28"/>
          <w:bdr w:val="none" w:color="auto" w:sz="0" w:space="0"/>
        </w:rPr>
        <w:t>e PCA biplots with 95% confidence ellipses show the degree of separation between groups:</w:t>
      </w:r>
    </w:p>
    <w:p w14:paraId="0D11CF2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Á vs Ã:</w:t>
      </w:r>
      <w:r>
        <w:rPr>
          <w:rFonts w:hint="default" w:ascii="Times New Roman" w:hAnsi="Times New Roman" w:eastAsia="Segoe UI" w:cs="Times New Roman"/>
          <w:i w:val="0"/>
          <w:iCs w:val="0"/>
          <w:caps w:val="0"/>
          <w:color w:val="333333"/>
          <w:spacing w:val="0"/>
          <w:sz w:val="28"/>
          <w:szCs w:val="28"/>
          <w:bdr w:val="none" w:color="auto" w:sz="0" w:space="0"/>
        </w:rPr>
        <w:t> Overlapping (distance = 0.39 units)</w:t>
      </w:r>
    </w:p>
    <w:p w14:paraId="67F0FC5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Á vs È:</w:t>
      </w:r>
      <w:r>
        <w:rPr>
          <w:rFonts w:hint="default" w:ascii="Times New Roman" w:hAnsi="Times New Roman" w:eastAsia="Segoe UI" w:cs="Times New Roman"/>
          <w:i w:val="0"/>
          <w:iCs w:val="0"/>
          <w:caps w:val="0"/>
          <w:color w:val="333333"/>
          <w:spacing w:val="0"/>
          <w:sz w:val="28"/>
          <w:szCs w:val="28"/>
          <w:bdr w:val="none" w:color="auto" w:sz="0" w:space="0"/>
        </w:rPr>
        <w:t> Overlapping (distance = 0.33 units)</w:t>
      </w:r>
    </w:p>
    <w:p w14:paraId="37B4242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Á vs Ë:</w:t>
      </w:r>
      <w:r>
        <w:rPr>
          <w:rFonts w:hint="default" w:ascii="Times New Roman" w:hAnsi="Times New Roman" w:eastAsia="Segoe UI" w:cs="Times New Roman"/>
          <w:i w:val="0"/>
          <w:iCs w:val="0"/>
          <w:caps w:val="0"/>
          <w:color w:val="333333"/>
          <w:spacing w:val="0"/>
          <w:sz w:val="28"/>
          <w:szCs w:val="28"/>
          <w:bdr w:val="none" w:color="auto" w:sz="0" w:space="0"/>
        </w:rPr>
        <w:t> Overlapping (distance = 0.21 units)</w:t>
      </w:r>
    </w:p>
    <w:p w14:paraId="0DFC97F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Á vs Î:</w:t>
      </w:r>
      <w:r>
        <w:rPr>
          <w:rFonts w:hint="default" w:ascii="Times New Roman" w:hAnsi="Times New Roman" w:eastAsia="Segoe UI" w:cs="Times New Roman"/>
          <w:i w:val="0"/>
          <w:iCs w:val="0"/>
          <w:caps w:val="0"/>
          <w:color w:val="333333"/>
          <w:spacing w:val="0"/>
          <w:sz w:val="28"/>
          <w:szCs w:val="28"/>
          <w:bdr w:val="none" w:color="auto" w:sz="0" w:space="0"/>
        </w:rPr>
        <w:t> Overlapping (distance = 0.29 units)</w:t>
      </w:r>
    </w:p>
    <w:p w14:paraId="4F22428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Á vs Õ:</w:t>
      </w:r>
      <w:r>
        <w:rPr>
          <w:rFonts w:hint="default" w:ascii="Times New Roman" w:hAnsi="Times New Roman" w:eastAsia="Segoe UI" w:cs="Times New Roman"/>
          <w:i w:val="0"/>
          <w:iCs w:val="0"/>
          <w:caps w:val="0"/>
          <w:color w:val="333333"/>
          <w:spacing w:val="0"/>
          <w:sz w:val="28"/>
          <w:szCs w:val="28"/>
          <w:bdr w:val="none" w:color="auto" w:sz="0" w:space="0"/>
        </w:rPr>
        <w:t> Overlapping (distance = 0.38 units)</w:t>
      </w:r>
    </w:p>
    <w:p w14:paraId="6EDB6BC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Ã vs È:</w:t>
      </w:r>
      <w:r>
        <w:rPr>
          <w:rFonts w:hint="default" w:ascii="Times New Roman" w:hAnsi="Times New Roman" w:eastAsia="Segoe UI" w:cs="Times New Roman"/>
          <w:i w:val="0"/>
          <w:iCs w:val="0"/>
          <w:caps w:val="0"/>
          <w:color w:val="333333"/>
          <w:spacing w:val="0"/>
          <w:sz w:val="28"/>
          <w:szCs w:val="28"/>
          <w:bdr w:val="none" w:color="auto" w:sz="0" w:space="0"/>
        </w:rPr>
        <w:t> Overlapping (distance = 0.72 units)</w:t>
      </w:r>
    </w:p>
    <w:p w14:paraId="288338F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Ã vs Ë:</w:t>
      </w:r>
      <w:r>
        <w:rPr>
          <w:rFonts w:hint="default" w:ascii="Times New Roman" w:hAnsi="Times New Roman" w:eastAsia="Segoe UI" w:cs="Times New Roman"/>
          <w:i w:val="0"/>
          <w:iCs w:val="0"/>
          <w:caps w:val="0"/>
          <w:color w:val="333333"/>
          <w:spacing w:val="0"/>
          <w:sz w:val="28"/>
          <w:szCs w:val="28"/>
          <w:bdr w:val="none" w:color="auto" w:sz="0" w:space="0"/>
        </w:rPr>
        <w:t> Overlapping (distance = 0.56 units)</w:t>
      </w:r>
    </w:p>
    <w:p w14:paraId="0866E50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Ã vs Î:</w:t>
      </w:r>
      <w:r>
        <w:rPr>
          <w:rFonts w:hint="default" w:ascii="Times New Roman" w:hAnsi="Times New Roman" w:eastAsia="Segoe UI" w:cs="Times New Roman"/>
          <w:i w:val="0"/>
          <w:iCs w:val="0"/>
          <w:caps w:val="0"/>
          <w:color w:val="333333"/>
          <w:spacing w:val="0"/>
          <w:sz w:val="28"/>
          <w:szCs w:val="28"/>
          <w:bdr w:val="none" w:color="auto" w:sz="0" w:space="0"/>
        </w:rPr>
        <w:t> Overlapping (distance = 0.11 units)</w:t>
      </w:r>
    </w:p>
    <w:p w14:paraId="1DDD4EB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Ã vs Õ:</w:t>
      </w:r>
      <w:r>
        <w:rPr>
          <w:rFonts w:hint="default" w:ascii="Times New Roman" w:hAnsi="Times New Roman" w:eastAsia="Segoe UI" w:cs="Times New Roman"/>
          <w:i w:val="0"/>
          <w:iCs w:val="0"/>
          <w:caps w:val="0"/>
          <w:color w:val="333333"/>
          <w:spacing w:val="0"/>
          <w:sz w:val="28"/>
          <w:szCs w:val="28"/>
          <w:bdr w:val="none" w:color="auto" w:sz="0" w:space="0"/>
        </w:rPr>
        <w:t> Overlapping (distance = 0.45 units)</w:t>
      </w:r>
    </w:p>
    <w:p w14:paraId="4173A78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È vs Ë:</w:t>
      </w:r>
      <w:r>
        <w:rPr>
          <w:rFonts w:hint="default" w:ascii="Times New Roman" w:hAnsi="Times New Roman" w:eastAsia="Segoe UI" w:cs="Times New Roman"/>
          <w:i w:val="0"/>
          <w:iCs w:val="0"/>
          <w:caps w:val="0"/>
          <w:color w:val="333333"/>
          <w:spacing w:val="0"/>
          <w:sz w:val="28"/>
          <w:szCs w:val="28"/>
          <w:bdr w:val="none" w:color="auto" w:sz="0" w:space="0"/>
        </w:rPr>
        <w:t> Overlapping (distance = 0.31 units)</w:t>
      </w:r>
    </w:p>
    <w:p w14:paraId="20AF58D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È vs Î:</w:t>
      </w:r>
      <w:r>
        <w:rPr>
          <w:rFonts w:hint="default" w:ascii="Times New Roman" w:hAnsi="Times New Roman" w:eastAsia="Segoe UI" w:cs="Times New Roman"/>
          <w:i w:val="0"/>
          <w:iCs w:val="0"/>
          <w:caps w:val="0"/>
          <w:color w:val="333333"/>
          <w:spacing w:val="0"/>
          <w:sz w:val="28"/>
          <w:szCs w:val="28"/>
          <w:bdr w:val="none" w:color="auto" w:sz="0" w:space="0"/>
        </w:rPr>
        <w:t> Overlapping (distance = 0.61 units)</w:t>
      </w:r>
    </w:p>
    <w:p w14:paraId="0744EE7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È vs Õ:</w:t>
      </w:r>
      <w:r>
        <w:rPr>
          <w:rFonts w:hint="default" w:ascii="Times New Roman" w:hAnsi="Times New Roman" w:eastAsia="Segoe UI" w:cs="Times New Roman"/>
          <w:i w:val="0"/>
          <w:iCs w:val="0"/>
          <w:caps w:val="0"/>
          <w:color w:val="333333"/>
          <w:spacing w:val="0"/>
          <w:sz w:val="28"/>
          <w:szCs w:val="28"/>
          <w:bdr w:val="none" w:color="auto" w:sz="0" w:space="0"/>
        </w:rPr>
        <w:t> Overlapping (distance = 0.51 units)</w:t>
      </w:r>
    </w:p>
    <w:p w14:paraId="39FCEAC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Ë vs Î:</w:t>
      </w:r>
      <w:r>
        <w:rPr>
          <w:rFonts w:hint="default" w:ascii="Times New Roman" w:hAnsi="Times New Roman" w:eastAsia="Segoe UI" w:cs="Times New Roman"/>
          <w:i w:val="0"/>
          <w:iCs w:val="0"/>
          <w:caps w:val="0"/>
          <w:color w:val="333333"/>
          <w:spacing w:val="0"/>
          <w:sz w:val="28"/>
          <w:szCs w:val="28"/>
          <w:bdr w:val="none" w:color="auto" w:sz="0" w:space="0"/>
        </w:rPr>
        <w:t> Overlapping (distance = 0.48 units)</w:t>
      </w:r>
    </w:p>
    <w:p w14:paraId="4EE1EF5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7"/>
          <w:rFonts w:hint="default" w:ascii="Times New Roman" w:hAnsi="Times New Roman" w:eastAsia="Segoe UI" w:cs="Times New Roman"/>
          <w:i w:val="0"/>
          <w:iCs w:val="0"/>
          <w:caps w:val="0"/>
          <w:color w:val="333333"/>
          <w:spacing w:val="0"/>
          <w:sz w:val="28"/>
          <w:szCs w:val="28"/>
          <w:bdr w:val="none" w:color="auto" w:sz="0" w:space="0"/>
        </w:rPr>
        <w:t>Ë vs Õ:</w:t>
      </w:r>
      <w:r>
        <w:rPr>
          <w:rFonts w:hint="default" w:ascii="Times New Roman" w:hAnsi="Times New Roman" w:eastAsia="Segoe UI" w:cs="Times New Roman"/>
          <w:i w:val="0"/>
          <w:iCs w:val="0"/>
          <w:caps w:val="0"/>
          <w:color w:val="333333"/>
          <w:spacing w:val="0"/>
          <w:sz w:val="28"/>
          <w:szCs w:val="28"/>
          <w:bdr w:val="none" w:color="auto" w:sz="0" w:space="0"/>
        </w:rPr>
        <w:t> Overlapping (distance = 0.58 units)</w:t>
      </w:r>
    </w:p>
    <w:p w14:paraId="4BF9579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lang w:val="en-US" w:eastAsia="zh-CN"/>
        </w:rPr>
      </w:pPr>
      <w:r>
        <w:rPr>
          <w:rStyle w:val="7"/>
          <w:rFonts w:hint="default" w:ascii="Times New Roman" w:hAnsi="Times New Roman" w:eastAsia="Segoe UI" w:cs="Times New Roman"/>
          <w:i w:val="0"/>
          <w:iCs w:val="0"/>
          <w:caps w:val="0"/>
          <w:color w:val="333333"/>
          <w:spacing w:val="0"/>
          <w:sz w:val="28"/>
          <w:szCs w:val="28"/>
          <w:bdr w:val="none" w:color="auto" w:sz="0" w:space="0"/>
        </w:rPr>
        <w:t>Î vs Õ:</w:t>
      </w:r>
      <w:r>
        <w:rPr>
          <w:rFonts w:hint="default" w:ascii="Times New Roman" w:hAnsi="Times New Roman" w:eastAsia="Segoe UI" w:cs="Times New Roman"/>
          <w:i w:val="0"/>
          <w:iCs w:val="0"/>
          <w:caps w:val="0"/>
          <w:color w:val="333333"/>
          <w:spacing w:val="0"/>
          <w:sz w:val="28"/>
          <w:szCs w:val="28"/>
          <w:bdr w:val="none" w:color="auto" w:sz="0" w:space="0"/>
        </w:rPr>
        <w:t> Overlapping (distance = 0.37 units)</w:t>
      </w:r>
    </w:p>
    <w:p w14:paraId="436CCA2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76" w:lineRule="auto"/>
        <w:ind w:right="0" w:rightChars="0"/>
      </w:pPr>
      <w:r>
        <w:pict>
          <v:shape id="_x0000_i1031" o:spt="75" type="#_x0000_t75" style="height:280.7pt;width:481.45pt;" filled="f" o:preferrelative="t" stroked="f" coordsize="21600,21600">
            <v:path/>
            <v:fill on="f" focussize="0,0"/>
            <v:stroke on="f"/>
            <v:imagedata r:id="rId11" o:title=""/>
            <o:lock v:ext="edit" aspectratio="t"/>
            <w10:wrap type="none"/>
            <w10:anchorlock/>
          </v:shape>
        </w:pict>
      </w:r>
    </w:p>
    <w:p w14:paraId="4A9E6B47">
      <w:pPr>
        <w:ind w:firstLine="560" w:firstLineChars="200"/>
        <w:jc w:val="both"/>
        <w:rPr>
          <w:rFonts w:hint="default" w:ascii="Times New Roman" w:hAnsi="Times New Roman" w:cs="Times New Roman"/>
          <w:b/>
          <w:bCs/>
        </w:rPr>
      </w:pPr>
      <w:r>
        <w:rPr>
          <w:rFonts w:hint="default" w:ascii="Times New Roman" w:hAnsi="Times New Roman" w:cs="Times New Roman"/>
          <w:sz w:val="28"/>
          <w:szCs w:val="28"/>
        </w:rPr>
        <w:t>Figure 5</w:t>
      </w:r>
      <w:r>
        <w:rPr>
          <w:rFonts w:hint="default" w:ascii="Times New Roman" w:hAnsi="Times New Roman" w:cs="Times New Roman"/>
          <w:sz w:val="28"/>
          <w:szCs w:val="28"/>
          <w:lang w:val="en-US"/>
        </w:rPr>
        <w:t>: X</w:t>
      </w:r>
      <w:r>
        <w:rPr>
          <w:rFonts w:hint="default" w:ascii="Times New Roman" w:hAnsi="Times New Roman" w:eastAsia="Segoe UI" w:cs="Times New Roman"/>
          <w:i w:val="0"/>
          <w:iCs w:val="0"/>
          <w:caps w:val="0"/>
          <w:color w:val="333333"/>
          <w:spacing w:val="0"/>
          <w:sz w:val="27"/>
          <w:szCs w:val="27"/>
          <w:shd w:val="clear" w:fill="FFFFFF"/>
        </w:rPr>
        <w:t>plor</w:t>
      </w:r>
      <w:r>
        <w:rPr>
          <w:rFonts w:hint="default" w:ascii="Times New Roman" w:hAnsi="Times New Roman" w:eastAsia="Segoe UI" w:cs="Times New Roman"/>
          <w:i w:val="0"/>
          <w:iCs w:val="0"/>
          <w:caps w:val="0"/>
          <w:color w:val="333333"/>
          <w:spacing w:val="0"/>
          <w:sz w:val="27"/>
          <w:szCs w:val="27"/>
          <w:shd w:val="clear" w:fill="FFFFFF"/>
          <w:lang w:val="en-US"/>
        </w:rPr>
        <w:t>ing</w:t>
      </w:r>
      <w:r>
        <w:rPr>
          <w:rFonts w:hint="default" w:ascii="Times New Roman" w:hAnsi="Times New Roman" w:eastAsia="Segoe UI" w:cs="Times New Roman"/>
          <w:i w:val="0"/>
          <w:iCs w:val="0"/>
          <w:caps w:val="0"/>
          <w:color w:val="333333"/>
          <w:spacing w:val="0"/>
          <w:sz w:val="27"/>
          <w:szCs w:val="27"/>
          <w:shd w:val="clear" w:fill="FFFFFF"/>
        </w:rPr>
        <w:t xml:space="preserve"> the PCA results in three dimensions with interactive controls</w:t>
      </w:r>
    </w:p>
    <w:p w14:paraId="584D03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720" w:firstLineChars="0"/>
        <w:jc w:val="both"/>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bdr w:val="none" w:color="auto" w:sz="0" w:space="0"/>
          <w:shd w:val="clear" w:fill="FFFFFF"/>
          <w:lang w:val="en-US" w:eastAsia="zh-CN" w:bidi="ar"/>
        </w:rPr>
        <w:t>Here this 3D PCA biplot visualizes shape variation across the dataset, with PC1 explaining 51%, PC2 17.2%, and PC3 10.3% of total variation—together capturing nearly 80% of the total morphological difference. Individual samples cluster cl</w:t>
      </w:r>
      <w:bookmarkStart w:id="0" w:name="_GoBack"/>
      <w:bookmarkEnd w:id="0"/>
      <w:r>
        <w:rPr>
          <w:rFonts w:hint="default" w:ascii="Times New Roman" w:hAnsi="Times New Roman" w:eastAsia="Helvetica" w:cs="Times New Roman"/>
          <w:i w:val="0"/>
          <w:iCs w:val="0"/>
          <w:caps w:val="0"/>
          <w:color w:val="222222"/>
          <w:spacing w:val="0"/>
          <w:kern w:val="0"/>
          <w:sz w:val="28"/>
          <w:szCs w:val="28"/>
          <w:bdr w:val="none" w:color="auto" w:sz="0" w:space="0"/>
          <w:shd w:val="clear" w:fill="FFFFFF"/>
          <w:lang w:val="en-US" w:eastAsia="zh-CN" w:bidi="ar"/>
        </w:rPr>
        <w:t>osely at the center while distinct variable vectors (x1–x9) show how each trait drives separation: x2 and x4 strongly define the PC1/PC2 axis, while x6, x7, and x8 pull variation in the opposite direction, and x9 contributes primarily along PC3. This confirms these features are the main drivers of morphological differentiation in the analysis.</w:t>
      </w:r>
    </w:p>
    <w:p w14:paraId="1A4B767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76" w:lineRule="auto"/>
        <w:ind w:right="0" w:rightChars="0"/>
        <w:rPr>
          <w:rFonts w:hint="default"/>
          <w:lang w:val="en-US" w:eastAsia="zh-C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27078"/>
    <w:multiLevelType w:val="multilevel"/>
    <w:tmpl w:val="856270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FAA5394"/>
    <w:multiLevelType w:val="multilevel"/>
    <w:tmpl w:val="3FAA53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2EC4540"/>
    <w:rsid w:val="04A2098A"/>
    <w:rsid w:val="0603356B"/>
    <w:rsid w:val="065F5E83"/>
    <w:rsid w:val="06865FC2"/>
    <w:rsid w:val="0CF92397"/>
    <w:rsid w:val="0D945ED5"/>
    <w:rsid w:val="104B5DF8"/>
    <w:rsid w:val="137837D5"/>
    <w:rsid w:val="17A60B41"/>
    <w:rsid w:val="17C66928"/>
    <w:rsid w:val="17E91348"/>
    <w:rsid w:val="1A6900E2"/>
    <w:rsid w:val="1A7244D8"/>
    <w:rsid w:val="1AF776D6"/>
    <w:rsid w:val="1CA468C8"/>
    <w:rsid w:val="21F27BBF"/>
    <w:rsid w:val="22711792"/>
    <w:rsid w:val="23726DB6"/>
    <w:rsid w:val="23A11E84"/>
    <w:rsid w:val="242F29EC"/>
    <w:rsid w:val="249E2CA0"/>
    <w:rsid w:val="29032C29"/>
    <w:rsid w:val="29E277A3"/>
    <w:rsid w:val="2C894111"/>
    <w:rsid w:val="32216F25"/>
    <w:rsid w:val="3240586E"/>
    <w:rsid w:val="331B1D66"/>
    <w:rsid w:val="33797B81"/>
    <w:rsid w:val="33DD78A5"/>
    <w:rsid w:val="33F702E4"/>
    <w:rsid w:val="34906F65"/>
    <w:rsid w:val="381B569C"/>
    <w:rsid w:val="39233BB2"/>
    <w:rsid w:val="396778BC"/>
    <w:rsid w:val="397A7F5A"/>
    <w:rsid w:val="39900A80"/>
    <w:rsid w:val="3D924493"/>
    <w:rsid w:val="42F71CEC"/>
    <w:rsid w:val="44405732"/>
    <w:rsid w:val="44D51F86"/>
    <w:rsid w:val="46336C3B"/>
    <w:rsid w:val="47E54094"/>
    <w:rsid w:val="497D6985"/>
    <w:rsid w:val="4BA0691E"/>
    <w:rsid w:val="4DBA1C40"/>
    <w:rsid w:val="4E4C0585"/>
    <w:rsid w:val="505F421E"/>
    <w:rsid w:val="53275E79"/>
    <w:rsid w:val="59BA4144"/>
    <w:rsid w:val="5A0B3BFA"/>
    <w:rsid w:val="5AC41908"/>
    <w:rsid w:val="5C071895"/>
    <w:rsid w:val="5E246282"/>
    <w:rsid w:val="60317A81"/>
    <w:rsid w:val="610F6C4A"/>
    <w:rsid w:val="62342512"/>
    <w:rsid w:val="63195DA5"/>
    <w:rsid w:val="64AD03BA"/>
    <w:rsid w:val="6770061A"/>
    <w:rsid w:val="6BE2620E"/>
    <w:rsid w:val="6D692155"/>
    <w:rsid w:val="77D15C90"/>
    <w:rsid w:val="7974624F"/>
    <w:rsid w:val="7A251B59"/>
    <w:rsid w:val="7A9B506A"/>
    <w:rsid w:val="7EA03C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qFormat/>
    <w:uiPriority w:val="0"/>
    <w:rPr>
      <w:rFonts w:ascii="Calibri" w:hAnsi="Calibri" w:eastAsia="SimSun" w:cs="Times New Roman"/>
    </w:rPr>
  </w:style>
  <w:style w:type="table" w:default="1" w:styleId="4">
    <w:name w:val="Normal Table"/>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0</Words>
  <Characters>0</Characters>
  <Paragraphs>27</Paragraphs>
  <TotalTime>2</TotalTime>
  <ScaleCrop>false</ScaleCrop>
  <LinksUpToDate>false</LinksUpToDate>
  <CharactersWithSpaces>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2026-04-30T05:40:00Z</dcterms:created>
  <dc:creator>Infinix X6525</dc:creator>
  <cp:lastModifiedBy>Nwaoke Stanley</cp:lastModifiedBy>
  <dcterms:modified xsi:type="dcterms:W3CDTF">2026-06-13T16:28:47Z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442065fc016a41769c21ee911778a263</vt:lpwstr>
  </property>
  <property fmtid="{D5CDD505-2E9C-101B-9397-08002B2CF9AE}" pid="3" name="KSOTemplateDocerSaveRecord">
    <vt:lpwstr>eyJoZGlkIjoiNjc2ZDdiZTNhZTE3MGM4N2VmYmU3MDM4ODEwNDM3YTQiLCJ1c2VySWQiOiIzNzI4NTgyNTgwMjgyIn0=</vt:lpwstr>
  </property>
  <property fmtid="{D5CDD505-2E9C-101B-9397-08002B2CF9AE}" pid="4" name="KSOProductBuildVer">
    <vt:lpwstr>1033-12.1.0.26880</vt:lpwstr>
  </property>
</Properties>
</file>