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680" w:firstLineChars="600"/>
        <w:jc w:val="left"/>
        <w:rPr>
          <w:rFonts w:hint="eastAsia" w:ascii="宋体" w:hAnsi="宋体" w:eastAsia="宋体" w:cs="宋体"/>
          <w:b w:val="0"/>
          <w:bCs w:val="0"/>
          <w:color w:val="000000" w:themeColor="text1"/>
          <w:sz w:val="28"/>
          <w:szCs w:val="28"/>
          <w14:textFill>
            <w14:solidFill>
              <w14:schemeClr w14:val="tx1"/>
            </w14:solidFill>
          </w14:textFill>
        </w:rPr>
      </w:pPr>
      <w:bookmarkStart w:id="3" w:name="_GoBack"/>
      <w:bookmarkEnd w:id="3"/>
      <w:bookmarkStart w:id="0" w:name="新时代的青年伟大复兴的接班人"/>
      <w:r>
        <w:rPr>
          <w:rFonts w:hint="eastAsia" w:ascii="宋体" w:hAnsi="宋体" w:eastAsia="宋体" w:cs="宋体"/>
          <w:b w:val="0"/>
          <w:bCs w:val="0"/>
          <w:color w:val="000000" w:themeColor="text1"/>
          <w:sz w:val="28"/>
          <w:szCs w:val="28"/>
          <w14:textFill>
            <w14:solidFill>
              <w14:schemeClr w14:val="tx1"/>
            </w14:solidFill>
          </w14:textFill>
        </w:rPr>
        <w:t>新时代的青年</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伟大复兴的接班人</w:t>
      </w:r>
    </w:p>
    <w:p>
      <w:pPr>
        <w:pStyle w:val="3"/>
        <w:rPr>
          <w:rFonts w:hint="default"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 xml:space="preserve">                           2020211304 2020211346 倪玮昊                               </w:t>
      </w:r>
    </w:p>
    <w:p>
      <w:pPr>
        <w:pStyle w:val="6"/>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bookmarkStart w:id="1" w:name="摘要"/>
      <w:r>
        <w:rPr>
          <w:rFonts w:hint="eastAsia" w:ascii="宋体" w:hAnsi="宋体" w:eastAsia="宋体" w:cs="宋体"/>
          <w:b w:val="0"/>
          <w:bCs w:val="0"/>
          <w:color w:val="000000" w:themeColor="text1"/>
          <w:sz w:val="28"/>
          <w:szCs w:val="28"/>
          <w14:textFill>
            <w14:solidFill>
              <w14:schemeClr w14:val="tx1"/>
            </w14:solidFill>
          </w14:textFill>
        </w:rPr>
        <w:t>摘要:</w:t>
      </w:r>
    </w:p>
    <w:p>
      <w:pPr>
        <w:pStyle w:val="25"/>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青年是社会进步的活力之源，国家和民族伟大复兴的重任就在青年的肩上。新时代的中国青年必须承担起时代的责任，创造时代赋予的新的历史意义，才能为中国特色社会主义建设注入新的青春活力，才能为第二个百年奋斗目标的实现增添新的活力和色彩，才能为实现中华民族伟大复兴的中国梦延续新的动力。作为中国新一代的青年，我们要学会在平凡的岗位上默默付出，在基层吃苦耐劳，在创新创业中走在前列，更加开放自信地融入世界。本文将会阐述如何做到这种担当与使命</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为中华民族伟大复兴添砖加瓦</w:t>
      </w:r>
      <w:r>
        <w:rPr>
          <w:rFonts w:hint="eastAsia" w:ascii="宋体" w:hAnsi="宋体" w:eastAsia="宋体" w:cs="宋体"/>
          <w:b w:val="0"/>
          <w:bCs w:val="0"/>
          <w:color w:val="000000" w:themeColor="text1"/>
          <w:sz w:val="28"/>
          <w:szCs w:val="28"/>
          <w:lang w:eastAsia="zh-CN"/>
          <w14:textFill>
            <w14:solidFill>
              <w14:schemeClr w14:val="tx1"/>
            </w14:solidFill>
          </w14:textFill>
        </w:rPr>
        <w:t>。</w:t>
      </w:r>
    </w:p>
    <w:bookmarkEnd w:id="1"/>
    <w:p>
      <w:pPr>
        <w:pStyle w:val="6"/>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bookmarkStart w:id="2" w:name="正文"/>
      <w:r>
        <w:rPr>
          <w:rFonts w:hint="eastAsia" w:ascii="宋体" w:hAnsi="宋体" w:eastAsia="宋体" w:cs="宋体"/>
          <w:b w:val="0"/>
          <w:bCs w:val="0"/>
          <w:color w:val="000000" w:themeColor="text1"/>
          <w:sz w:val="28"/>
          <w:szCs w:val="28"/>
          <w14:textFill>
            <w14:solidFill>
              <w14:schemeClr w14:val="tx1"/>
            </w14:solidFill>
          </w14:textFill>
        </w:rPr>
        <w:t>正文:</w:t>
      </w:r>
    </w:p>
    <w:p>
      <w:pPr>
        <w:pStyle w:val="25"/>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青年是社会进步的活力之源</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国家和民族的伟大复兴的重任担在他们肩上，他们是时代思想的先锋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是锐意进取的改变者</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每一个历史巨变的结点都有他们的身影</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在100年前</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在文明衰落</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国家受辱之时</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正是一群平均年龄只有28岁的年轻人选择上街通过示威游行、请愿、罢工、暴力对抗政府进行爱国</w:t>
      </w:r>
      <w:r>
        <w:rPr>
          <w:rFonts w:hint="eastAsia" w:ascii="宋体" w:hAnsi="宋体" w:eastAsia="宋体" w:cs="宋体"/>
          <w:b w:val="0"/>
          <w:bCs w:val="0"/>
          <w:i/>
          <w:iCs/>
          <w:color w:val="000000" w:themeColor="text1"/>
          <w:sz w:val="28"/>
          <w:szCs w:val="28"/>
          <w14:textFill>
            <w14:solidFill>
              <w14:schemeClr w14:val="tx1"/>
            </w14:solidFill>
          </w14:textFill>
        </w:rPr>
        <w:t>运动</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并选择了马克思列宁主义</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在各种的不利局面下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完成了中国共产党的建立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吹响了全民族觉醒和崛起的号角，开启了民族复兴的新时代</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从此中国人民站起来了</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华夏的历史翻开了一个新的篇章。</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回首过去的一个世纪，在各个关键的历史结点上</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无论形势如何，中国青年爱党、爱国、爱人民的真挚追求没有改变，为中国民族谋复兴的目标没有改变。在新民主主义革命时期，中国青年不怕牺牲，敢于斗争，完成将中国从半殖民地半封建社会解救出来的伟大历史任务。在社会主义革命和建设时期，青年们勇于奋斗</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坚定党的指导</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为社会主义的初步建立和巩固立下了巨大的功劳。在改革开放和社会主义现代化建设的新时期，中国青年勇于尝试</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勇于创造</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抓住时代浪潮</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创造了一个又一个属于中国的经济奇迹。</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而如今展望未来，民族复兴的伟大事业已经来到一个新的阶段，踏上了新的伟大征程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如今的中国青年生逢中华民族发展的最好时期，拥有更优越的发展环境、更广阔的成长空间</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有着更好的施展抱负和才华的机会</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而每一代青年都有属于自己的使命和担当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那么</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什么是我们这一代年轻人的使命和担当呢?</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在一个平凡的岗位上默默付出是一种使命与担当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新时代青年秉承奋斗的光荣传统，乐于将普通的事情做到不平凡</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把平凡的岗位作为成就人生的舞台，不去好高慕远</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而是用辛勤劳动推动社会发展</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用自己的双手建设美好的中国。</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无论是军工企业的研发人员，还是基于 "互联网+"的新产业，还是普通的制造业服务业</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各行各业的青年正在把平凡变成不平凡</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用努力和汗水推动国家的发展。在街上的快递小哥</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不管风吹日晒</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坚持以客户的体验为第一位</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总能将货物及时送到每一个人的手中</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实现了自己的职业担当;街上的大白</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顶着防护服里的空气不流通</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完成了成百上千群众的核酸采集</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为国家的防疫做出了巨大贡献;研究所里的青年科研苦心钻研卡脖子问题</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每晚都挑灯夜战</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为一次次科研上突破而振臂高呼;贫困村里的基层公务员挨个走访贫困和问题家庭</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用心记录每一份数据</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去为人民谋福祉</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努力用自己的学识让乡亲们富起来;这些青年用他们的辛勤和汗水生动地展示了中国青年 "丰衣足食不忘艰辛，岁月静好不失奋斗 "的整体风貌，让青春在平凡岗位的奋斗中焕发光彩。</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而在2021 年，北邮有两千余名毕业生投身于网络强国建设，在 5G、芯片、大数据、 人工智能、网络空间安全等战略性新兴领域就业。同时， 越来越多的北邮毕业生选择在航天军工领域就业，2021 届毕业生在中国电子科技集 团、中国航空工业集团、中国航天科技集团、中国航天科工集团等重点企业就业的人 数达到 229 人</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北邮学子正在用自己的学识和技术为国家卡脖子的问题上寻求突破</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尽管当这些重大问题解决时</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大部分的参与者的名字可能无人知晓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但他们都在平凡岗位的岗位为国家做出了不平凡的贡献</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他们的青春没有因为青春而折色</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而是因奋斗而更显光彩</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作为大学生</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我们也许会幻想诗与远方</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但更重要的是学会如何立足当下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做好身边一些看似平凡的小事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也许就能成就一番大事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"不积跬步</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无以至千里</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不积小流</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无以成江海</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"由小做到大</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往往是走向成功最稳妥的道路</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在急难险重任务中走在前列是一种使命与担当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新时代的青年不怕困难，不畏艰险，即使在危险情况下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也始终保持勇气</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在危难前勇于付出自己的一份力</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在新一轮肺炎疫情爆发以来，广大青年不畏艰险，冲锋在前，舍生忘死，有32万多支青年突击队和550万青年奋战在医疗救护、交通后勤、工程建设等第一线，为打赢人民战争、整体战争和抗击疫情封锁线作出了重要贡献。其中很多都是 "90后"。他们身处火线，用行动书写着青春的篇章，用无私无畏的精神散发着新时代青年一代的光辉。</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从他们身上，我们看到了新时代中国青年面对困难时的勇气。参加抗疫的志愿者王贲说。"能够到祖国最需要的地方去，能够 为国家做贡献，为人民服务，是实现人生价值的最好途径。青年人的勇气和新年是一个国家、一个民族前进的无坚不摧的动力。在疫情的洗礼和锤炼中，广大青年特别是青年党员展现了年轻一代的韧性</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骨气与志气，把小我融入祖国的大我、人民的大我，与时代同步、与人民共命运，用实际行动擦亮对祖国和人民的心，为党和人民做出了最有力的贡献。他们为党和人民做出了最有力、最坚定的信仰宣誓。可以说</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经过疫情的磨练</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曾经在前人口中的"垮掉的一代"的"年轻人已经证明了自己面对灾难独当一面的能力</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在基层经受磨难是一种使命与担当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新时代的青年以基层为最好的课堂，以实践为最好的老师，在磨砺中增长才干，在磨砺中强壮筋骨。</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2021年，在受到中共中央、国务院表彰的1981名脱贫攻坚先进个人和1501个先进集体中，有很多先进的青年典型。1800名同志在脱贫攻坚的征途上立下了汗马功劳，其中不乏年轻的面孔。在实施乡村振兴战略中，青年带领专业合作社，推广现代农业技术，壮大农村新产业、新业态，带头移风易俗，改善农村人居环境，倡导文明乡风，带动农民增收致富，助力乡村新貌。</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而自2009年起，北京邮电大学首次响应国家号召，组建研究生支教团。十一年来，138名志愿者先后踏上了新疆维吾尔自治区阿克苏地区、青海省平安县和贵州省黔南布依族苗族自治州长顺县的土地。他们深入学校、农村，深入少数民族同胞的生活和工作中，传授知识，调研走访，积累了数十万小时的志愿服务，为提高教学质量和当地人民的生活水平献计献策，努力工作。经过年复一年的教学，宣讲团成员已经成长为坚定的青年马克思主义者。回到校园后，他们继续用自己的实际行动影响身边的年轻人加入他们的团队。首届研究生支教团成员李瑾梁，研究生毕业后选择投身脱贫攻坚第一线，成为贵州省长顺县杉木村的第一书记，在驻村工作的两年时间里，带领全村脱贫致富。</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十一年来，北京邮电大学138名志愿者秉承 "奉献、友爱、互助、进步 "的志愿服务精神和 "敬业、创优 "的精神。这138名志愿者一直致力于民族团结和扶贫事业，放飞青春梦想，贡献青春力量。这些学生用自己的奋斗书写了北邮学子的青春答卷。还有更多的青年人选择和他们一样</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把论文写在祖国的大地上</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他们的青春是充满价值的</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走在创新创业的前列是一种使命和担当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新时期的青年富有想象力和创造力，思想解放，锐意进取，勇于参与日益激烈的国际竞争，已经成为创新创业的生力军。</w:t>
      </w:r>
      <w:r>
        <w:rPr>
          <w:rFonts w:hint="eastAsia" w:ascii="宋体" w:hAnsi="宋体" w:eastAsia="宋体" w:cs="宋体"/>
          <w:b w:val="0"/>
          <w:bCs w:val="0"/>
          <w:color w:val="000000" w:themeColor="text1"/>
          <w:sz w:val="28"/>
          <w:szCs w:val="28"/>
          <w14:textFill>
            <w14:solidFill>
              <w14:schemeClr w14:val="tx1"/>
            </w14:solidFill>
          </w14:textFill>
        </w:rPr>
        <w:br w:type="textWrapping"/>
      </w:r>
      <w:r>
        <w:rPr>
          <w:rFonts w:hint="eastAsia" w:ascii="宋体" w:hAnsi="宋体" w:eastAsia="宋体" w:cs="宋体"/>
          <w:b w:val="0"/>
          <w:bCs w:val="0"/>
          <w:color w:val="000000" w:themeColor="text1"/>
          <w:sz w:val="28"/>
          <w:szCs w:val="28"/>
          <w14:textFill>
            <w14:solidFill>
              <w14:schemeClr w14:val="tx1"/>
            </w14:solidFill>
          </w14:textFill>
        </w:rPr>
        <w:t xml:space="preserve"> 在经济、社会、科技、文化等领域，广大青年用自己的聪明才智贡献国家、服务人民，努力在创新、创业、创优方面走在前列。在国家创新驱动发展战略的引领下，涌现出一批具有国际竞争力的青年科技人才。 同时在国家持续出台创业扶持政策的背景下，青年积极加入创新的热潮，踊跃参加 互联网+大学生创新创业大赛等创业交流活动。近些来诞生了一大批如寒武纪</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旷视科技此类由毕业大学生为主体建立的国际科技领先公司</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而在创新的浪潮下</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北邮人积极参加创新活动</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培养创新创业意识和创新创业素养、提升创新创业能力。今年我校有 10 位毕业生自主创业，创业领域集中在互 联网和文化创意领域。2021 年，第七届中国国际“互联网+”大学生创新创业大赛， 我校共有 430 余支团队报名，3000 余名师生参赛，创历史新高，在全国总决赛中，我 校取得 2 金、2 银、6 铜的历史最好成绩。2015 届硕士张道宁荣获 2021 年度“创新 创业英才奖”，全国仅有 10 位杰出青年获此殊荣。学校荣获 “互联网+”大赛“优秀组织奖”和北京地区高校大学生优秀创业团队评选“最佳组织奖”。可以说北邮青年正自觉地把自己的人生追求与国家的发展进步结合起来，在创新创业、服务社会中展现自己的才华。</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创新是国家发展的动力</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而创新的动力来源于年轻人</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作为年轻人的我们要将生活与创新结合起来</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积极参加创新活动</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也许思维的一次火花</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就能创造出看似不可能的创新</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更加开放自信地融入世界是一种使命与担当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随着中国对外开放的大门越来越大，新时代的年轻人正以前所未有的深度和广度认识和融入世界，在对外交流与合作中更加理性、宽容、自信和自强。</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交流合作的 "朋友圈 "越来越大。在各种国际舞台上，中国青年讲好中国故事，参与全球青年治理，在双边和多边框架下积极互动，促进合作共赢。中国青年更加广泛地参与双边交流机制，与有关国家青年的关系更加密切，友谊更加深厚</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中国青年更加积极主动地加入国际组织，出席国际会议，参与全球治理，树立了光明的国际形象。</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北邮人是国内对外交流的先行者</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学校积极贯彻落实教育对外开放工作，主动融入国家“一带一路”教育行动，不断提高学校国际化办学水平。学校与斐济南太平洋大学合作建设了南太平洋大学孔子学院、瓦努阿图艾玛卢校区孔子课堂、库克群岛校区孔子课堂以及劳托卡校区孔子课堂，形成“三国四地”办学格局，持续发挥区域影响力，被评为全球示范孔子学院。学校英国伦敦玛丽女王大学孔子学院获批成立，成为伦敦地区唯一一家以数字智能科学为特色的孔子学院。北邮人到世界各地去展现中国风采</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发出中国声音、表达中国观点，成为中外友谊的青年使者。</w:t>
      </w:r>
    </w:p>
    <w:p>
      <w:pPr>
        <w:pStyle w:val="3"/>
        <w:ind w:firstLine="560" w:firstLineChars="200"/>
        <w:jc w:val="left"/>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如今的时代是一个国际化的时代</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如果仅仅以国家作为自己的视野</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是过于狭窄的</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我们更要学会从人类角度出发</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共同与世界打造人类命运共同体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一起为人类的未来做出贡献</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为中国国际影响力的提升做出贡献</w:t>
      </w:r>
      <w:r>
        <w:rPr>
          <w:rFonts w:hint="eastAsia" w:ascii="宋体" w:hAnsi="宋体" w:eastAsia="宋体" w:cs="宋体"/>
          <w:b w:val="0"/>
          <w:bCs w:val="0"/>
          <w:color w:val="000000" w:themeColor="text1"/>
          <w:sz w:val="28"/>
          <w:szCs w:val="28"/>
          <w:lang w:eastAsia="zh-CN"/>
          <w14:textFill>
            <w14:solidFill>
              <w14:schemeClr w14:val="tx1"/>
            </w14:solidFill>
          </w14:textFill>
        </w:rPr>
        <w:t>。</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这就是我们这代年轻人的理想与担当</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这是最好的时代</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也是最坏的时代</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如今青年们背后的祖国已经不再弱小</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但同时也面临着冷战后最严峻的国际形势和新冠的威胁</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此时更加需要每一位青年坚定理想</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努力前行</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如果青年一代有理想、有能力、有担当，国家就有前途，民族就有希望。如今中国青年们正在用自己的汗水改写中国的未来</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我坚信</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如果通过一代代青年的接力奋斗，中国终将实现物质文明、政治文明、精神文明、社会文明和生态文明的全面提升。中国人民将享有更加幸福安康的生活，中华民族将以更加昂扬的姿态屹立于世界之林，伟大的中国梦一定会成为现实。</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引用:</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[1] 北京邮电大学．北京邮电大学2021年就业报告．</w:t>
      </w:r>
      <w:r>
        <w:rPr>
          <w:rFonts w:hint="eastAsia" w:ascii="宋体" w:hAnsi="宋体" w:eastAsia="宋体" w:cs="宋体"/>
          <w:b w:val="0"/>
          <w:bCs w:val="0"/>
          <w:color w:val="000000" w:themeColor="text1"/>
          <w:sz w:val="28"/>
          <w:szCs w:val="28"/>
          <w14:textFill>
            <w14:solidFill>
              <w14:schemeClr w14:val="tx1"/>
            </w14:solidFill>
          </w14:textFill>
        </w:rPr>
        <w:fldChar w:fldCharType="begin"/>
      </w:r>
      <w:r>
        <w:rPr>
          <w:rFonts w:hint="eastAsia" w:ascii="宋体" w:hAnsi="宋体" w:eastAsia="宋体" w:cs="宋体"/>
          <w:b w:val="0"/>
          <w:bCs w:val="0"/>
          <w:color w:val="000000" w:themeColor="text1"/>
          <w:sz w:val="28"/>
          <w:szCs w:val="28"/>
          <w14:textFill>
            <w14:solidFill>
              <w14:schemeClr w14:val="tx1"/>
            </w14:solidFill>
          </w14:textFill>
        </w:rPr>
        <w:instrText xml:space="preserve"> HYPERLINK "https://xxgk.bupt.edu.cn/info/1102/2579.htm" \h </w:instrText>
      </w:r>
      <w:r>
        <w:rPr>
          <w:rFonts w:hint="eastAsia" w:ascii="宋体" w:hAnsi="宋体" w:eastAsia="宋体" w:cs="宋体"/>
          <w:b w:val="0"/>
          <w:bCs w:val="0"/>
          <w:color w:val="000000" w:themeColor="text1"/>
          <w:sz w:val="28"/>
          <w:szCs w:val="28"/>
          <w14:textFill>
            <w14:solidFill>
              <w14:schemeClr w14:val="tx1"/>
            </w14:solidFill>
          </w14:textFill>
        </w:rPr>
        <w:fldChar w:fldCharType="separate"/>
      </w:r>
      <w:r>
        <w:rPr>
          <w:rStyle w:val="22"/>
          <w:rFonts w:hint="eastAsia" w:ascii="宋体" w:hAnsi="宋体" w:eastAsia="宋体" w:cs="宋体"/>
          <w:b w:val="0"/>
          <w:bCs w:val="0"/>
          <w:color w:val="000000" w:themeColor="text1"/>
          <w:sz w:val="28"/>
          <w:szCs w:val="28"/>
          <w14:textFill>
            <w14:solidFill>
              <w14:schemeClr w14:val="tx1"/>
            </w14:solidFill>
          </w14:textFill>
        </w:rPr>
        <w:t>北京邮电大学2021届毕业生就业质量年度报告-信息公开网 (bupt</w:t>
      </w:r>
      <w:r>
        <w:rPr>
          <w:rStyle w:val="22"/>
          <w:rFonts w:hint="eastAsia" w:ascii="宋体" w:hAnsi="宋体" w:eastAsia="宋体" w:cs="宋体"/>
          <w:b w:val="0"/>
          <w:bCs w:val="0"/>
          <w:color w:val="000000" w:themeColor="text1"/>
          <w:sz w:val="28"/>
          <w:szCs w:val="28"/>
          <w:lang w:eastAsia="zh-CN"/>
          <w14:textFill>
            <w14:solidFill>
              <w14:schemeClr w14:val="tx1"/>
            </w14:solidFill>
          </w14:textFill>
        </w:rPr>
        <w:t>。</w:t>
      </w:r>
      <w:r>
        <w:rPr>
          <w:rStyle w:val="22"/>
          <w:rFonts w:hint="eastAsia" w:ascii="宋体" w:hAnsi="宋体" w:eastAsia="宋体" w:cs="宋体"/>
          <w:b w:val="0"/>
          <w:bCs w:val="0"/>
          <w:color w:val="000000" w:themeColor="text1"/>
          <w:sz w:val="28"/>
          <w:szCs w:val="28"/>
          <w14:textFill>
            <w14:solidFill>
              <w14:schemeClr w14:val="tx1"/>
            </w14:solidFill>
          </w14:textFill>
        </w:rPr>
        <w:t>edu</w:t>
      </w:r>
      <w:r>
        <w:rPr>
          <w:rStyle w:val="22"/>
          <w:rFonts w:hint="eastAsia" w:ascii="宋体" w:hAnsi="宋体" w:eastAsia="宋体" w:cs="宋体"/>
          <w:b w:val="0"/>
          <w:bCs w:val="0"/>
          <w:color w:val="000000" w:themeColor="text1"/>
          <w:sz w:val="28"/>
          <w:szCs w:val="28"/>
          <w:lang w:eastAsia="zh-CN"/>
          <w14:textFill>
            <w14:solidFill>
              <w14:schemeClr w14:val="tx1"/>
            </w14:solidFill>
          </w14:textFill>
        </w:rPr>
        <w:t>。</w:t>
      </w:r>
      <w:r>
        <w:rPr>
          <w:rStyle w:val="22"/>
          <w:rFonts w:hint="eastAsia" w:ascii="宋体" w:hAnsi="宋体" w:eastAsia="宋体" w:cs="宋体"/>
          <w:b w:val="0"/>
          <w:bCs w:val="0"/>
          <w:color w:val="000000" w:themeColor="text1"/>
          <w:sz w:val="28"/>
          <w:szCs w:val="28"/>
          <w14:textFill>
            <w14:solidFill>
              <w14:schemeClr w14:val="tx1"/>
            </w14:solidFill>
          </w14:textFill>
        </w:rPr>
        <w:t>cn)</w:t>
      </w:r>
      <w:r>
        <w:rPr>
          <w:rStyle w:val="22"/>
          <w:rFonts w:hint="eastAsia" w:ascii="宋体" w:hAnsi="宋体" w:eastAsia="宋体" w:cs="宋体"/>
          <w:b w:val="0"/>
          <w:bCs w:val="0"/>
          <w:color w:val="000000" w:themeColor="text1"/>
          <w:sz w:val="28"/>
          <w:szCs w:val="28"/>
          <w14:textFill>
            <w14:solidFill>
              <w14:schemeClr w14:val="tx1"/>
            </w14:solidFill>
          </w14:textFill>
        </w:rPr>
        <w:fldChar w:fldCharType="end"/>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2021</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12</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31</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[2] 国务院新闻办公室．新时代的中国青年．新华社</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2022</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4</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21</w:t>
      </w:r>
    </w:p>
    <w:p>
      <w:pPr>
        <w:pStyle w:val="3"/>
        <w:ind w:firstLine="560" w:firstLineChars="20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[3] 高等教育出版社．《毛泽东思想与中国特色社会主义理论体系概论》．高等教育出版社</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2018</w:t>
      </w:r>
    </w:p>
    <w:p>
      <w:pPr>
        <w:pStyle w:val="3"/>
        <w:jc w:val="left"/>
      </w:pPr>
    </w:p>
    <w:p>
      <w:pPr>
        <w:spacing w:line="400" w:lineRule="exact"/>
        <w:ind w:firstLine="480" w:firstLineChars="200"/>
        <w:rPr>
          <w:rFonts w:ascii="黑体" w:hAnsi="黑体" w:eastAsia="黑体"/>
          <w:color w:val="FF0000"/>
          <w:sz w:val="24"/>
          <w:szCs w:val="24"/>
        </w:rPr>
      </w:pPr>
      <w:r>
        <w:rPr>
          <w:rFonts w:ascii="黑体" w:hAnsi="黑体" w:eastAsia="黑体" w:cs="Arial"/>
          <w:color w:val="FF0000"/>
          <w:sz w:val="24"/>
          <w:szCs w:val="24"/>
          <w:shd w:val="clear" w:color="auto" w:fill="FFFFFF"/>
        </w:rPr>
        <w:t>本人郑重声明</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所呈交的</w:t>
      </w:r>
      <w:r>
        <w:rPr>
          <w:rFonts w:hint="eastAsia" w:ascii="黑体" w:hAnsi="黑体" w:eastAsia="黑体" w:cs="Arial"/>
          <w:color w:val="FF0000"/>
          <w:sz w:val="24"/>
          <w:szCs w:val="24"/>
          <w:shd w:val="clear" w:color="auto" w:fill="FFFFFF"/>
        </w:rPr>
        <w:t>课程</w:t>
      </w:r>
      <w:r>
        <w:rPr>
          <w:rFonts w:ascii="黑体" w:hAnsi="黑体" w:eastAsia="黑体" w:cs="Arial"/>
          <w:color w:val="FF0000"/>
          <w:sz w:val="24"/>
          <w:szCs w:val="24"/>
          <w:shd w:val="clear" w:color="auto" w:fill="FFFFFF"/>
        </w:rPr>
        <w:t>论文,是本人独立研究所得</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除已经注明引用的内容外,论文</w:t>
      </w:r>
      <w:r>
        <w:rPr>
          <w:rFonts w:hint="eastAsia" w:ascii="黑体" w:hAnsi="黑体" w:eastAsia="黑体" w:cs="Arial"/>
          <w:color w:val="FF0000"/>
          <w:sz w:val="24"/>
          <w:szCs w:val="24"/>
          <w:shd w:val="clear" w:color="auto" w:fill="FFFFFF"/>
        </w:rPr>
        <w:t>未剽窃、抄袭他人的学术成果。</w:t>
      </w:r>
    </w:p>
    <w:p>
      <w:pPr>
        <w:pStyle w:val="3"/>
      </w:pPr>
    </w:p>
    <w:p>
      <w:pPr>
        <w:pStyle w:val="3"/>
      </w:pPr>
      <w:r>
        <w:t xml:space="preserve"> </w:t>
      </w:r>
    </w:p>
    <w:p>
      <w:pPr>
        <w:pStyle w:val="3"/>
      </w:pPr>
    </w:p>
    <w:p>
      <w:pPr>
        <w:pStyle w:val="3"/>
      </w:pPr>
    </w:p>
    <w:bookmarkEnd w:id="0"/>
    <w:bookmarkEnd w:id="2"/>
    <w:sectPr>
      <w:headerReference r:id="rId4" w:type="default"/>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ascii="宋体" w:hAnsi="宋体" w:eastAsia="宋体"/>
        <w:sz w:val="28"/>
        <w:szCs w:val="28"/>
      </w:rPr>
      <w:t>202</w:t>
    </w:r>
    <w:r>
      <w:rPr>
        <w:rFonts w:ascii="宋体" w:hAnsi="宋体" w:eastAsia="宋体"/>
        <w:sz w:val="28"/>
        <w:szCs w:val="28"/>
      </w:rPr>
      <w:t>2</w:t>
    </w:r>
    <w:r>
      <w:rPr>
        <w:rFonts w:hint="eastAsia" w:ascii="宋体" w:hAnsi="宋体" w:eastAsia="宋体"/>
        <w:sz w:val="28"/>
        <w:szCs w:val="28"/>
      </w:rPr>
      <w:t>春季学期《</w:t>
    </w:r>
    <w:r>
      <w:rPr>
        <w:rFonts w:hint="eastAsia" w:ascii="宋体" w:hAnsi="宋体" w:eastAsia="宋体"/>
        <w:bCs/>
        <w:sz w:val="28"/>
        <w:szCs w:val="28"/>
      </w:rPr>
      <w:t>毛泽东思想和中国特色社会主义理论体系概论</w:t>
    </w:r>
    <w:r>
      <w:rPr>
        <w:rFonts w:hint="eastAsia" w:ascii="宋体" w:hAnsi="宋体" w:eastAsia="宋体"/>
        <w:sz w:val="28"/>
        <w:szCs w:val="28"/>
      </w:rPr>
      <w:t>》期末论文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A3490"/>
    <w:rsid w:val="5E982BC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1">
    <w:name w:val="Default Paragraph Font"/>
    <w:semiHidden/>
    <w:unhideWhenUsed/>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9">
    <w:name w:val="footnote text"/>
    <w:basedOn w:val="1"/>
    <w:unhideWhenUsed/>
    <w:qFormat/>
    <w:uiPriority w:val="9"/>
  </w:style>
  <w:style w:type="character" w:styleId="22">
    <w:name w:val="Hyperlink"/>
    <w:basedOn w:val="23"/>
    <w:uiPriority w:val="0"/>
    <w:rPr>
      <w:color w:val="4F81BD" w:themeColor="accent1"/>
      <w14:textFill>
        <w14:solidFill>
          <w14:schemeClr w14:val="accent1"/>
        </w14:solidFill>
      </w14:textFill>
    </w:rPr>
  </w:style>
  <w:style w:type="character" w:customStyle="1" w:styleId="23">
    <w:name w:val="Body Text Char"/>
    <w:basedOn w:val="21"/>
    <w:link w:val="3"/>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23"/>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1">
    <w:name w:val="KeywordTok"/>
    <w:basedOn w:val="37"/>
    <w:uiPriority w:val="0"/>
    <w:rPr>
      <w:b/>
      <w:color w:val="007020"/>
    </w:rPr>
  </w:style>
  <w:style w:type="character" w:customStyle="1" w:styleId="42">
    <w:name w:val="DataTypeTok"/>
    <w:basedOn w:val="37"/>
    <w:uiPriority w:val="0"/>
    <w:rPr>
      <w:color w:val="902000"/>
    </w:rPr>
  </w:style>
  <w:style w:type="character" w:customStyle="1" w:styleId="43">
    <w:name w:val="DecValTok"/>
    <w:basedOn w:val="37"/>
    <w:uiPriority w:val="0"/>
    <w:rPr>
      <w:color w:val="40A070"/>
    </w:rPr>
  </w:style>
  <w:style w:type="character" w:customStyle="1" w:styleId="44">
    <w:name w:val="BaseNTok"/>
    <w:basedOn w:val="37"/>
    <w:uiPriority w:val="0"/>
    <w:rPr>
      <w:color w:val="40A070"/>
    </w:rPr>
  </w:style>
  <w:style w:type="character" w:customStyle="1" w:styleId="45">
    <w:name w:val="FloatTok"/>
    <w:basedOn w:val="37"/>
    <w:uiPriority w:val="0"/>
    <w:rPr>
      <w:color w:val="40A070"/>
    </w:rPr>
  </w:style>
  <w:style w:type="character" w:customStyle="1" w:styleId="46">
    <w:name w:val="ConstantTok"/>
    <w:basedOn w:val="37"/>
    <w:uiPriority w:val="0"/>
    <w:rPr>
      <w:color w:val="880000"/>
    </w:rPr>
  </w:style>
  <w:style w:type="character" w:customStyle="1" w:styleId="47">
    <w:name w:val="CharTok"/>
    <w:basedOn w:val="37"/>
    <w:uiPriority w:val="0"/>
    <w:rPr>
      <w:color w:val="4070A0"/>
    </w:rPr>
  </w:style>
  <w:style w:type="character" w:customStyle="1" w:styleId="48">
    <w:name w:val="SpecialCharTok"/>
    <w:basedOn w:val="37"/>
    <w:uiPriority w:val="0"/>
    <w:rPr>
      <w:color w:val="4070A0"/>
    </w:rPr>
  </w:style>
  <w:style w:type="character" w:customStyle="1" w:styleId="49">
    <w:name w:val="StringTok"/>
    <w:basedOn w:val="37"/>
    <w:uiPriority w:val="0"/>
    <w:rPr>
      <w:color w:val="4070A0"/>
    </w:rPr>
  </w:style>
  <w:style w:type="character" w:customStyle="1" w:styleId="50">
    <w:name w:val="VerbatimStringTok"/>
    <w:basedOn w:val="37"/>
    <w:uiPriority w:val="0"/>
    <w:rPr>
      <w:color w:val="4070A0"/>
    </w:rPr>
  </w:style>
  <w:style w:type="character" w:customStyle="1" w:styleId="51">
    <w:name w:val="SpecialStringTok"/>
    <w:basedOn w:val="37"/>
    <w:uiPriority w:val="0"/>
    <w:rPr>
      <w:color w:val="BB6688"/>
    </w:rPr>
  </w:style>
  <w:style w:type="character" w:customStyle="1" w:styleId="52">
    <w:name w:val="ImportTok"/>
    <w:basedOn w:val="37"/>
    <w:uiPriority w:val="0"/>
  </w:style>
  <w:style w:type="character" w:customStyle="1" w:styleId="53">
    <w:name w:val="CommentTok"/>
    <w:basedOn w:val="37"/>
    <w:uiPriority w:val="0"/>
    <w:rPr>
      <w:i/>
      <w:color w:val="60A0B0"/>
    </w:rPr>
  </w:style>
  <w:style w:type="character" w:customStyle="1" w:styleId="54">
    <w:name w:val="DocumentationTok"/>
    <w:basedOn w:val="37"/>
    <w:uiPriority w:val="0"/>
    <w:rPr>
      <w:i/>
      <w:color w:val="BA2121"/>
    </w:rPr>
  </w:style>
  <w:style w:type="character" w:customStyle="1" w:styleId="55">
    <w:name w:val="AnnotationTok"/>
    <w:basedOn w:val="37"/>
    <w:uiPriority w:val="0"/>
    <w:rPr>
      <w:b/>
      <w:i/>
      <w:color w:val="60A0B0"/>
    </w:rPr>
  </w:style>
  <w:style w:type="character" w:customStyle="1" w:styleId="56">
    <w:name w:val="CommentVarTok"/>
    <w:basedOn w:val="37"/>
    <w:uiPriority w:val="0"/>
    <w:rPr>
      <w:b/>
      <w:i/>
      <w:color w:val="60A0B0"/>
    </w:rPr>
  </w:style>
  <w:style w:type="character" w:customStyle="1" w:styleId="57">
    <w:name w:val="OtherTok"/>
    <w:basedOn w:val="37"/>
    <w:uiPriority w:val="0"/>
    <w:rPr>
      <w:color w:val="007020"/>
    </w:rPr>
  </w:style>
  <w:style w:type="character" w:customStyle="1" w:styleId="58">
    <w:name w:val="FunctionTok"/>
    <w:basedOn w:val="37"/>
    <w:uiPriority w:val="0"/>
    <w:rPr>
      <w:color w:val="06287E"/>
    </w:rPr>
  </w:style>
  <w:style w:type="character" w:customStyle="1" w:styleId="59">
    <w:name w:val="VariableTok"/>
    <w:basedOn w:val="37"/>
    <w:uiPriority w:val="0"/>
    <w:rPr>
      <w:color w:val="19177C"/>
    </w:rPr>
  </w:style>
  <w:style w:type="character" w:customStyle="1" w:styleId="60">
    <w:name w:val="ControlFlowTok"/>
    <w:basedOn w:val="37"/>
    <w:uiPriority w:val="0"/>
    <w:rPr>
      <w:b/>
      <w:color w:val="007020"/>
    </w:rPr>
  </w:style>
  <w:style w:type="character" w:customStyle="1" w:styleId="61">
    <w:name w:val="OperatorTok"/>
    <w:basedOn w:val="37"/>
    <w:uiPriority w:val="0"/>
    <w:rPr>
      <w:color w:val="666666"/>
    </w:rPr>
  </w:style>
  <w:style w:type="character" w:customStyle="1" w:styleId="62">
    <w:name w:val="BuiltInTok"/>
    <w:basedOn w:val="37"/>
    <w:uiPriority w:val="0"/>
  </w:style>
  <w:style w:type="character" w:customStyle="1" w:styleId="63">
    <w:name w:val="ExtensionTok"/>
    <w:basedOn w:val="37"/>
    <w:uiPriority w:val="0"/>
  </w:style>
  <w:style w:type="character" w:customStyle="1" w:styleId="64">
    <w:name w:val="PreprocessorTok"/>
    <w:basedOn w:val="37"/>
    <w:uiPriority w:val="0"/>
    <w:rPr>
      <w:color w:val="BC7A00"/>
    </w:rPr>
  </w:style>
  <w:style w:type="character" w:customStyle="1" w:styleId="65">
    <w:name w:val="AttributeTok"/>
    <w:basedOn w:val="37"/>
    <w:uiPriority w:val="0"/>
    <w:rPr>
      <w:color w:val="7D9029"/>
    </w:rPr>
  </w:style>
  <w:style w:type="character" w:customStyle="1" w:styleId="66">
    <w:name w:val="RegionMarkerTok"/>
    <w:basedOn w:val="37"/>
    <w:uiPriority w:val="0"/>
  </w:style>
  <w:style w:type="character" w:customStyle="1" w:styleId="67">
    <w:name w:val="InformationTok"/>
    <w:basedOn w:val="37"/>
    <w:uiPriority w:val="0"/>
    <w:rPr>
      <w:b/>
      <w:i/>
      <w:color w:val="60A0B0"/>
    </w:rPr>
  </w:style>
  <w:style w:type="character" w:customStyle="1" w:styleId="68">
    <w:name w:val="WarningTok"/>
    <w:basedOn w:val="37"/>
    <w:uiPriority w:val="0"/>
    <w:rPr>
      <w:b/>
      <w:i/>
      <w:color w:val="60A0B0"/>
    </w:rPr>
  </w:style>
  <w:style w:type="character" w:customStyle="1" w:styleId="69">
    <w:name w:val="AlertTok"/>
    <w:basedOn w:val="37"/>
    <w:uiPriority w:val="0"/>
    <w:rPr>
      <w:b/>
      <w:color w:val="FF0000"/>
    </w:rPr>
  </w:style>
  <w:style w:type="character" w:customStyle="1" w:styleId="70">
    <w:name w:val="ErrorTok"/>
    <w:basedOn w:val="37"/>
    <w:uiPriority w:val="0"/>
    <w:rPr>
      <w:b/>
      <w:color w:val="FF0000"/>
    </w:rPr>
  </w:style>
  <w:style w:type="character" w:customStyle="1" w:styleId="71">
    <w:name w:val="NormalTok"/>
    <w:basedOn w:val="3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2022-06-25T14:54:00Z</dcterms:created>
  <dc:creator>西北偏北</dc:creator>
  <cp:lastModifiedBy>西北偏北</cp:lastModifiedBy>
  <dcterms:modified xsi:type="dcterms:W3CDTF">2022-06-25T15:00:55Z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35B7BAF670BA4A4AA73217D77E8CFF67</vt:lpwstr>
  </property>
</Properties>
</file>