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97"/>
        <w:gridCol w:w="1871"/>
      </w:tblGrid>
      <w:tr>
        <w:tc>
          <w:tcPr>
            <w:tcW w:type="dxa" w:w="7597"/>
          </w:tcPr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14365C"/>
                <w:sz w:val="42"/>
              </w:rPr>
              <w:t>NWE NWE WIN THAN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30507A"/>
                <w:sz w:val="21"/>
              </w:rPr>
              <w:t>Senior Software Engineer — Full-Stack · Java / Spring Boot · React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Served as sub-leader on three projects, running daily progress tracking, task allocation and code-review standards for teams of five to seven. Business-level English and Japanese.</w:t>
            </w:r>
          </w:p>
        </w:tc>
        <w:tc>
          <w:tcPr>
            <w:tcW w:type="dxa" w:w="187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Tokyo, Japan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 Japanese work visa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+81 70-2252-7003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nwenwewinthan777@gmail.com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linkedin.com/in/nwe-nwe-win-than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github.com/NweNweWinThan-X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Portfolio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Summary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AWS,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Key Strengths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Fintech domain depth</w:t>
      </w:r>
      <w:r>
        <w:rPr>
          <w:rFonts w:ascii="Calibri" w:hAnsi="Calibri" w:eastAsia="Calibri"/>
          <w:b w:val="0"/>
          <w:i w:val="0"/>
        </w:rPr>
        <w:t xml:space="preserve"> — Three financial systems across eight years — a securities CRM, a banking platform and a financial business system — in a field where correctness and auditability are the job.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Full lifecycle ownership</w:t>
      </w:r>
      <w:r>
        <w:rPr>
          <w:rFonts w:ascii="Calibri" w:hAnsi="Calibri" w:eastAsia="Calibri"/>
          <w:b w:val="0"/>
          <w:i w:val="0"/>
        </w:rPr>
        <w:t xml:space="preserve"> — Requirements definition, basic and detailed design, build, and unit through operational testing, with the design documents and test specifications to match.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Production migration safety</w:t>
      </w:r>
      <w:r>
        <w:rPr>
          <w:rFonts w:ascii="Calibri" w:hAnsi="Calibri" w:eastAsia="Calibri"/>
          <w:b w:val="0"/>
          <w:i w:val="0"/>
        </w:rPr>
        <w:t xml:space="preserve"> — Took a live brokerage CRM through an Oracle version upgrade using full-screen new-versus-current comparison and regression testing.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Team leadership</w:t>
      </w:r>
      <w:r>
        <w:rPr>
          <w:rFonts w:ascii="Calibri" w:hAnsi="Calibri" w:eastAsia="Calibri"/>
          <w:b w:val="0"/>
          <w:i w:val="0"/>
        </w:rPr>
        <w:t xml:space="preserve"> — Sub-leader on three projects: schedule management, task allocation, resource planning and code review for teams of five to seven.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Bilingual delivery</w:t>
      </w:r>
      <w:r>
        <w:rPr>
          <w:rFonts w:ascii="Calibri" w:hAnsi="Calibri" w:eastAsia="Calibri"/>
          <w:b w:val="0"/>
          <w:i w:val="0"/>
        </w:rPr>
        <w:t xml:space="preserve"> — Four years in Japanese-language engineering teams in Tokyo, including specification coordination with a Japanese government ministry.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Optimise database queries and application logic on loan-servicing screens, reducing page response times on the heaviest views.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batch programs for scheduled document processing, removing manual steps from the approval pipeline.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→ Sub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Sub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to Sub Leader after 18 months;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Sub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sub-leader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Sub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spring-boot-todolist — REST API + React SPA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github.com/NweNweWinThan-X/spring-boot-todolist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6.0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6.0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