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7.png" ContentType="image/png"/>
  <Override PartName="/word/media/rId45.png" ContentType="image/png"/>
  <Override PartName="/word/media/rId67.png" ContentType="image/png"/>
  <Override PartName="/word/media/rId70.png" ContentType="image/png"/>
  <Override PartName="/word/media/rId73.png" ContentType="image/png"/>
  <Override PartName="/word/media/rId57.png" ContentType="image/png"/>
  <Override PartName="/word/media/rId52.png" ContentType="image/png"/>
  <Override PartName="/word/media/rId60.png" ContentType="image/png"/>
  <Override PartName="/word/media/rId77.png" ContentType="image/png"/>
  <Override PartName="/word/media/rId80.png" ContentType="image/png"/>
  <Override PartName="/word/media/rId8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Dusty</w:t>
      </w:r>
      <w:r>
        <w:t xml:space="preserve"> </w:t>
      </w:r>
      <w:r>
        <w:t xml:space="preserve">Days</w:t>
      </w:r>
      <w:r>
        <w:t xml:space="preserve"> </w:t>
      </w:r>
      <w:r>
        <w:t xml:space="preserve">and</w:t>
      </w:r>
      <w:r>
        <w:t xml:space="preserve"> </w:t>
      </w:r>
      <w:r>
        <w:t xml:space="preserve">a</w:t>
      </w:r>
      <w:r>
        <w:t xml:space="preserve"> </w:t>
      </w:r>
      <w:r>
        <w:t xml:space="preserve">Vibrio</w:t>
      </w:r>
      <w:r>
        <w:t xml:space="preserve"> </w:t>
      </w:r>
      <w:r>
        <w:t xml:space="preserve">Craze:</w:t>
      </w:r>
      <w:r>
        <w:t xml:space="preserve"> </w:t>
      </w:r>
      <w:r>
        <w:t xml:space="preserve">The</w:t>
      </w:r>
      <w:r>
        <w:t xml:space="preserve"> </w:t>
      </w:r>
      <w:r>
        <w:t xml:space="preserve">Influence</w:t>
      </w:r>
      <w:r>
        <w:t xml:space="preserve"> </w:t>
      </w:r>
      <w:r>
        <w:t xml:space="preserve">of</w:t>
      </w:r>
      <w:r>
        <w:t xml:space="preserve"> </w:t>
      </w:r>
      <w:r>
        <w:t xml:space="preserve">Saharan</w:t>
      </w:r>
      <w:r>
        <w:t xml:space="preserve"> </w:t>
      </w:r>
      <w:r>
        <w:t xml:space="preserve">Dust</w:t>
      </w:r>
      <w:r>
        <w:t xml:space="preserve"> </w:t>
      </w:r>
      <w:r>
        <w:t xml:space="preserve">Deposition</w:t>
      </w:r>
      <w:r>
        <w:t xml:space="preserve"> </w:t>
      </w:r>
      <w:r>
        <w:t xml:space="preserve">on</w:t>
      </w:r>
      <w:r>
        <w:t xml:space="preserve"> </w:t>
      </w:r>
      <w:r>
        <w:t xml:space="preserve">Microbial</w:t>
      </w:r>
      <w:r>
        <w:t xml:space="preserve"> </w:t>
      </w:r>
      <w:r>
        <w:t xml:space="preserve">Communities</w:t>
      </w:r>
      <w:r>
        <w:t xml:space="preserve"> </w:t>
      </w:r>
      <w:r>
        <w:t xml:space="preserve">in</w:t>
      </w:r>
      <w:r>
        <w:t xml:space="preserve"> </w:t>
      </w:r>
      <w:r>
        <w:t xml:space="preserve">High</w:t>
      </w:r>
      <w:r>
        <w:t xml:space="preserve"> </w:t>
      </w:r>
      <w:r>
        <w:t xml:space="preserve">Nutrient</w:t>
      </w:r>
      <w:r>
        <w:t xml:space="preserve"> </w:t>
      </w:r>
      <w:r>
        <w:t xml:space="preserve">Coastal</w:t>
      </w:r>
      <w:r>
        <w:t xml:space="preserve"> </w:t>
      </w:r>
      <w:r>
        <w:t xml:space="preserve">Waters</w:t>
      </w:r>
    </w:p>
    <w:p>
      <w:pPr>
        <w:pStyle w:val="Author"/>
      </w:pPr>
      <w:r>
        <w:t xml:space="preserve">Nathan</w:t>
      </w:r>
      <w:r>
        <w:t xml:space="preserve"> </w:t>
      </w:r>
      <w:r>
        <w:t xml:space="preserve">Greenslit</w:t>
      </w:r>
    </w:p>
    <w:p>
      <w:pPr>
        <w:pStyle w:val="Date"/>
      </w:pPr>
      <w:r>
        <w:t xml:space="preserve">5/5/23</w:t>
      </w:r>
    </w:p>
    <w:bookmarkStart w:id="20"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r>
        <w:br w:type="page"/>
      </w:r>
    </w:p>
    <w:bookmarkEnd w:id="20"/>
    <w:bookmarkStart w:id="27" w:name="introduction"/>
    <w:p>
      <w:pPr>
        <w:pStyle w:val="Heading1"/>
      </w:pPr>
      <w:r>
        <w:t xml:space="preserve">Introduction</w:t>
      </w:r>
    </w:p>
    <w:bookmarkStart w:id="21" w:name="saharan-dust"/>
    <w:p>
      <w:pPr>
        <w:pStyle w:val="Heading2"/>
      </w:pPr>
      <w:r>
        <w:t xml:space="preserve">Saharan Dust</w:t>
      </w:r>
    </w:p>
    <w:p>
      <w:pPr>
        <w:pStyle w:val="FirstParagraph"/>
      </w:pPr>
      <w:r>
        <w:t xml:space="preserve">The Sahara Desert is a significant source of atmospheric dust, eliciting an estimated one billion metric tons each year</w:t>
      </w:r>
      <w:r>
        <w:t xml:space="preserve">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w:t>
      </w:r>
      <w:r>
        <w:t xml:space="preserve"> </w:t>
      </w:r>
      <w:r>
        <w:t xml:space="preserve">(Kellogg et al. 2004)</w:t>
      </w:r>
      <w:r>
        <w:t xml:space="preserve">, fungi</w:t>
      </w:r>
      <w:r>
        <w:t xml:space="preserve"> </w:t>
      </w:r>
      <w:r>
        <w:t xml:space="preserve">(Ramírez-Camejo et al. 2022)</w:t>
      </w:r>
      <w:r>
        <w:t xml:space="preserve">, virus-like particles</w:t>
      </w:r>
      <w:r>
        <w:t xml:space="preserve"> </w:t>
      </w:r>
      <w:r>
        <w:t xml:space="preserve">(Griffin et al. 2001)</w:t>
      </w:r>
      <w:r>
        <w:t xml:space="preserve">, and minerals</w:t>
      </w:r>
      <w:r>
        <w:t xml:space="preserve"> </w:t>
      </w:r>
      <w:r>
        <w:t xml:space="preserve">(Formenti 2003)</w:t>
      </w:r>
      <w:r>
        <w:t xml:space="preserve">. These aerosols also serve as a significant source of macro and micronutrients such as phosphate, nitrate, and iron</w:t>
      </w:r>
      <w:r>
        <w:t xml:space="preserve"> </w:t>
      </w:r>
      <w:r>
        <w:t xml:space="preserve">(Mills et al. 2004; Savoie, Prospero, and Saltzman 1989; Graham and Duce 1982)</w:t>
      </w:r>
      <w:r>
        <w:t xml:space="preserve">. This addition of otherwise limiting resources can lead to rapid and potentially harmful blooms of certain microbial groups</w:t>
      </w:r>
      <w:r>
        <w:t xml:space="preserve"> </w:t>
      </w:r>
      <w:r>
        <w:t xml:space="preserve">(Lenes et al. 2008; Westrich et al. 2016 ; Westrich et al. 2016)</w:t>
      </w:r>
      <w:r>
        <w:t xml:space="preserve">.</w:t>
      </w:r>
    </w:p>
    <w:bookmarkEnd w:id="21"/>
    <w:bookmarkStart w:id="24"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2"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w:t>
      </w:r>
      <w:r>
        <w:t xml:space="preserve"> </w:t>
      </w:r>
      <w:r>
        <w:t xml:space="preserve">(Richards et al. 2015; Rosenberg and Falkovitz 2004; 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(Tran et al. 2013; Haldar et al. 2010)</w:t>
      </w:r>
      <w:r>
        <w:t xml:space="preserve"> </w:t>
      </w:r>
      <w:r>
        <w:t xml:space="preserve">among others.</w:t>
      </w:r>
    </w:p>
    <w:bookmarkEnd w:id="22"/>
    <w:bookmarkStart w:id="23"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It is unknown how comparable these findings are to coastal areas with higher ambient nutrient levels than these oligotrophic environments.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3"/>
    <w:bookmarkEnd w:id="24"/>
    <w:bookmarkStart w:id="25"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5"/>
    <w:bookmarkStart w:id="26" w:name="questionshypotheses-to-be-addressed"/>
    <w:p>
      <w:pPr>
        <w:pStyle w:val="Heading2"/>
      </w:pPr>
      <w:r>
        <w:t xml:space="preserve">Questions/Hypotheses to be addressed</w:t>
      </w:r>
    </w:p>
    <w:p>
      <w:pPr>
        <w:pStyle w:val="FirstParagraph"/>
      </w:pPr>
      <w:r>
        <w:rPr>
          <w:bCs/>
          <w:b/>
        </w:rP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6"/>
    <w:bookmarkEnd w:id="27"/>
    <w:bookmarkStart w:id="36" w:name="methods"/>
    <w:p>
      <w:pPr>
        <w:pStyle w:val="Heading1"/>
      </w:pPr>
      <w:r>
        <w:t xml:space="preserve">Methods</w:t>
      </w:r>
    </w:p>
    <w:bookmarkStart w:id="28"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(defined here as the 2022 average from monthly observations). Blind Oso Bay is a shallow tributary that is popular amongst wadefisherman and kayakers. The Bay is often impacted by fluctuating salinities and high levels of nutrients (average:13.03 µM nitrate+nitrite, 4.44 µM orthophosphate) and chlorophyll due to its proximity to wastewater treatment discharge (Wetz, 2014).</w:t>
      </w:r>
      <w:r>
        <w:softHyphen/>
      </w:r>
      <w:r>
        <w:t xml:space="preserve"> Additionally, the Bay has persistent issues with high levels of fecal indicator bacteria, placing it on the U.S. impaired waters list (Nicolau &amp; Hill, 2014, Texas Commission on Environmental Quality, 2022). The residential canal system (average: 0.69µM nitrate+nitrite, 0.20 µM orthophosphate), and can also be impacted by high nutrients and chlorophyll from storm water runoff; salinity is primarily driven by precipitation. The Gulf site is characterized by constant salinities (~36) and relatively low baseline nutrient levels (average: 0.19µM nitrate+nitrite and 0.36µM orthophosphate).</w:t>
      </w:r>
    </w:p>
    <w:bookmarkEnd w:id="28"/>
    <w:bookmarkStart w:id="31" w:name="sample-collection-and-processing"/>
    <w:p>
      <w:pPr>
        <w:pStyle w:val="Heading2"/>
      </w:pPr>
      <w:r>
        <w:t xml:space="preserve">Sample Collection and Processing</w:t>
      </w:r>
    </w:p>
    <w:bookmarkStart w:id="29"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9"/>
    <w:bookmarkStart w:id="30"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0"/>
    <w:bookmarkEnd w:id="31"/>
    <w:bookmarkStart w:id="35" w:name="data-import-and-cleaning"/>
    <w:p>
      <w:pPr>
        <w:pStyle w:val="Heading2"/>
      </w:pPr>
      <w:r>
        <w:t xml:space="preserve">Data import and cleaning</w:t>
      </w:r>
    </w:p>
    <w:p>
      <w:pPr>
        <w:pStyle w:val="FirstParagraph"/>
      </w:pPr>
      <w:r>
        <w:t xml:space="preserve">This project works with three primary data sets. (1) Enumeration of Vibrio bacteria as copies/mL from qPCR (copies_master.csv), (2) Dust concentrations as aerosol optical thickness (AOT) derived from the Naval Research Lab (nrl_conc.csv), and (3) Environmental Parameters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2"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Samples that were non-detect recieved a value of 0 copies/mL. A date column was also added for each sample.</w:t>
      </w:r>
    </w:p>
    <w:bookmarkEnd w:id="32"/>
    <w:bookmarkStart w:id="33"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timepoints from UTC to CST/CDT and created different dust permutations (individual time points, sums by day, and average by day). Because samples were collected between 0700 and 1100, a 24h composite permutation was made. As an example, Dust AOD for the morning of July 12th would be calculated using the last two time points of the 11th, and the first two time points of the 12th. This permutation is what was used for all downstream analyses.</w:t>
      </w:r>
    </w:p>
    <w:bookmarkEnd w:id="33"/>
    <w:bookmarkStart w:id="34" w:name="cleaning-of-environment-data-set"/>
    <w:p>
      <w:pPr>
        <w:pStyle w:val="Heading4"/>
      </w:pPr>
      <w:r>
        <w:t xml:space="preserve">Cleaning of Environment data set</w:t>
      </w:r>
    </w:p>
    <w:p>
      <w:pPr>
        <w:pStyle w:val="FirstParagraph"/>
      </w:pPr>
      <w:r>
        <w:t xml:space="preserve">This data set did not require any cleaning.</w:t>
      </w:r>
    </w:p>
    <w:bookmarkEnd w:id="34"/>
    <w:bookmarkEnd w:id="35"/>
    <w:bookmarkEnd w:id="36"/>
    <w:bookmarkStart w:id="89" w:name="results"/>
    <w:p>
      <w:pPr>
        <w:pStyle w:val="Heading1"/>
      </w:pPr>
      <w:r>
        <w:t xml:space="preserve">Results</w:t>
      </w:r>
    </w:p>
    <w:bookmarkStart w:id="49" w:name="exploratory-analysis"/>
    <w:p>
      <w:pPr>
        <w:pStyle w:val="Heading2"/>
      </w:pPr>
      <w:r>
        <w:t xml:space="preserve">Exploratory Analysis</w:t>
      </w:r>
    </w:p>
    <w:bookmarkStart w:id="40" w:name="dust-aod"/>
    <w:p>
      <w:pPr>
        <w:pStyle w:val="Heading3"/>
      </w:pPr>
      <w:r>
        <w:t xml:space="preserve">Dust AOD</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0.55-0.57. Dust AOD returned to lower concentrations following the time series.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12"/>
                  <wp:effectExtent b="0" l="0" r="0" t="0"/>
                  <wp:docPr descr="" title="" id="38" name="Picture"/>
                  <a:graphic>
                    <a:graphicData uri="http://schemas.openxmlformats.org/drawingml/2006/picture">
                      <pic:pic>
                        <pic:nvPicPr>
                          <pic:cNvPr descr="../../results/plots/dust.png" id="39" name="Picture"/>
                          <pic:cNvPicPr>
                            <a:picLocks noChangeArrowheads="1" noChangeAspect="1"/>
                          </pic:cNvPicPr>
                        </pic:nvPicPr>
                        <pic:blipFill>
                          <a:blip r:embed="rId37"/>
                          <a:stretch>
                            <a:fillRect/>
                          </a:stretch>
                        </pic:blipFill>
                        <pic:spPr bwMode="auto">
                          <a:xfrm>
                            <a:off x="0" y="0"/>
                            <a:ext cx="5334000" cy="3295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Dust Aerosol Optical Density (AOD) over daily time series</w:t>
            </w:r>
          </w:p>
        </w:tc>
      </w:tr>
    </w:tbl>
    <w:bookmarkEnd w:id="40"/>
    <w:bookmarkStart w:id="44" w:name="vibrio-enumeration-1"/>
    <w:p>
      <w:pPr>
        <w:pStyle w:val="Heading3"/>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a less noticeable but still present shift in Blind Oso Bay, and little fluctuation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12"/>
                  <wp:effectExtent b="0" l="0" r="0" t="0"/>
                  <wp:docPr descr="" title="" id="42" name="Picture"/>
                  <a:graphic>
                    <a:graphicData uri="http://schemas.openxmlformats.org/drawingml/2006/picture">
                      <pic:pic>
                        <pic:nvPicPr>
                          <pic:cNvPr descr="../../results/plots/copies.png" id="43" name="Picture"/>
                          <pic:cNvPicPr>
                            <a:picLocks noChangeArrowheads="1" noChangeAspect="1"/>
                          </pic:cNvPicPr>
                        </pic:nvPicPr>
                        <pic:blipFill>
                          <a:blip r:embed="rId41"/>
                          <a:stretch>
                            <a:fillRect/>
                          </a:stretch>
                        </pic:blipFill>
                        <pic:spPr bwMode="auto">
                          <a:xfrm>
                            <a:off x="0" y="0"/>
                            <a:ext cx="5334000" cy="3295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Vibrio gene copies/mL over daily time series across site</w:t>
            </w:r>
          </w:p>
        </w:tc>
      </w:tr>
    </w:tbl>
    <w:bookmarkEnd w:id="44"/>
    <w:bookmarkStart w:id="48" w:name="environmental-parameters"/>
    <w:p>
      <w:pPr>
        <w:pStyle w:val="Heading3"/>
      </w:pPr>
      <w:r>
        <w:t xml:space="preserve">Environmental Parameters</w:t>
      </w:r>
    </w:p>
    <w:p>
      <w:pPr>
        <w:pStyle w:val="FirstParagraph"/>
      </w:pPr>
      <w:r>
        <w:t xml:space="preserve">Environmental parameters were site-specific. Temperature and salinities were consistent and high at the Canals. While salinity remained relatively constant at the Gulf,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Dissolved organic matter (DOC, DON), TDN, and Chlorophyll exhibited distinct peaks in the latter half of the time series at Blind Oso, while less clear trends were seen in the other two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12"/>
                  <wp:effectExtent b="0" l="0" r="0" t="0"/>
                  <wp:docPr descr="" title="" id="46" name="Picture"/>
                  <a:graphic>
                    <a:graphicData uri="http://schemas.openxmlformats.org/drawingml/2006/picture">
                      <pic:pic>
                        <pic:nvPicPr>
                          <pic:cNvPr descr="../../results/plots/env.png" id="47" name="Picture"/>
                          <pic:cNvPicPr>
                            <a:picLocks noChangeArrowheads="1" noChangeAspect="1"/>
                          </pic:cNvPicPr>
                        </pic:nvPicPr>
                        <pic:blipFill>
                          <a:blip r:embed="rId45"/>
                          <a:stretch>
                            <a:fillRect/>
                          </a:stretch>
                        </pic:blipFill>
                        <pic:spPr bwMode="auto">
                          <a:xfrm>
                            <a:off x="0" y="0"/>
                            <a:ext cx="5334000" cy="3295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Envonmental parameters across daily time series with color by site (Blind Oso = green, Canals = red, and the Gulf = Blue)</w:t>
            </w:r>
          </w:p>
        </w:tc>
      </w:tr>
    </w:tbl>
    <w:bookmarkEnd w:id="48"/>
    <w:bookmarkEnd w:id="49"/>
    <w:bookmarkStart w:id="56" w:name="statistical-analysis"/>
    <w:p>
      <w:pPr>
        <w:pStyle w:val="Heading2"/>
      </w:pPr>
      <w:r>
        <w:t xml:space="preserve">Statistical Analysis</w:t>
      </w:r>
    </w:p>
    <w:bookmarkStart w:id="50" w:name="distributions"/>
    <w:p>
      <w:pPr>
        <w:pStyle w:val="Heading3"/>
      </w:pPr>
      <w:r>
        <w:t xml:space="preserve">Distributions</w:t>
      </w:r>
    </w:p>
    <w:p>
      <w:pPr>
        <w:pStyle w:val="FirstParagraph"/>
      </w:pPr>
      <w:r>
        <w:t xml:space="preserve">Density and Q-Q plots as well as Shapiro-Wilk’s tests were conducted to assess distribution of the data (SI). Any data that did not have a normal distribution was log-transformed and the test was run again. Variables that continue to fail normality will have non-parametric tests run on them.</w:t>
      </w:r>
      <w:r>
        <w:t xml:space="preserve"> </w:t>
      </w:r>
    </w:p>
    <w:bookmarkEnd w:id="50"/>
    <w:bookmarkStart w:id="51" w:name="cross-correlation-analysis"/>
    <w:p>
      <w:pPr>
        <w:pStyle w:val="Heading3"/>
      </w:pPr>
      <w:r>
        <w:t xml:space="preserve">Cross-correlation Analysis</w:t>
      </w:r>
    </w:p>
    <w:p>
      <w:pPr>
        <w:pStyle w:val="FirstParagraph"/>
      </w:pPr>
      <w:r>
        <w:t xml:space="preserve">Previous literature has shown that Vibrio respond 12-24 hours following dust deposition events</w:t>
      </w:r>
      <w:r>
        <w:t xml:space="preserve"> </w:t>
      </w:r>
      <w:r>
        <w:t xml:space="preserve">(Westrich et al. 2016)</w:t>
      </w:r>
      <w:r>
        <w:t xml:space="preserve">.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(found in supplementary file) showed that BO has a significant lag relationship a value of -1. In other words, dust occurs, and one day later, we see a response in</w:t>
      </w:r>
      <w:r>
        <w:t xml:space="preserve"> </w:t>
      </w:r>
      <w:r>
        <w:rPr>
          <w:iCs/>
          <w:i/>
        </w:rPr>
        <w:t xml:space="preserve">Vibrio</w:t>
      </w:r>
      <w:r>
        <w:t xml:space="preserve"> </w:t>
      </w:r>
      <w:r>
        <w:t xml:space="preserve">gene copies per mL. C2 has a lag at -2, and RD at -1.</w:t>
      </w:r>
    </w:p>
    <w:bookmarkEnd w:id="51"/>
    <w:bookmarkStart w:id="55" w:name="correlation-matrices"/>
    <w:p>
      <w:pPr>
        <w:pStyle w:val="Heading3"/>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dust, and lagged dust for growth delay analysis). A majority of the environmental variables had a non-normal distribution, thus Spearman’s Correlation (indicated by the color gradient) was used to examine the relationship between the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53" name="Picture"/>
                  <a:graphic>
                    <a:graphicData uri="http://schemas.openxmlformats.org/drawingml/2006/picture">
                      <pic:pic>
                        <pic:nvPicPr>
                          <pic:cNvPr descr="images/000009-02.png" id="54" name="Picture"/>
                          <pic:cNvPicPr>
                            <a:picLocks noChangeArrowheads="1" noChangeAspect="1"/>
                          </pic:cNvPicPr>
                        </pic:nvPicPr>
                        <pic:blipFill>
                          <a:blip r:embed="rId52"/>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matrices of environmental parameteres by site.</w:t>
            </w:r>
          </w:p>
        </w:tc>
      </w:tr>
    </w:tbl>
    <w:bookmarkEnd w:id="55"/>
    <w:bookmarkEnd w:id="56"/>
    <w:bookmarkStart w:id="88" w:name="full-analysis"/>
    <w:p>
      <w:pPr>
        <w:pStyle w:val="Heading2"/>
      </w:pPr>
      <w:r>
        <w:t xml:space="preserve">Full analysis</w:t>
      </w:r>
    </w:p>
    <w:bookmarkStart w:id="63"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12"/>
                  <wp:effectExtent b="0" l="0" r="0" t="0"/>
                  <wp:docPr descr="" title="" id="58" name="Picture"/>
                  <a:graphic>
                    <a:graphicData uri="http://schemas.openxmlformats.org/drawingml/2006/picture">
                      <pic:pic>
                        <pic:nvPicPr>
                          <pic:cNvPr descr="../../results/plots/uni.png" id="59" name="Picture"/>
                          <pic:cNvPicPr>
                            <a:picLocks noChangeArrowheads="1" noChangeAspect="1"/>
                          </pic:cNvPicPr>
                        </pic:nvPicPr>
                        <pic:blipFill>
                          <a:blip r:embed="rId57"/>
                          <a:stretch>
                            <a:fillRect/>
                          </a:stretch>
                        </pic:blipFill>
                        <pic:spPr bwMode="auto">
                          <a:xfrm>
                            <a:off x="0" y="0"/>
                            <a:ext cx="5334000" cy="3295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Linear Regression Output for Dust AOD (log-transformed) and Vibrio gene copies/mL</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1" name="Picture"/>
                  <a:graphic>
                    <a:graphicData uri="http://schemas.openxmlformats.org/drawingml/2006/picture">
                      <pic:pic>
                        <pic:nvPicPr>
                          <pic:cNvPr descr="images/Screen%20Shot%202023-04-19%20at%201.33.37%20PM.png" id="62" name="Picture"/>
                          <pic:cNvPicPr>
                            <a:picLocks noChangeArrowheads="1" noChangeAspect="1"/>
                          </pic:cNvPicPr>
                        </pic:nvPicPr>
                        <pic:blipFill>
                          <a:blip r:embed="rId60"/>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3"/>
    <w:bookmarkStart w:id="87" w:name="multi-variate-models"/>
    <w:p>
      <w:pPr>
        <w:pStyle w:val="Heading3"/>
      </w:pPr>
      <w:r>
        <w:t xml:space="preserve">Multi-variate Models</w:t>
      </w:r>
    </w:p>
    <w:bookmarkStart w:id="76"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5" name="Picture"/>
                  <a:graphic>
                    <a:graphicData uri="http://schemas.openxmlformats.org/drawingml/2006/picture">
                      <pic:pic>
                        <pic:nvPicPr>
                          <pic:cNvPr descr="images/Screen%20Shot%202023-04-19%20at%202.08.25%20PM.png" id="66" name="Picture"/>
                          <pic:cNvPicPr>
                            <a:picLocks noChangeArrowheads="1" noChangeAspect="1"/>
                          </pic:cNvPicPr>
                        </pic:nvPicPr>
                        <pic:blipFill>
                          <a:blip r:embed="rId64"/>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68" name="Picture"/>
                  <a:graphic>
                    <a:graphicData uri="http://schemas.openxmlformats.org/drawingml/2006/picture">
                      <pic:pic>
                        <pic:nvPicPr>
                          <pic:cNvPr descr="../../results/plots/rf_bo.png" id="69" name="Picture"/>
                          <pic:cNvPicPr>
                            <a:picLocks noChangeArrowheads="1" noChangeAspect="1"/>
                          </pic:cNvPicPr>
                        </pic:nvPicPr>
                        <pic:blipFill>
                          <a:blip r:embed="rId6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Vibrio gene copies/mL at Blind Oso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1" name="Picture"/>
                  <a:graphic>
                    <a:graphicData uri="http://schemas.openxmlformats.org/drawingml/2006/picture">
                      <pic:pic>
                        <pic:nvPicPr>
                          <pic:cNvPr descr="../../results/plots/rf_c2.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Vibrio gene copies/mL at Canals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4" name="Picture"/>
                  <a:graphic>
                    <a:graphicData uri="http://schemas.openxmlformats.org/drawingml/2006/picture">
                      <pic:pic>
                        <pic:nvPicPr>
                          <pic:cNvPr descr="../../results/plots/rf_rd.png" id="75" name="Picture"/>
                          <pic:cNvPicPr>
                            <a:picLocks noChangeArrowheads="1" noChangeAspect="1"/>
                          </pic:cNvPicPr>
                        </pic:nvPicPr>
                        <pic:blipFill>
                          <a:blip r:embed="rId7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Vibrio gene copies/mL at the Gulf predicted by Random Forest</w:t>
            </w:r>
          </w:p>
        </w:tc>
      </w:tr>
    </w:tbl>
    <w:bookmarkEnd w:id="76"/>
    <w:bookmarkStart w:id="86" w:name="multi-varaiate-linear-regressions"/>
    <w:p>
      <w:pPr>
        <w:pStyle w:val="Heading4"/>
      </w:pPr>
      <w:r>
        <w:t xml:space="preserve">Multi-varaiate 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78" name="Picture"/>
                  <a:graphic>
                    <a:graphicData uri="http://schemas.openxmlformats.org/drawingml/2006/picture">
                      <pic:pic>
                        <pic:nvPicPr>
                          <pic:cNvPr descr="images/Screen%20Shot%202023-04-19%20at%201.36.29%20PM.png" id="79" name="Picture"/>
                          <pic:cNvPicPr>
                            <a:picLocks noChangeArrowheads="1" noChangeAspect="1"/>
                          </pic:cNvPicPr>
                        </pic:nvPicPr>
                        <pic:blipFill>
                          <a:blip r:embed="rId77"/>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1" name="Picture"/>
                  <a:graphic>
                    <a:graphicData uri="http://schemas.openxmlformats.org/drawingml/2006/picture">
                      <pic:pic>
                        <pic:nvPicPr>
                          <pic:cNvPr descr="images/Screen%20Shot%202023-04-19%20at%201.37.02%20PM.png" id="82" name="Picture"/>
                          <pic:cNvPicPr>
                            <a:picLocks noChangeArrowheads="1" noChangeAspect="1"/>
                          </pic:cNvPicPr>
                        </pic:nvPicPr>
                        <pic:blipFill>
                          <a:blip r:embed="rId80"/>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4" name="Picture"/>
                  <a:graphic>
                    <a:graphicData uri="http://schemas.openxmlformats.org/drawingml/2006/picture">
                      <pic:pic>
                        <pic:nvPicPr>
                          <pic:cNvPr descr="images/Screen%20Shot%202023-04-19%20at%201.37.21%20PM.png" id="85" name="Picture"/>
                          <pic:cNvPicPr>
                            <a:picLocks noChangeArrowheads="1" noChangeAspect="1"/>
                          </pic:cNvPicPr>
                        </pic:nvPicPr>
                        <pic:blipFill>
                          <a:blip r:embed="rId83"/>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(Model 5) resulted in the best performance, with mean RMSE values much lower than the Null Model.</w:t>
      </w:r>
    </w:p>
    <w:bookmarkEnd w:id="86"/>
    <w:bookmarkEnd w:id="87"/>
    <w:bookmarkEnd w:id="88"/>
    <w:bookmarkEnd w:id="89"/>
    <w:bookmarkStart w:id="93"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and has implications for both marine and human health.</w:t>
      </w:r>
    </w:p>
    <w:p>
      <w:pPr>
        <w:pStyle w:val="BodyText"/>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To examine the impact of dust deposition on</w:t>
      </w:r>
      <w:r>
        <w:t xml:space="preserve"> </w:t>
      </w:r>
      <w:r>
        <w:rPr>
          <w:iCs/>
          <w:i/>
        </w:rPr>
        <w:t xml:space="preserve">Vibrio</w:t>
      </w:r>
      <w:r>
        <w:t xml:space="preserve"> </w:t>
      </w:r>
      <w:r>
        <w:t xml:space="preserve">growth,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including salinity and temperature, were also collected during this period. The three data sets (Vibrio Enumeration, Environmental parameters, and Dust Concentration) were then processed and cleaned for analysis.</w:t>
      </w:r>
    </w:p>
    <w:bookmarkStart w:id="90" w:name="findingsexplanations"/>
    <w:p>
      <w:pPr>
        <w:pStyle w:val="Heading2"/>
      </w:pPr>
      <w:r>
        <w:t xml:space="preserve">Findings/Explanations</w:t>
      </w:r>
    </w:p>
    <w:p>
      <w:pPr>
        <w:pStyle w:val="FirstParagraph"/>
      </w:pPr>
      <w:r>
        <w:rPr>
          <w:iCs/>
          <w:i/>
        </w:rPr>
        <w:t xml:space="preserve">Vibrio</w:t>
      </w:r>
      <w:r>
        <w:t xml:space="preserve"> </w:t>
      </w:r>
      <w:r>
        <w:t xml:space="preserve">gene copies/mL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bloom formation.</w:t>
      </w:r>
      <w:r>
        <w:t xml:space="preserve"> </w:t>
      </w:r>
      <w:r>
        <w:rPr>
          <w:iCs/>
          <w:i/>
        </w:rPr>
        <w:t xml:space="preserve">Vibrio</w:t>
      </w:r>
      <w:r>
        <w:t xml:space="preserve"> </w:t>
      </w:r>
      <w:r>
        <w:t xml:space="preserve">species have one of the fastest doubling times among bacteria</w:t>
      </w:r>
      <w:r>
        <w:t xml:space="preserve"> </w:t>
      </w:r>
      <w:r>
        <w:t xml:space="preserve">(Gibson et al. 2018 ; Eagon 1962)</w:t>
      </w:r>
      <w:r>
        <w:t xml:space="preserve">, and are able to exploit introduced nutrients due their rapid motility, diverse genomic repertoire, and iron-chelating complexes</w:t>
      </w:r>
      <w:r>
        <w:t xml:space="preserve"> </w:t>
      </w:r>
      <w:r>
        <w:t xml:space="preserve">(Ringgaard et al. 2018; Okada et al. 2005 ; Payne, Mey, and Wyckoff 2016)</w:t>
      </w:r>
      <w:r>
        <w:t xml:space="preserve">. Initially comprising a small proportion of the marine microbial communities (&lt;1%),</w:t>
      </w:r>
      <w:r>
        <w:t xml:space="preserve"> </w:t>
      </w:r>
      <w:r>
        <w:rPr>
          <w:iCs/>
          <w:i/>
        </w:rPr>
        <w:t xml:space="preserve">Vibrio</w:t>
      </w:r>
      <w:r>
        <w:t xml:space="preserve"> </w:t>
      </w:r>
      <w:r>
        <w:t xml:space="preserve">can come to quickly dominate, and thus have been classified as</w:t>
      </w:r>
      <w:r>
        <w:t xml:space="preserve"> </w:t>
      </w:r>
      <w:r>
        <w:t xml:space="preserve">‘</w:t>
      </w:r>
      <w:r>
        <w:t xml:space="preserve">oppurtunitrophs</w:t>
      </w:r>
      <w:r>
        <w:t xml:space="preserve">’</w:t>
      </w:r>
      <w:r>
        <w:t xml:space="preserve">. The obsereved declines in</w:t>
      </w:r>
      <w:r>
        <w:t xml:space="preserve"> </w:t>
      </w:r>
      <w:r>
        <w:rPr>
          <w:iCs/>
          <w:i/>
        </w:rPr>
        <w:t xml:space="preserve">Vibrio</w:t>
      </w:r>
      <w:r>
        <w:t xml:space="preserve"> </w:t>
      </w:r>
      <w:r>
        <w:t xml:space="preserve">gene copies/mL following deposition may be attributed to top down control, such as viral lysis</w:t>
      </w:r>
      <w:r>
        <w:t xml:space="preserve"> </w:t>
      </w:r>
      <w:r>
        <w:t xml:space="preserve">(Molina-Quiroz and Silva-Valenzuela 2023)</w:t>
      </w:r>
      <w:r>
        <w:t xml:space="preserve">, or bottom-up controls due to an exhaustion of the resources provided by the dust</w:t>
      </w:r>
      <w:r>
        <w:t xml:space="preserve"> </w:t>
      </w:r>
      <w:r>
        <w:t xml:space="preserve">(Psenner and Sommaruga 1992)</w:t>
      </w:r>
      <w:r>
        <w:t xml:space="preserve">.</w:t>
      </w:r>
    </w:p>
    <w:p>
      <w:pPr>
        <w:pStyle w:val="BodyText"/>
      </w:pPr>
      <w:r>
        <w:t xml:space="preserve">Similar to previous findings set in the Florida Keys and North Atlantic</w:t>
      </w:r>
      <w:r>
        <w:t xml:space="preserve"> </w:t>
      </w:r>
      <w:r>
        <w:t xml:space="preserve">(Westrich et al. 2018, 2016)</w:t>
      </w:r>
      <w:r>
        <w:t xml:space="preserve">, peaks in growth were observed 24-48 hours following dust deposition. Comparing peak</w:t>
      </w:r>
      <w:r>
        <w:t xml:space="preserve"> </w:t>
      </w:r>
      <w:r>
        <w:rPr>
          <w:iCs/>
          <w:i/>
        </w:rPr>
        <w:t xml:space="preserve">Vibrio</w:t>
      </w:r>
      <w:r>
        <w:t xml:space="preserve"> </w:t>
      </w:r>
      <w:r>
        <w:t xml:space="preserve">gene copies/mL to initial levels on the 9th of July (chosen to ameliorate the possibility of growth following dust deposition prior to sampling period), the Gulf experienced a 33-fold increase in</w:t>
      </w:r>
      <w:r>
        <w:t xml:space="preserve"> </w:t>
      </w:r>
      <w:r>
        <w:rPr>
          <w:iCs/>
          <w:i/>
        </w:rPr>
        <w:t xml:space="preserve">Vibrio</w:t>
      </w:r>
      <w:r>
        <w:t xml:space="preserve"> </w:t>
      </w:r>
      <w:r>
        <w:t xml:space="preserve">gene copies/mL, Blind Oso a 2-fold increase, and the Canals a 5.6-fold increase.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degree in growth 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r>
        <w:t xml:space="preserve"> </w:t>
      </w:r>
      <w:r>
        <w:t xml:space="preserve">(Westrich et al. 2018, 2016)</w:t>
      </w:r>
      <w:r>
        <w:t xml:space="preserve">.</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3).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 (Wetz, 2014). The Bay experienced a dramatic drop in salinity from July 11th to July 19th that could be attributed to discharge from the OSP (Figure 3). While growth was significantly correlated with dust deposition, there are many environmental factors at play at this site, limiting the identification of the specific mechanisms that are eliciting this response.</w:t>
      </w:r>
    </w:p>
    <w:p>
      <w:pPr>
        <w:pStyle w:val="BodyText"/>
      </w:pPr>
      <w:r>
        <w:t xml:space="preserve">The Gulf exhibited a sharper increase in growth during the second, heavier dust event, while Blind Oso exhibited a smaller increase during the heavy dust event (Figure 2). This difference in response may be attributed to the nutrient dynamics of the sites. In marine waters, nutrients are typically limiting due to tight microbial recycling. Therefore the introduction of nutrients at such a site may result in rapid uptake and utilization. At Blind Oso, a priming effect may be occurring, where dust constituents resulting from a secondary flux may not be as essential for growth following an initial deposition event, where the constituents are reaching a maximum in how much they can support growth.</w:t>
      </w:r>
    </w:p>
    <w:bookmarkEnd w:id="90"/>
    <w:bookmarkStart w:id="91"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assess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p>
      <w:pPr>
        <w:pStyle w:val="BodyText"/>
      </w:pPr>
      <w:r>
        <w:t xml:space="preserve">The annual dust data set indicates a period of slightly elevated AOD (0.16) on the 5th of July, prior to sampling (SI). This light dust period could have the potential to impact initial</w:t>
      </w:r>
      <w:r>
        <w:t xml:space="preserve"> </w:t>
      </w:r>
      <w:r>
        <w:rPr>
          <w:iCs/>
          <w:i/>
        </w:rPr>
        <w:t xml:space="preserve">Vibrio</w:t>
      </w:r>
      <w:r>
        <w:t xml:space="preserve"> </w:t>
      </w:r>
      <w:r>
        <w:t xml:space="preserve">levels at the beginning of the time series, which may serve as an explanation for initial higher</w:t>
      </w:r>
      <w:r>
        <w:t xml:space="preserve"> </w:t>
      </w:r>
      <w:r>
        <w:rPr>
          <w:iCs/>
          <w:i/>
        </w:rPr>
        <w:t xml:space="preserve">Vibrio</w:t>
      </w:r>
      <w:r>
        <w:t xml:space="preserve"> </w:t>
      </w:r>
      <w:r>
        <w:t xml:space="preserve">gene copies/mL at the Canals, and why the correlation between dust and</w:t>
      </w:r>
      <w:r>
        <w:t xml:space="preserve"> </w:t>
      </w:r>
      <w:r>
        <w:rPr>
          <w:iCs/>
          <w:i/>
        </w:rPr>
        <w:t xml:space="preserve">Vibrio</w:t>
      </w:r>
      <w:r>
        <w:t xml:space="preserve"> </w:t>
      </w:r>
      <w:r>
        <w:t xml:space="preserve">gene copies/mL was so high at this site. Future work should expand upon the temporal resolution, allowing for an extended period of low dust AOD prior to sampling.</w:t>
      </w:r>
    </w:p>
    <w:bookmarkEnd w:id="91"/>
    <w:bookmarkStart w:id="92"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from nutrient limitation. Inland sites, similar to the Canals or Blind Oso, may experience higher nutrient levels as a result of nutrient runoff and proximity to residential areas, and thus exhibit dampened</w:t>
      </w:r>
      <w:r>
        <w:t xml:space="preserve"> </w:t>
      </w:r>
      <w:r>
        <w:rPr>
          <w:iCs/>
          <w:i/>
        </w:rPr>
        <w:t xml:space="preserve">Vibrio</w:t>
      </w:r>
      <w:r>
        <w:t xml:space="preserve"> </w:t>
      </w:r>
      <w:r>
        <w:t xml:space="preserve">growth following dust input, as the dust derived nutrients may be less critical for growth if there is already a supporting nutrient foundation. Alternatively, and potentially in the case at the Canals, the environmental conditions may not be favorable for growth initially. The apparent growth response at Blind Oso despite having higher nutrients, suggests that there may be other constituents in the dust that are not present in the site that elicit this response. More work will be needed to fully understand the dynamics, as there were many other attributes that may have also contributed to growth at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 Understanding the relationships that exist between dust deposition and potential harmful bacterial blooms in these regions can aid in modelling predictions of increased exposure risk to better protect public health.</w:t>
      </w:r>
    </w:p>
    <w:p>
      <w:r>
        <w:br w:type="page"/>
      </w:r>
    </w:p>
    <w:bookmarkEnd w:id="92"/>
    <w:bookmarkEnd w:id="93"/>
    <w:bookmarkStart w:id="150" w:name="references"/>
    <w:p>
      <w:pPr>
        <w:pStyle w:val="Heading1"/>
      </w:pPr>
      <w:r>
        <w:t xml:space="preserve">References</w:t>
      </w:r>
    </w:p>
    <w:bookmarkStart w:id="149" w:name="refs"/>
    <w:bookmarkStart w:id="95"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94">
        <w:r>
          <w:rPr>
            <w:rStyle w:val="Hyperlink"/>
          </w:rPr>
          <w:t xml:space="preserve">https://doi.org/10.1038/s41572-018-0005-8</w:t>
        </w:r>
      </w:hyperlink>
      <w:r>
        <w:t xml:space="preserve">.</w:t>
      </w:r>
    </w:p>
    <w:bookmarkEnd w:id="95"/>
    <w:bookmarkStart w:id="97"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6">
        <w:r>
          <w:rPr>
            <w:rStyle w:val="Hyperlink"/>
          </w:rPr>
          <w:t xml:space="preserve">https://doi.org/10.1099/ijs.0.02402-0</w:t>
        </w:r>
      </w:hyperlink>
      <w:r>
        <w:t xml:space="preserve">.</w:t>
      </w:r>
    </w:p>
    <w:bookmarkEnd w:id="97"/>
    <w:bookmarkStart w:id="99"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8">
        <w:r>
          <w:rPr>
            <w:rStyle w:val="Hyperlink"/>
          </w:rPr>
          <w:t xml:space="preserve">https://doi.org/10.1002/lno.11291</w:t>
        </w:r>
      </w:hyperlink>
      <w:r>
        <w:t xml:space="preserve">.</w:t>
      </w:r>
    </w:p>
    <w:bookmarkEnd w:id="99"/>
    <w:bookmarkStart w:id="101"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0">
        <w:r>
          <w:rPr>
            <w:rStyle w:val="Hyperlink"/>
          </w:rPr>
          <w:t xml:space="preserve">https://doi.org/10.1175/1520-0450(1986)025&lt;0903:AMFSDT&gt;2.0.CO;2</w:t>
        </w:r>
      </w:hyperlink>
      <w:r>
        <w:t xml:space="preserve">.</w:t>
      </w:r>
    </w:p>
    <w:bookmarkEnd w:id="101"/>
    <w:bookmarkStart w:id="103"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2">
        <w:r>
          <w:rPr>
            <w:rStyle w:val="Hyperlink"/>
          </w:rPr>
          <w:t xml:space="preserve">https://doi.org/10.1128/jb.83.4.736-737.1962</w:t>
        </w:r>
      </w:hyperlink>
      <w:r>
        <w:t xml:space="preserve">.</w:t>
      </w:r>
    </w:p>
    <w:bookmarkEnd w:id="103"/>
    <w:bookmarkStart w:id="105" w:name="Xa24ffb5fe8ecb51b63d26cd8664b6473167df28"/>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104">
        <w:r>
          <w:rPr>
            <w:rStyle w:val="Hyperlink"/>
          </w:rPr>
          <w:t xml:space="preserve">https://doi.org/10.1029/2002JD002648</w:t>
        </w:r>
      </w:hyperlink>
      <w:r>
        <w:t xml:space="preserve">.</w:t>
      </w:r>
    </w:p>
    <w:bookmarkEnd w:id="105"/>
    <w:bookmarkStart w:id="10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06">
        <w:r>
          <w:rPr>
            <w:rStyle w:val="Hyperlink"/>
          </w:rPr>
          <w:t xml:space="preserve">https://doi.org/10.1098/rspb.2018.0789</w:t>
        </w:r>
      </w:hyperlink>
      <w:r>
        <w:t xml:space="preserve">.</w:t>
      </w:r>
    </w:p>
    <w:bookmarkEnd w:id="107"/>
    <w:bookmarkStart w:id="109" w:name="X28ee03f0603cf07e6af6e86c8c428657a220f1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108">
        <w:r>
          <w:rPr>
            <w:rStyle w:val="Hyperlink"/>
          </w:rPr>
          <w:t xml:space="preserve">https://doi.org/10.1016/0004-6981(82)90198-6</w:t>
        </w:r>
      </w:hyperlink>
      <w:r>
        <w:t xml:space="preserve">.</w:t>
      </w:r>
    </w:p>
    <w:bookmarkEnd w:id="109"/>
    <w:bookmarkStart w:id="110" w:name="ref-griffinAfricanDesertDust2001"/>
    <w:p>
      <w:pPr>
        <w:pStyle w:val="Bibliography"/>
      </w:pPr>
      <w:r>
        <w:t xml:space="preserve">Griffin, Dale W, Virginia H Garrison, Jay R Herman, and Eugene A Shinn. 2001.</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0"/>
    <w:bookmarkStart w:id="11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1">
        <w:r>
          <w:rPr>
            <w:rStyle w:val="Hyperlink"/>
          </w:rPr>
          <w:t xml:space="preserve">https://doi.org/10.1016/j.micres.2009.12.001</w:t>
        </w:r>
      </w:hyperlink>
      <w:r>
        <w:t xml:space="preserve">.</w:t>
      </w:r>
    </w:p>
    <w:bookmarkEnd w:id="112"/>
    <w:bookmarkStart w:id="11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3">
        <w:r>
          <w:rPr>
            <w:rStyle w:val="Hyperlink"/>
          </w:rPr>
          <w:t xml:space="preserve">https://doi.org/10.1111/j.1574-6968.2009.01567.x</w:t>
        </w:r>
      </w:hyperlink>
      <w:r>
        <w:t xml:space="preserve">.</w:t>
      </w:r>
    </w:p>
    <w:bookmarkEnd w:id="114"/>
    <w:bookmarkStart w:id="11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5">
        <w:r>
          <w:rPr>
            <w:rStyle w:val="Hyperlink"/>
          </w:rPr>
          <w:t xml:space="preserve">https://doi.org/10.1023/B:AERO.0000032947.88335.bb</w:t>
        </w:r>
      </w:hyperlink>
      <w:r>
        <w:t xml:space="preserve">.</w:t>
      </w:r>
    </w:p>
    <w:bookmarkEnd w:id="116"/>
    <w:bookmarkStart w:id="11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17">
        <w:r>
          <w:rPr>
            <w:rStyle w:val="Hyperlink"/>
          </w:rPr>
          <w:t xml:space="preserve">https://doi.org/10.1016/j.csr.2008.02.009</w:t>
        </w:r>
      </w:hyperlink>
      <w:r>
        <w:t xml:space="preserve">.</w:t>
      </w:r>
    </w:p>
    <w:bookmarkEnd w:id="118"/>
    <w:bookmarkStart w:id="12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19">
        <w:r>
          <w:rPr>
            <w:rStyle w:val="Hyperlink"/>
          </w:rPr>
          <w:t xml:space="preserve">https://doi.org/10.1038/nature02550</w:t>
        </w:r>
      </w:hyperlink>
      <w:r>
        <w:t xml:space="preserve">.</w:t>
      </w:r>
    </w:p>
    <w:bookmarkEnd w:id="120"/>
    <w:bookmarkStart w:id="122" w:name="X5c8aec949940aae0839e2c256ab35a8e4baa6ac"/>
    <w:p>
      <w:pPr>
        <w:pStyle w:val="Bibliography"/>
      </w:pPr>
      <w:r>
        <w:t xml:space="preserve">Molina-Quiroz, Roberto C, and Cecilia A Silva-Valenzuela. 2023.</w:t>
      </w:r>
      <w:r>
        <w:t xml:space="preserve"> </w:t>
      </w:r>
      <w:r>
        <w:t xml:space="preserve">“Interactions of</w:t>
      </w:r>
      <w:r>
        <w:t xml:space="preserve"> </w:t>
      </w:r>
      <w:r>
        <w:t xml:space="preserve">Vibrio</w:t>
      </w:r>
      <w:r>
        <w:t xml:space="preserve"> </w:t>
      </w:r>
      <w:r>
        <w:t xml:space="preserve">Phages and Their Hosts in Aquatic Environments.”</w:t>
      </w:r>
      <w:r>
        <w:t xml:space="preserve"> </w:t>
      </w:r>
      <w:r>
        <w:rPr>
          <w:iCs/>
          <w:i/>
        </w:rPr>
        <w:t xml:space="preserve">Current Opinion in Microbiology</w:t>
      </w:r>
      <w:r>
        <w:t xml:space="preserve"> </w:t>
      </w:r>
      <w:r>
        <w:t xml:space="preserve">74 (August): 102308.</w:t>
      </w:r>
      <w:r>
        <w:t xml:space="preserve"> </w:t>
      </w:r>
      <w:hyperlink r:id="rId121">
        <w:r>
          <w:rPr>
            <w:rStyle w:val="Hyperlink"/>
          </w:rPr>
          <w:t xml:space="preserve">https://doi.org/10.1016/j.mib.2023.102308</w:t>
        </w:r>
      </w:hyperlink>
      <w:r>
        <w:t xml:space="preserve">.</w:t>
      </w:r>
    </w:p>
    <w:bookmarkEnd w:id="122"/>
    <w:bookmarkStart w:id="124"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3">
        <w:r>
          <w:rPr>
            <w:rStyle w:val="Hyperlink"/>
          </w:rPr>
          <w:t xml:space="preserve">https://doi.org/10.1128/JB.187.2.752-757.2005</w:t>
        </w:r>
      </w:hyperlink>
      <w:r>
        <w:t xml:space="preserve">.</w:t>
      </w:r>
    </w:p>
    <w:bookmarkEnd w:id="124"/>
    <w:bookmarkStart w:id="126"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5">
        <w:r>
          <w:rPr>
            <w:rStyle w:val="Hyperlink"/>
          </w:rPr>
          <w:t xml:space="preserve">https://doi.org/10.1128/MMBR.00046-15</w:t>
        </w:r>
      </w:hyperlink>
      <w:r>
        <w:t xml:space="preserve">.</w:t>
      </w:r>
    </w:p>
    <w:bookmarkEnd w:id="126"/>
    <w:bookmarkStart w:id="128" w:name="ref-psennerAreRapidChanges1992"/>
    <w:p>
      <w:pPr>
        <w:pStyle w:val="Bibliography"/>
      </w:pPr>
      <w:r>
        <w:t xml:space="preserve">Psenner, Roland, and Ruben Sommaruga. 1992.</w:t>
      </w:r>
      <w:r>
        <w:t xml:space="preserve"> </w:t>
      </w:r>
      <w:r>
        <w:t xml:space="preserve">“Are Rapid Changes in Bacterial Biomass Caused by Shifts from Top-down to Bottom-up Control?”</w:t>
      </w:r>
      <w:r>
        <w:t xml:space="preserve"> </w:t>
      </w:r>
      <w:r>
        <w:rPr>
          <w:iCs/>
          <w:i/>
        </w:rPr>
        <w:t xml:space="preserve">Limnology and Oceanography</w:t>
      </w:r>
      <w:r>
        <w:t xml:space="preserve"> </w:t>
      </w:r>
      <w:r>
        <w:t xml:space="preserve">37 (5): 1092–1100.</w:t>
      </w:r>
      <w:r>
        <w:t xml:space="preserve"> </w:t>
      </w:r>
      <w:hyperlink r:id="rId127">
        <w:r>
          <w:rPr>
            <w:rStyle w:val="Hyperlink"/>
          </w:rPr>
          <w:t xml:space="preserve">https://doi.org/10.4319/lo.1992.37.5.1092</w:t>
        </w:r>
      </w:hyperlink>
      <w:r>
        <w:t xml:space="preserve">.</w:t>
      </w:r>
    </w:p>
    <w:bookmarkEnd w:id="128"/>
    <w:bookmarkStart w:id="130"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9">
        <w:r>
          <w:rPr>
            <w:rStyle w:val="Hyperlink"/>
          </w:rPr>
          <w:t xml:space="preserve">https://doi.org/10.1007/s10453-022-09752-9</w:t>
        </w:r>
      </w:hyperlink>
      <w:r>
        <w:t xml:space="preserve">.</w:t>
      </w:r>
    </w:p>
    <w:bookmarkEnd w:id="130"/>
    <w:bookmarkStart w:id="132"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31">
        <w:r>
          <w:rPr>
            <w:rStyle w:val="Hyperlink"/>
          </w:rPr>
          <w:t xml:space="preserve">https://doi.org/10.1128/AEM.02930-14</w:t>
        </w:r>
      </w:hyperlink>
      <w:r>
        <w:t xml:space="preserve">.</w:t>
      </w:r>
    </w:p>
    <w:bookmarkEnd w:id="132"/>
    <w:bookmarkStart w:id="134"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33">
        <w:r>
          <w:rPr>
            <w:rStyle w:val="Hyperlink"/>
          </w:rPr>
          <w:t xml:space="preserve">https://doi.org/10.1128/JB.00793-17</w:t>
        </w:r>
      </w:hyperlink>
      <w:r>
        <w:t xml:space="preserve">.</w:t>
      </w:r>
    </w:p>
    <w:bookmarkEnd w:id="134"/>
    <w:bookmarkStart w:id="136"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5">
        <w:r>
          <w:rPr>
            <w:rStyle w:val="Hyperlink"/>
          </w:rPr>
          <w:t xml:space="preserve">https://doi.org/10.1146/annurev.micro.58.030603.123610</w:t>
        </w:r>
      </w:hyperlink>
      <w:r>
        <w:t xml:space="preserve">.</w:t>
      </w:r>
    </w:p>
    <w:bookmarkEnd w:id="136"/>
    <w:bookmarkStart w:id="138"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7">
        <w:r>
          <w:rPr>
            <w:rStyle w:val="Hyperlink"/>
          </w:rPr>
          <w:t xml:space="preserve">https://doi.org/10.3390/d14020097</w:t>
        </w:r>
      </w:hyperlink>
      <w:r>
        <w:t xml:space="preserve">.</w:t>
      </w:r>
    </w:p>
    <w:bookmarkEnd w:id="138"/>
    <w:bookmarkStart w:id="140"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9">
        <w:r>
          <w:rPr>
            <w:rStyle w:val="Hyperlink"/>
          </w:rPr>
          <w:t xml:space="preserve">https://doi.org/10.1029/JD094iD04p05069</w:t>
        </w:r>
      </w:hyperlink>
      <w:r>
        <w:t xml:space="preserve">.</w:t>
      </w:r>
    </w:p>
    <w:bookmarkEnd w:id="140"/>
    <w:bookmarkStart w:id="142"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41">
        <w:r>
          <w:rPr>
            <w:rStyle w:val="Hyperlink"/>
          </w:rPr>
          <w:t xml:space="preserve">https://doi.org/10.1016/j.jip.2017.11.004</w:t>
        </w:r>
      </w:hyperlink>
      <w:r>
        <w:t xml:space="preserve">.</w:t>
      </w:r>
    </w:p>
    <w:bookmarkEnd w:id="142"/>
    <w:bookmarkStart w:id="144"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43">
        <w:r>
          <w:rPr>
            <w:rStyle w:val="Hyperlink"/>
          </w:rPr>
          <w:t xml:space="preserve">https://doi.org/10.3354/dao02621</w:t>
        </w:r>
      </w:hyperlink>
      <w:r>
        <w:t xml:space="preserve">.</w:t>
      </w:r>
    </w:p>
    <w:bookmarkEnd w:id="144"/>
    <w:bookmarkStart w:id="146"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5">
        <w:r>
          <w:rPr>
            <w:rStyle w:val="Hyperlink"/>
          </w:rPr>
          <w:t xml:space="preserve">https://doi.org/10.1073/pnas.1518080113</w:t>
        </w:r>
      </w:hyperlink>
      <w:r>
        <w:t xml:space="preserve">.</w:t>
      </w:r>
    </w:p>
    <w:bookmarkEnd w:id="146"/>
    <w:bookmarkStart w:id="148"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7">
        <w:r>
          <w:rPr>
            <w:rStyle w:val="Hyperlink"/>
          </w:rPr>
          <w:t xml:space="preserve">https://doi.org/10.3389/fmars.2018.00012</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Dusty Days and a Vibrio Craze: The Influence of Saharan Dust Deposition on Microbial Communities in High Nutrient Coastal Waters</dc:title>
  <dc:creator>Nathan Greenslit</dc:creator>
  <cp:keywords/>
  <dcterms:created xsi:type="dcterms:W3CDTF">2023-05-06T01:17:35Z</dcterms:created>
  <dcterms:modified xsi:type="dcterms:W3CDTF">2023-05-06T01:17:35Z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5/5/23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