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45.png" ContentType="image/png"/>
  <Override PartName="/word/media/rId67.png" ContentType="image/png"/>
  <Override PartName="/word/media/rId70.png" ContentType="image/png"/>
  <Override PartName="/word/media/rId73.png" ContentType="image/png"/>
  <Override PartName="/word/media/rId57.png" ContentType="image/png"/>
  <Override PartName="/word/media/rId52.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Dusty</w:t>
      </w:r>
      <w:r>
        <w:t xml:space="preserve"> </w:t>
      </w:r>
      <w:r>
        <w:t xml:space="preserve">Days</w:t>
      </w:r>
      <w:r>
        <w:t xml:space="preserve"> </w:t>
      </w:r>
      <w:r>
        <w:t xml:space="preserve">and</w:t>
      </w:r>
      <w:r>
        <w:t xml:space="preserve"> </w:t>
      </w:r>
      <w:r>
        <w:t xml:space="preserve">a</w:t>
      </w:r>
      <w:r>
        <w:t xml:space="preserve"> </w:t>
      </w:r>
      <w:r>
        <w:t xml:space="preserve">Vibrio</w:t>
      </w:r>
      <w:r>
        <w:t xml:space="preserve"> </w:t>
      </w:r>
      <w:r>
        <w:t xml:space="preserve">Craze:</w:t>
      </w:r>
      <w:r>
        <w:t xml:space="preserve"> </w:t>
      </w:r>
      <w:r>
        <w:t xml:space="preserve">The</w:t>
      </w:r>
      <w:r>
        <w:t xml:space="preserve"> </w:t>
      </w:r>
      <w:r>
        <w:t xml:space="preserve">Influence</w:t>
      </w:r>
      <w:r>
        <w:t xml:space="preserve"> </w:t>
      </w:r>
      <w:r>
        <w:t xml:space="preserve">of</w:t>
      </w:r>
      <w:r>
        <w:t xml:space="preserve"> </w:t>
      </w:r>
      <w:r>
        <w:t xml:space="preserve">Saharan</w:t>
      </w:r>
      <w:r>
        <w:t xml:space="preserve"> </w:t>
      </w:r>
      <w:r>
        <w:t xml:space="preserve">Dust</w:t>
      </w:r>
      <w:r>
        <w:t xml:space="preserve"> </w:t>
      </w:r>
      <w:r>
        <w:t xml:space="preserve">Deposition</w:t>
      </w:r>
      <w:r>
        <w:t xml:space="preserve"> </w:t>
      </w:r>
      <w:r>
        <w:t xml:space="preserve">on</w:t>
      </w:r>
      <w:r>
        <w:t xml:space="preserve"> </w:t>
      </w:r>
      <w:r>
        <w:t xml:space="preserve">Microbial</w:t>
      </w:r>
      <w:r>
        <w:t xml:space="preserve"> </w:t>
      </w:r>
      <w:r>
        <w:t xml:space="preserve">Communities</w:t>
      </w:r>
      <w:r>
        <w:t xml:space="preserve"> </w:t>
      </w:r>
      <w:r>
        <w:t xml:space="preserve">in</w:t>
      </w:r>
      <w:r>
        <w:t xml:space="preserve"> </w:t>
      </w:r>
      <w:r>
        <w:t xml:space="preserve">High</w:t>
      </w:r>
      <w:r>
        <w:t xml:space="preserve"> </w:t>
      </w:r>
      <w:r>
        <w:t xml:space="preserve">Nutrient</w:t>
      </w:r>
      <w:r>
        <w:t xml:space="preserve"> </w:t>
      </w:r>
      <w:r>
        <w:t xml:space="preserve">Coastal</w:t>
      </w:r>
      <w:r>
        <w:t xml:space="preserve"> </w:t>
      </w:r>
      <w:r>
        <w:t xml:space="preserve">Waters</w:t>
      </w:r>
    </w:p>
    <w:p>
      <w:pPr>
        <w:pStyle w:val="Author"/>
      </w:pPr>
      <w:r>
        <w:t xml:space="preserve">Nathan</w:t>
      </w:r>
      <w:r>
        <w:t xml:space="preserve"> </w:t>
      </w:r>
      <w:r>
        <w:t xml:space="preserve">Greenslit</w:t>
      </w:r>
    </w:p>
    <w:p>
      <w:pPr>
        <w:pStyle w:val="Date"/>
      </w:pPr>
      <w:r>
        <w:t xml:space="preserve">5/4/23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w:t>
      </w:r>
      <w:r>
        <w:t xml:space="preserve"> </w:t>
      </w:r>
      <w:r>
        <w:t xml:space="preserve">(Kellogg et al. 2004)</w:t>
      </w:r>
      <w:r>
        <w:t xml:space="preserve">, fungi</w:t>
      </w:r>
      <w:r>
        <w:t xml:space="preserve"> </w:t>
      </w:r>
      <w:r>
        <w:t xml:space="preserve">(Ramírez-Camejo et al. 2022)</w:t>
      </w:r>
      <w:r>
        <w:t xml:space="preserve">, virus-like particles</w:t>
      </w:r>
      <w:r>
        <w:t xml:space="preserve"> </w:t>
      </w:r>
      <w:r>
        <w:t xml:space="preserve">(Griffin et al. 2001)</w:t>
      </w:r>
      <w:r>
        <w:t xml:space="preserve">, and minerals</w:t>
      </w:r>
      <w:r>
        <w:t xml:space="preserve"> </w:t>
      </w:r>
      <w:r>
        <w:t xml:space="preserve">(Formenti 2003)</w:t>
      </w:r>
      <w:r>
        <w:t xml:space="preserve">. These aerosols also serve as a significant source of macro and micronutrients such as phosphate, nitrate, and iron</w:t>
      </w:r>
      <w:r>
        <w:t xml:space="preserve"> </w:t>
      </w:r>
      <w:r>
        <w:t xml:space="preserve">(Mills et al. 2004; Savoie, Prospero, and Saltzman 1989; Graham and Duce 1982)</w:t>
      </w:r>
      <w:r>
        <w:t xml:space="preserve">.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It is unknown how comparable these findings are to coastal areas with higher ambient nutrient levels than these oligotrophic environments.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(average:13.03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(average: 0.69µM nitrate+nitrite, 0.20 µM orthophosphate), and can also be impacted by high nutrients and chlorophyll from storm water runoff; salinity is primarily driven by precipitation. The Gulf site is characterized by constant salinities (~36) and relatively low baseline nutrient levels (average: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Environmental Parameters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Samples that were non-detect recieved a value of 0 copies/mL.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0.55-0.57.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38" name="Picture"/>
                  <a:graphic>
                    <a:graphicData uri="http://schemas.openxmlformats.org/drawingml/2006/picture">
                      <pic:pic>
                        <pic:nvPicPr>
                          <pic:cNvPr descr="../../results/plots/dust.png" id="39" name="Picture"/>
                          <pic:cNvPicPr>
                            <a:picLocks noChangeArrowheads="1" noChangeAspect="1"/>
                          </pic:cNvPicPr>
                        </pic:nvPicPr>
                        <pic:blipFill>
                          <a:blip r:embed="rId37"/>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2" name="Picture"/>
                  <a:graphic>
                    <a:graphicData uri="http://schemas.openxmlformats.org/drawingml/2006/picture">
                      <pic:pic>
                        <pic:nvPicPr>
                          <pic:cNvPr descr="../../results/plots/copies.png" id="43" name="Picture"/>
                          <pic:cNvPicPr>
                            <a:picLocks noChangeArrowheads="1" noChangeAspect="1"/>
                          </pic:cNvPicPr>
                        </pic:nvPicPr>
                        <pic:blipFill>
                          <a:blip r:embed="rId41"/>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6" name="Picture"/>
                  <a:graphic>
                    <a:graphicData uri="http://schemas.openxmlformats.org/drawingml/2006/picture">
                      <pic:pic>
                        <pic:nvPicPr>
                          <pic:cNvPr descr="../../results/plots/env.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 (Blind Oso = green, Canals = red, and the Gulf = Blue)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w:t>
      </w:r>
      <w:r>
        <w:t xml:space="preserve"> </w:t>
      </w:r>
      <w:r>
        <w:t xml:space="preserve">(Westrich et al. 2016)</w:t>
      </w:r>
      <w:r>
        <w:t xml:space="preserve">.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(found in supplemtary scripts) showed that BO has a significant lag relationship a value of -1. In other words, dust occurs, and one day later, we see a response in</w:t>
      </w:r>
      <w:r>
        <w:t xml:space="preserve"> </w:t>
      </w:r>
      <w:r>
        <w:rPr>
          <w:iCs/>
          <w:i/>
        </w:rPr>
        <w:t xml:space="preserve">Vibrio</w:t>
      </w:r>
      <w:r>
        <w:t xml:space="preserve"> </w:t>
      </w:r>
      <w:r>
        <w:t xml:space="preserve">gene copies per 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836"/>
                  <wp:effectExtent b="0" l="0" r="0" t="0"/>
                  <wp:docPr descr="" title="" id="58" name="Picture"/>
                  <a:graphic>
                    <a:graphicData uri="http://schemas.openxmlformats.org/drawingml/2006/picture">
                      <pic:pic>
                        <pic:nvPicPr>
                          <pic:cNvPr descr="../../results/plots/uni.png" id="59" name="Picture"/>
                          <pic:cNvPicPr>
                            <a:picLocks noChangeArrowheads="1" noChangeAspect="1"/>
                          </pic:cNvPicPr>
                        </pic:nvPicPr>
                        <pic:blipFill>
                          <a:blip r:embed="rId57"/>
                          <a:stretch>
                            <a:fillRect/>
                          </a:stretch>
                        </pic:blipFill>
                        <pic:spPr bwMode="auto">
                          <a:xfrm>
                            <a:off x="0" y="0"/>
                            <a:ext cx="5334000" cy="3297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68" name="Picture"/>
                  <a:graphic>
                    <a:graphicData uri="http://schemas.openxmlformats.org/drawingml/2006/picture">
                      <pic:pic>
                        <pic:nvPicPr>
                          <pic:cNvPr descr="../../results/plots/rf_bo.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1" name="Picture"/>
                  <a:graphic>
                    <a:graphicData uri="http://schemas.openxmlformats.org/drawingml/2006/picture">
                      <pic:pic>
                        <pic:nvPicPr>
                          <pic:cNvPr descr="../../results/plots/rf_c2.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4" name="Picture"/>
                  <a:graphic>
                    <a:graphicData uri="http://schemas.openxmlformats.org/drawingml/2006/picture">
                      <pic:pic>
                        <pic:nvPicPr>
                          <pic:cNvPr descr="../../results/plots/rf_rd.png" id="75" name="Picture"/>
                          <pic:cNvPicPr>
                            <a:picLocks noChangeArrowheads="1" noChangeAspect="1"/>
                          </pic:cNvPicPr>
                        </pic:nvPicPr>
                        <pic:blipFill>
                          <a:blip r:embed="rId7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multi-varaiate-linear-regressions"/>
    <w:p>
      <w:pPr>
        <w:pStyle w:val="Heading4"/>
      </w:pPr>
      <w:r>
        <w:t xml:space="preserve">Multi-varaiate 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(Model 5) resulted in the best performance,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w:t>
      </w:r>
      <w:r>
        <w:t xml:space="preserve"> </w:t>
      </w:r>
      <w:r>
        <w:t xml:space="preserve">(Gibson et al. 2018 ; 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obsereved declines in</w:t>
      </w:r>
      <w:r>
        <w:t xml:space="preserve"> </w:t>
      </w:r>
      <w:r>
        <w:rPr>
          <w:iCs/>
          <w:i/>
        </w:rPr>
        <w:t xml:space="preserve">Vibrio</w:t>
      </w:r>
      <w:r>
        <w:t xml:space="preserve"> </w:t>
      </w:r>
      <w:r>
        <w:t xml:space="preserve">gene copies/mL following deposition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9th of July (chosen to ameliorate the possibility of growth following dust deposition prior to sampling period), the Gulf experienced a 33-fold increase in</w:t>
      </w:r>
      <w:r>
        <w:t xml:space="preserve"> </w:t>
      </w:r>
      <w:r>
        <w:rPr>
          <w:iCs/>
          <w:i/>
        </w:rPr>
        <w:t xml:space="preserve">Vibrio</w:t>
      </w:r>
      <w:r>
        <w:t xml:space="preserve"> </w:t>
      </w:r>
      <w:r>
        <w:t xml:space="preserve">gene copies/mL, Blind Oso a 2-fold increase, and the Canals a 5.6-fold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 (Wetz, 2014).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in growth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of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assess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(SI).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0" w:name="references"/>
    <w:p>
      <w:pPr>
        <w:pStyle w:val="Heading1"/>
      </w:pPr>
      <w:r>
        <w:t xml:space="preserve">References</w:t>
      </w:r>
    </w:p>
    <w:bookmarkStart w:id="149"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2001"/>
    <w:p>
      <w:pPr>
        <w:pStyle w:val="Bibliography"/>
      </w:pPr>
      <w:r>
        <w:t xml:space="preserve">Griffin, Dale W, Virginia H Garrison, Jay R Herman, and Eugene A Shinn. 2001.</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X5c8aec949940aae0839e2c256ab35a8e4baa6ac"/>
    <w:p>
      <w:pPr>
        <w:pStyle w:val="Bibliography"/>
      </w:pPr>
      <w:r>
        <w:t xml:space="preserve">Molina-Quiroz, Roberto C, and Cecilia A Silva-Valenzuela. 2023.</w:t>
      </w:r>
      <w:r>
        <w:t xml:space="preserve"> </w:t>
      </w:r>
      <w:r>
        <w:t xml:space="preserve">“Interactions of</w:t>
      </w:r>
      <w:r>
        <w:t xml:space="preserve"> </w:t>
      </w:r>
      <w:r>
        <w:t xml:space="preserve">Vibrio</w:t>
      </w:r>
      <w:r>
        <w:t xml:space="preserve"> </w:t>
      </w:r>
      <w:r>
        <w:t xml:space="preserve">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AreRapidChanges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Dusty Days and a Vibrio Craze: The Influence of Saharan Dust Deposition on Microbial Communities in High Nutrient Coastal Waters</dc:title>
  <dc:creator>Nathan Greenslit</dc:creator>
  <cp:keywords/>
  <dcterms:created xsi:type="dcterms:W3CDTF">2023-05-04T17:57:34Z</dcterms:created>
  <dcterms:modified xsi:type="dcterms:W3CDTF">2023-05-04T17:57:34Z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5/4/23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