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65.png" ContentType="image/png"/>
  <Override PartName="/word/media/rId39.png" ContentType="image/png"/>
  <Override PartName="/word/media/rId55.png" ContentType="image/png"/>
  <Override PartName="/word/media/rId45.jpg" ContentType="image/jpeg"/>
  <Override PartName="/word/media/rId48.jpg" ContentType="image/jpeg"/>
  <Override PartName="/word/media/rId51.jpg" ContentType="image/jpe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4/6/23</w:t>
      </w:r>
    </w:p>
    <w:bookmarkStart w:id="20" w:name="questions-for-dr.-handel"/>
    <w:p>
      <w:pPr>
        <w:pStyle w:val="Heading1"/>
      </w:pPr>
      <w:r>
        <w:t xml:space="preserve">1. Questions for Dr. Handel:</w:t>
      </w:r>
    </w:p>
    <w:p>
      <w:pPr>
        <w:numPr>
          <w:ilvl w:val="0"/>
          <w:numId w:val="1001"/>
        </w:numPr>
      </w:pPr>
      <w:r>
        <w:t xml:space="preserve">Does my overall workflow in</w:t>
      </w:r>
      <w:r>
        <w:t xml:space="preserve"> </w:t>
      </w:r>
      <w:r>
        <w:rPr>
          <w:rStyle w:val="VerbatimChar"/>
        </w:rPr>
        <w:t xml:space="preserve">code/analysis_code/stats/3_uni_variate.qmd</w:t>
      </w:r>
      <w:r>
        <w:t xml:space="preserve"> </w:t>
      </w:r>
      <w:r>
        <w:t xml:space="preserve">make sense? Is there anything that I am missing, or be a better option for analysis?</w:t>
      </w:r>
    </w:p>
    <w:p>
      <w:pPr>
        <w:numPr>
          <w:ilvl w:val="1"/>
          <w:numId w:val="1002"/>
        </w:numPr>
      </w:pPr>
      <w:r>
        <w:t xml:space="preserve">Why are my RMSE and AIC so high (see table under</w:t>
      </w:r>
      <w:r>
        <w:t xml:space="preserve"> </w:t>
      </w:r>
      <w:r>
        <w:rPr>
          <w:iCs/>
          <w:i/>
        </w:rPr>
        <w:t xml:space="preserve">Conclusion</w:t>
      </w:r>
      <w:r>
        <w:t xml:space="preserve"> </w:t>
      </w:r>
      <w:r>
        <w:t xml:space="preserve">section)?</w:t>
      </w:r>
    </w:p>
    <w:p>
      <w:pPr>
        <w:numPr>
          <w:ilvl w:val="1"/>
          <w:numId w:val="1002"/>
        </w:numPr>
      </w:pPr>
      <w:r>
        <w:t xml:space="preserve">If this looks good, I plan to do the same workflow for all of the environmental parameters as well. For now, I just have plots to see what may be worth diving into.</w:t>
      </w:r>
    </w:p>
    <w:p>
      <w:pPr>
        <w:numPr>
          <w:ilvl w:val="0"/>
          <w:numId w:val="1001"/>
        </w:numPr>
      </w:pPr>
      <w:r>
        <w:t xml:space="preserve">Looking at</w:t>
      </w:r>
      <w:r>
        <w:t xml:space="preserve"> </w:t>
      </w:r>
      <w:r>
        <w:rPr>
          <w:rStyle w:val="VerbatimChar"/>
        </w:rPr>
        <w:t xml:space="preserve">code/analysis_code/stats/4_multi_variate.qmd</w:t>
      </w:r>
      <w:r>
        <w:t xml:space="preserve"> </w:t>
      </w:r>
      <w:r>
        <w:t xml:space="preserve">, I am a little stuck on how to best create a multivariate model.</w:t>
      </w:r>
    </w:p>
    <w:p>
      <w:pPr>
        <w:numPr>
          <w:ilvl w:val="1"/>
          <w:numId w:val="1003"/>
        </w:numPr>
      </w:pPr>
      <w:r>
        <w:t xml:space="preserve">Example: We can see this Salinity at Blind Oso drop at the same time that dust is coming in. This will most likely have an impact of Vibrio growth, but Salinity is probably non-linear.</w:t>
      </w:r>
    </w:p>
    <w:p>
      <w:pPr>
        <w:numPr>
          <w:ilvl w:val="1"/>
          <w:numId w:val="1003"/>
        </w:numPr>
      </w:pPr>
      <w:r>
        <w:t xml:space="preserve">Taking a look at the section titled Blind Oso: Growth ~Salinity + Dust, does my overall workflow look correct?</w:t>
      </w:r>
    </w:p>
    <w:p>
      <w:pPr>
        <w:numPr>
          <w:ilvl w:val="0"/>
          <w:numId w:val="1001"/>
        </w:numPr>
      </w:pPr>
      <w:r>
        <w:t xml:space="preserve">Ultimately, I feel as though I am missing some</w:t>
      </w:r>
      <w:r>
        <w:t xml:space="preserve"> </w:t>
      </w:r>
      <w:r>
        <w:t xml:space="preserve">“</w:t>
      </w:r>
      <w:r>
        <w:t xml:space="preserve">oomph</w:t>
      </w:r>
      <w:r>
        <w:t xml:space="preserve">”</w:t>
      </w:r>
      <w:r>
        <w:t xml:space="preserve">when it comes to my statistical analysis. The linear models seem adequate, but I know that there are multiple variables at play at these sites (and we have data to explore some of this). I am open to any suggestions that may diversify and expand my analyses!</w:t>
      </w:r>
    </w:p>
    <w:p>
      <w:pPr>
        <w:numPr>
          <w:ilvl w:val="0"/>
          <w:numId w:val="1001"/>
        </w:numPr>
      </w:pPr>
      <w:r>
        <w:t xml:space="preserve">In my</w:t>
      </w:r>
      <w:r>
        <w:t xml:space="preserve"> </w:t>
      </w:r>
      <w:r>
        <w:rPr>
          <w:rStyle w:val="VerbatimChar"/>
        </w:rPr>
        <w:t xml:space="preserve">code/analysis_code/stats/3_uni_variate.qmd</w:t>
      </w:r>
      <w:r>
        <w:t xml:space="preserve"> </w:t>
      </w:r>
      <w:r>
        <w:t xml:space="preserve">code I was playing around with R2 for my linear models. Previously I have been plotting R2 onto the graphs using</w:t>
      </w:r>
      <w:r>
        <w:t xml:space="preserve"> </w:t>
      </w:r>
      <w:r>
        <w:rPr>
          <w:rStyle w:val="VerbatimChar"/>
        </w:rPr>
        <w:t xml:space="preserve">stat_poly_equation()</w:t>
      </w:r>
      <w:r>
        <w:t xml:space="preserve"> </w:t>
      </w:r>
      <w:r>
        <w:t xml:space="preserve">but then I came across the</w:t>
      </w:r>
      <w:r>
        <w:t xml:space="preserve"> </w:t>
      </w:r>
      <w:r>
        <w:rPr>
          <w:rStyle w:val="VerbatimChar"/>
        </w:rPr>
        <w:t xml:space="preserve">stat_correlation()</w:t>
      </w:r>
      <w:r>
        <w:t xml:space="preserve"> </w:t>
      </w:r>
      <w:r>
        <w:t xml:space="preserve">command. When specifying</w:t>
      </w:r>
      <w:r>
        <w:t xml:space="preserve"> </w:t>
      </w:r>
      <w:r>
        <w:t xml:space="preserve">“</w:t>
      </w:r>
      <w:r>
        <w:t xml:space="preserve">pearson</w:t>
      </w:r>
      <w:r>
        <w:t xml:space="preserve">”</w:t>
      </w:r>
      <w:r>
        <w:t xml:space="preserve"> </w:t>
      </w:r>
      <w:r>
        <w:t xml:space="preserve">as the method, I get a MUCH higher R2 value for the models (~0.48 to ~0.70). I have been trying to figure out what</w:t>
      </w:r>
      <w:r>
        <w:t xml:space="preserve"> </w:t>
      </w:r>
      <w:r>
        <w:rPr>
          <w:rStyle w:val="VerbatimChar"/>
        </w:rPr>
        <w:t xml:space="preserve">stat_poly_equation</w:t>
      </w:r>
      <w:r>
        <w:t xml:space="preserve"> </w:t>
      </w:r>
      <w:r>
        <w:t xml:space="preserve">uses as its method and why there is such a difference. At least with dust and copies_mL, I expect Pearson’s to be a good method. But is there some serious error that I am making here?</w:t>
      </w:r>
    </w:p>
    <w:bookmarkEnd w:id="20"/>
    <w:bookmarkStart w:id="21" w:name="summaryabstract"/>
    <w:p>
      <w:pPr>
        <w:pStyle w:val="Heading1"/>
      </w:pPr>
      <w:r>
        <w:t xml:space="preserve">2. 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3" w:name="introduction"/>
    <w:p>
      <w:pPr>
        <w:pStyle w:val="Heading1"/>
      </w:pPr>
      <w:r>
        <w:t xml:space="preserve">3. Introduction</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Formenti (2003)</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 </w:t>
      </w:r>
      <w:r>
        <w:t xml:space="preserve">;</w:t>
      </w:r>
      <w:r>
        <w:t xml:space="preserve"> </w:t>
      </w:r>
      <w:r>
        <w:t xml:space="preserve">Graham and Duce (1982)</w:t>
      </w:r>
      <w:r>
        <w:t xml:space="preserve">] . This addition of otherwise limiting resources can lead to rapid and potentially harmful blooms of certain microbial groups [</w:t>
      </w:r>
      <w:r>
        <w:t xml:space="preserve">Lenes et al. (2008)</w:t>
      </w:r>
      <w:r>
        <w:t xml:space="preserve">;</w:t>
      </w:r>
      <w:r>
        <w:t xml:space="preserve"> </w:t>
      </w:r>
      <w:r>
        <w:t xml:space="preserve">Westrich et al. (2016)</w:t>
      </w:r>
      <w:r>
        <w:t xml:space="preserve"> </w:t>
      </w:r>
      <w:r>
        <w:t xml:space="preserve">;</w:t>
      </w:r>
      <w:r>
        <w:t xml:space="preserve"> </w:t>
      </w:r>
      <w:r>
        <w:t xml:space="preserve">Westrich et al. (2016)</w:t>
      </w:r>
      <w:r>
        <w:t xml:space="preserve">].</w:t>
      </w:r>
    </w:p>
    <w:p>
      <w:pPr>
        <w:pStyle w:val="BodyText"/>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p>
      <w:pPr>
        <w:pStyle w:val="BodyText"/>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 Each year, plumes of Saharan dust travel across the Atlantic via easterly trade winds. These plumes are then deposited in the surface waters of the mid-Atlantic, Caribbean, and Gulf of Mexico. These dust aerosols harbor a wide range of fungi, bacteria, virus-like-particles, minerals, and nutrients (NO3, Fe, PO4). Addition of these nutrients to otherwise oligotrophic settings can result in large and rapid blooms of potentially harmful microbes, presenting a danger to both marine and human health.</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 [</w:t>
      </w:r>
      <w:r>
        <w:t xml:space="preserve">Richards et al. (2015)</w:t>
      </w:r>
      <w:r>
        <w:t xml:space="preserve">;</w:t>
      </w:r>
      <w:r>
        <w:t xml:space="preserve"> </w:t>
      </w:r>
      <w:r>
        <w:t xml:space="preserve">Rosenberg and Falkovitz (2004)</w:t>
      </w:r>
      <w:r>
        <w:t xml:space="preserve">;</w:t>
      </w:r>
      <w:r>
        <w:t xml:space="preserve"> </w:t>
      </w:r>
      <w:r>
        <w:t xml:space="preserve">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w:t>
      </w:r>
      <w:r>
        <w:t xml:space="preserve">Tran et al. (2013)</w:t>
      </w:r>
      <w:r>
        <w:t xml:space="preserve">;</w:t>
      </w:r>
      <w:r>
        <w:t xml:space="preserve"> </w:t>
      </w:r>
      <w:r>
        <w:t xml:space="preserve">Haldar et al. (2010)</w:t>
      </w:r>
      <w:r>
        <w:t xml:space="preserve">] among others.</w:t>
      </w:r>
    </w:p>
    <w:p>
      <w:pPr>
        <w:pStyle w:val="BodyText"/>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p>
      <w:pPr>
        <w:pStyle w:val="BodyText"/>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Start w:id="22" w:name="questionshypotheses-to-be-addressed"/>
    <w:p>
      <w:pPr>
        <w:pStyle w:val="Heading2"/>
      </w:pPr>
      <w:r>
        <w:t xml:space="preserve">3.1 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2"/>
    <w:bookmarkEnd w:id="23"/>
    <w:bookmarkStart w:id="34" w:name="methods"/>
    <w:p>
      <w:pPr>
        <w:pStyle w:val="Heading1"/>
      </w:pPr>
      <w:r>
        <w:t xml:space="preserve">4. Methods</w:t>
      </w:r>
    </w:p>
    <w:bookmarkStart w:id="26" w:name="description-of-study-area"/>
    <w:p>
      <w:pPr>
        <w:pStyle w:val="Heading2"/>
      </w:pPr>
      <w:r>
        <w:t xml:space="preserve">4.1 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(Wetz, n.d.)</w:t>
      </w:r>
      <w:r>
        <w:t xml:space="preserve"> </w:t>
      </w:r>
      <w:r>
        <w:t xml:space="preserve">Additionally, the Bay has persistent issues with high levels of fecal indicator bacteria, placing it on the U.S. impaired waters list (</w:t>
      </w:r>
      <w:hyperlink r:id="rId24">
        <w:r>
          <w:rPr>
            <w:rStyle w:val="Hyperlink"/>
          </w:rPr>
          <w:t xml:space="preserve">Nicolau &amp; Hill, 2014</w:t>
        </w:r>
      </w:hyperlink>
      <w:r>
        <w:t xml:space="preserve">,</w:t>
      </w:r>
      <w:r>
        <w:t xml:space="preserve"> </w:t>
      </w:r>
      <w:hyperlink r:id="rId25">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26"/>
    <w:bookmarkStart w:id="29" w:name="sample-collection-and-processing"/>
    <w:p>
      <w:pPr>
        <w:pStyle w:val="Heading2"/>
      </w:pPr>
      <w:r>
        <w:t xml:space="preserve">4.2 Sample Collection and Processing</w:t>
      </w:r>
    </w:p>
    <w:bookmarkStart w:id="27" w:name="collection"/>
    <w:p>
      <w:pPr>
        <w:pStyle w:val="Heading4"/>
      </w:pPr>
      <w:r>
        <w:t xml:space="preserve">4.2.0.1 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7"/>
    <w:bookmarkStart w:id="28" w:name="vibrio-enumeration"/>
    <w:p>
      <w:pPr>
        <w:pStyle w:val="Heading4"/>
      </w:pPr>
      <w:r>
        <w:t xml:space="preserve">4.2.0.2 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28"/>
    <w:bookmarkEnd w:id="29"/>
    <w:bookmarkStart w:id="33" w:name="data-import-and-cleaning"/>
    <w:p>
      <w:pPr>
        <w:pStyle w:val="Heading2"/>
      </w:pPr>
      <w:r>
        <w:t xml:space="preserve">4.3 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0" w:name="X722916ee0d7a8458d9dfcd7bc6a8d8129e0fc06"/>
    <w:p>
      <w:pPr>
        <w:pStyle w:val="Heading4"/>
      </w:pPr>
      <w:r>
        <w:t xml:space="preserve">4.3.0.1 Cleaning of Total Vibrio Enumeration dataset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0"/>
    <w:bookmarkStart w:id="31" w:name="X3eb89eb1899f60a6020a00cce2efeedabb53bdc"/>
    <w:p>
      <w:pPr>
        <w:pStyle w:val="Heading4"/>
      </w:pPr>
      <w:r>
        <w:t xml:space="preserve">4.3.0.2 Cleaning of Dust Concentration (AOT) Data set</w:t>
      </w:r>
    </w:p>
    <w:p>
      <w:pPr>
        <w:pStyle w:val="FirstParagraph"/>
      </w:pPr>
      <w:r>
        <w:t xml:space="preserve">Dust concentration (AOT) was collected at time points 0 hour, 6 hour, 12 hour, and 18 hour. In this script, I made different data sets based on time points as well as a data set containing the summed dust concentration (of all time points) per day. For downstream statistical analysis, it will be helpful to have these different data sets to compare to time of sample collection.</w:t>
      </w:r>
    </w:p>
    <w:bookmarkEnd w:id="31"/>
    <w:bookmarkStart w:id="32" w:name="cleaning-of-environment-data-set"/>
    <w:p>
      <w:pPr>
        <w:pStyle w:val="Heading4"/>
      </w:pPr>
      <w:r>
        <w:t xml:space="preserve">4.3.0.3 Cleaning of Environment data set</w:t>
      </w:r>
    </w:p>
    <w:p>
      <w:pPr>
        <w:pStyle w:val="FirstParagraph"/>
      </w:pPr>
      <w:r>
        <w:t xml:space="preserve">This data set did not require any cleaning.</w:t>
      </w:r>
    </w:p>
    <w:p>
      <w:r>
        <w:br w:type="page"/>
      </w:r>
    </w:p>
    <w:bookmarkEnd w:id="32"/>
    <w:bookmarkEnd w:id="33"/>
    <w:bookmarkEnd w:id="34"/>
    <w:bookmarkStart w:id="71" w:name="results"/>
    <w:p>
      <w:pPr>
        <w:pStyle w:val="Heading1"/>
      </w:pPr>
      <w:r>
        <w:t xml:space="preserve">5. Results</w:t>
      </w:r>
    </w:p>
    <w:bookmarkStart w:id="43" w:name="exploratorydescriptive-analysis"/>
    <w:p>
      <w:pPr>
        <w:pStyle w:val="Heading2"/>
      </w:pPr>
      <w:r>
        <w:t xml:space="preserve">5.1 Exploratory/Descriptive analysis</w:t>
      </w:r>
    </w:p>
    <w:bookmarkStart w:id="38" w:name="dust-aod-and-vibrio-enumeration"/>
    <w:p>
      <w:pPr>
        <w:pStyle w:val="Heading4"/>
      </w:pPr>
      <w:r>
        <w:t xml:space="preserve">5.1.0.1 Dust AOD and Vibrio Enumeration</w:t>
      </w:r>
    </w:p>
    <w:p>
      <w:pPr>
        <w:pStyle w:val="FirstParagraph"/>
      </w:pPr>
      <w:r>
        <w:drawing>
          <wp:inline>
            <wp:extent cx="5334000" cy="5334000"/>
            <wp:effectExtent b="0" l="0" r="0" t="0"/>
            <wp:docPr descr="" title="" id="36" name="Picture"/>
            <a:graphic>
              <a:graphicData uri="http://schemas.openxmlformats.org/drawingml/2006/picture">
                <pic:pic>
                  <pic:nvPicPr>
                    <pic:cNvPr descr="images/paste-C33B6E43.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top portion of the figure depicts total enumerated Vibrio as copies per mL, with color by site. There is a noticeable shift in copies in the Gulf site, a less noticeable but still present shift in Blind Oso Bay, and practically no changes in the Canal site. The bottom portion of the figure depicts the dust concentration (AOD) across the daily time series. This figure depicts the summed dust concentration 24hr prior to sample collection (time points 13hr–&gt; 7hr the next day) across the daily time series. During the time series, two small periods of higher dust AOD occurred on the 9th and 13th respectively. A much larger spike in AOD was observed on the 16th. Initial shift in copies per mL at the Gulf and Blind Oso occur 24-48hr following initial dust introduction on the 13th, and experience another shift around 24-48hr of higher dust input on the 16th.</w:t>
      </w:r>
    </w:p>
    <w:bookmarkEnd w:id="38"/>
    <w:bookmarkStart w:id="42" w:name="environmental-parameters"/>
    <w:p>
      <w:pPr>
        <w:pStyle w:val="Heading4"/>
      </w:pPr>
      <w:r>
        <w:t xml:space="preserve">5.1.0.2 Environmental Parameters</w:t>
      </w:r>
    </w:p>
    <w:p>
      <w:pPr>
        <w:pStyle w:val="FirstParagraph"/>
      </w:pPr>
      <w:r>
        <w:drawing>
          <wp:inline>
            <wp:extent cx="5334000" cy="2664702"/>
            <wp:effectExtent b="0" l="0" r="0" t="0"/>
            <wp:docPr descr="" title="" id="40" name="Picture"/>
            <a:graphic>
              <a:graphicData uri="http://schemas.openxmlformats.org/drawingml/2006/picture">
                <pic:pic>
                  <pic:nvPicPr>
                    <pic:cNvPr descr="images/000031.png" id="41" name="Picture"/>
                    <pic:cNvPicPr>
                      <a:picLocks noChangeArrowheads="1" noChangeAspect="1"/>
                    </pic:cNvPicPr>
                  </pic:nvPicPr>
                  <pic:blipFill>
                    <a:blip r:embed="rId39"/>
                    <a:stretch>
                      <a:fillRect/>
                    </a:stretch>
                  </pic:blipFill>
                  <pic:spPr bwMode="auto">
                    <a:xfrm>
                      <a:off x="0" y="0"/>
                      <a:ext cx="5334000" cy="2664702"/>
                    </a:xfrm>
                    <a:prstGeom prst="rect">
                      <a:avLst/>
                    </a:prstGeom>
                    <a:noFill/>
                    <a:ln w="9525">
                      <a:noFill/>
                      <a:headEnd/>
                      <a:tailEnd/>
                    </a:ln>
                  </pic:spPr>
                </pic:pic>
              </a:graphicData>
            </a:graphic>
          </wp:inline>
        </w:drawing>
      </w:r>
    </w:p>
    <w:p>
      <w:pPr>
        <w:pStyle w:val="BodyText"/>
      </w:pPr>
      <w:r>
        <w:t xml:space="preserve">Temperature and salinity at the Canal site is relatively high and consistent as compared to the other sites. Blind Oso Bay experiences some shifts in temperatures and drastic fluctuations in salinity. The Gulf site had a drop in temperature (possibly due to upwelling) and relatively consistent ocean salinities.</w:t>
      </w:r>
    </w:p>
    <w:bookmarkEnd w:id="42"/>
    <w:bookmarkEnd w:id="43"/>
    <w:bookmarkStart w:id="69" w:name="basic-statistical-analysis"/>
    <w:p>
      <w:pPr>
        <w:pStyle w:val="Heading2"/>
      </w:pPr>
      <w:r>
        <w:t xml:space="preserve">5.2 Basic statistical analysis</w:t>
      </w:r>
    </w:p>
    <w:bookmarkStart w:id="44" w:name="check-distributions"/>
    <w:p>
      <w:pPr>
        <w:pStyle w:val="Heading3"/>
      </w:pPr>
      <w:r>
        <w:t xml:space="preserve">5.2.1 Check Distributions:</w:t>
      </w:r>
    </w:p>
    <w:p>
      <w:pPr>
        <w:pStyle w:val="FirstParagraph"/>
      </w:pPr>
      <w:r>
        <w:t xml:space="preserve">Shapiro-Wilk’s tests were conducted to assess distribution of the data. Any data that did not have a normal distribution was log-transformed and the test was run again.</w:t>
      </w:r>
    </w:p>
    <w:bookmarkEnd w:id="44"/>
    <w:bookmarkStart w:id="54" w:name="cross-correlation-analysis"/>
    <w:p>
      <w:pPr>
        <w:pStyle w:val="Heading3"/>
      </w:pPr>
      <w:r>
        <w:t xml:space="preserve">5.2.2 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drawing>
          <wp:inline>
            <wp:extent cx="1933575" cy="1933575"/>
            <wp:effectExtent b="0" l="0" r="0" t="0"/>
            <wp:docPr descr="" title="" id="46" name="Picture"/>
            <a:graphic>
              <a:graphicData uri="http://schemas.openxmlformats.org/drawingml/2006/picture">
                <pic:pic>
                  <pic:nvPicPr>
                    <pic:cNvPr descr="images/cca_bo.jpg" id="47" name="Picture"/>
                    <pic:cNvPicPr>
                      <a:picLocks noChangeArrowheads="1" noChangeAspect="1"/>
                    </pic:cNvPicPr>
                  </pic:nvPicPr>
                  <pic:blipFill>
                    <a:blip r:embed="rId45"/>
                    <a:stretch>
                      <a:fillRect/>
                    </a:stretch>
                  </pic:blipFill>
                  <pic:spPr bwMode="auto">
                    <a:xfrm>
                      <a:off x="0" y="0"/>
                      <a:ext cx="1933575" cy="1933575"/>
                    </a:xfrm>
                    <a:prstGeom prst="rect">
                      <a:avLst/>
                    </a:prstGeom>
                    <a:noFill/>
                    <a:ln w="9525">
                      <a:noFill/>
                      <a:headEnd/>
                      <a:tailEnd/>
                    </a:ln>
                  </pic:spPr>
                </pic:pic>
              </a:graphicData>
            </a:graphic>
          </wp:inline>
        </w:drawing>
      </w:r>
    </w:p>
    <w:p>
      <w:pPr>
        <w:pStyle w:val="BodyText"/>
      </w:pPr>
      <w:r>
        <w:drawing>
          <wp:inline>
            <wp:extent cx="1933575" cy="1933575"/>
            <wp:effectExtent b="0" l="0" r="0" t="0"/>
            <wp:docPr descr="" title="" id="49" name="Picture"/>
            <a:graphic>
              <a:graphicData uri="http://schemas.openxmlformats.org/drawingml/2006/picture">
                <pic:pic>
                  <pic:nvPicPr>
                    <pic:cNvPr descr="images/cca_c2.jpg" id="50" name="Picture"/>
                    <pic:cNvPicPr>
                      <a:picLocks noChangeArrowheads="1" noChangeAspect="1"/>
                    </pic:cNvPicPr>
                  </pic:nvPicPr>
                  <pic:blipFill>
                    <a:blip r:embed="rId48"/>
                    <a:stretch>
                      <a:fillRect/>
                    </a:stretch>
                  </pic:blipFill>
                  <pic:spPr bwMode="auto">
                    <a:xfrm>
                      <a:off x="0" y="0"/>
                      <a:ext cx="1933575" cy="1933575"/>
                    </a:xfrm>
                    <a:prstGeom prst="rect">
                      <a:avLst/>
                    </a:prstGeom>
                    <a:noFill/>
                    <a:ln w="9525">
                      <a:noFill/>
                      <a:headEnd/>
                      <a:tailEnd/>
                    </a:ln>
                  </pic:spPr>
                </pic:pic>
              </a:graphicData>
            </a:graphic>
          </wp:inline>
        </w:drawing>
      </w:r>
    </w:p>
    <w:p>
      <w:pPr>
        <w:pStyle w:val="BodyText"/>
      </w:pPr>
      <w:r>
        <w:drawing>
          <wp:inline>
            <wp:extent cx="1933575" cy="1933575"/>
            <wp:effectExtent b="0" l="0" r="0" t="0"/>
            <wp:docPr descr="" title="" id="52" name="Picture"/>
            <a:graphic>
              <a:graphicData uri="http://schemas.openxmlformats.org/drawingml/2006/picture">
                <pic:pic>
                  <pic:nvPicPr>
                    <pic:cNvPr descr="images/cca_rd.jpg" id="53" name="Picture"/>
                    <pic:cNvPicPr>
                      <a:picLocks noChangeArrowheads="1" noChangeAspect="1"/>
                    </pic:cNvPicPr>
                  </pic:nvPicPr>
                  <pic:blipFill>
                    <a:blip r:embed="rId51"/>
                    <a:stretch>
                      <a:fillRect/>
                    </a:stretch>
                  </pic:blipFill>
                  <pic:spPr bwMode="auto">
                    <a:xfrm>
                      <a:off x="0" y="0"/>
                      <a:ext cx="1933575" cy="1933575"/>
                    </a:xfrm>
                    <a:prstGeom prst="rect">
                      <a:avLst/>
                    </a:prstGeom>
                    <a:noFill/>
                    <a:ln w="9525">
                      <a:noFill/>
                      <a:headEnd/>
                      <a:tailEnd/>
                    </a:ln>
                  </pic:spPr>
                </pic:pic>
              </a:graphicData>
            </a:graphic>
          </wp:inline>
        </w:drawing>
      </w:r>
    </w:p>
    <w:p>
      <w:pPr>
        <w:pStyle w:val="BodyText"/>
      </w:pPr>
      <w:r>
        <w:t xml:space="preserve">According to the ccf plots, BO has a significant lag relationship a value of -1. In other words, dust occurs, and one day later, we see a response in copies_mL. C2 has a lag at -2, and RD at -1.</w:t>
      </w:r>
    </w:p>
    <w:p>
      <w:pPr>
        <w:pStyle w:val="BodyText"/>
      </w:pPr>
      <w:r>
        <w:rPr>
          <w:bCs/>
          <w:b/>
          <w:u w:val="single"/>
        </w:rPr>
        <w:t xml:space="preserve">One important thing to note</w:t>
      </w:r>
      <w:r>
        <w:t xml:space="preserve">: Our data set contains dust data for all of 2022. Our copies_mL data only contains values from 7/7/22 –&gt; 7/19/22. Therefore, these CCA were made with only this time series. This limits our analysis, as we have dust data prior that can explain copies_mL on the earlier dates 7/7 or 7/8. But we cannot incorporate this into the CCA as we have NA for copies_mL for those early days. Below we will run linear models that DO contain these prior dust days. And since we have identified a lag, we can shift the dust data to line up with the copies_mL that it corresponds with directly - and we no longer have NAs. But this ultiamtely means that the lag identified above. may not be the best fit for our model below, so some additional work is needed that tests other lags in the code.</w:t>
      </w:r>
    </w:p>
    <w:bookmarkEnd w:id="54"/>
    <w:bookmarkStart w:id="58" w:name="linear-regression-models"/>
    <w:p>
      <w:pPr>
        <w:pStyle w:val="Heading3"/>
      </w:pPr>
      <w:r>
        <w:t xml:space="preserve">5.2.3 Linear Regression Models</w:t>
      </w:r>
    </w:p>
    <w:p>
      <w:pPr>
        <w:pStyle w:val="FirstParagraph"/>
      </w:pPr>
      <w:r>
        <w:drawing>
          <wp:inline>
            <wp:extent cx="5334000" cy="3277518"/>
            <wp:effectExtent b="0" l="0" r="0" t="0"/>
            <wp:docPr descr="" title="" id="56" name="Picture"/>
            <a:graphic>
              <a:graphicData uri="http://schemas.openxmlformats.org/drawingml/2006/picture">
                <pic:pic>
                  <pic:nvPicPr>
                    <pic:cNvPr descr="images/Screen%20Shot%202023-04-06%20at%2010.23.28%20PM.png" id="57" name="Picture"/>
                    <pic:cNvPicPr>
                      <a:picLocks noChangeArrowheads="1" noChangeAspect="1"/>
                    </pic:cNvPicPr>
                  </pic:nvPicPr>
                  <pic:blipFill>
                    <a:blip r:embed="rId55"/>
                    <a:stretch>
                      <a:fillRect/>
                    </a:stretch>
                  </pic:blipFill>
                  <pic:spPr bwMode="auto">
                    <a:xfrm>
                      <a:off x="0" y="0"/>
                      <a:ext cx="5334000" cy="3277518"/>
                    </a:xfrm>
                    <a:prstGeom prst="rect">
                      <a:avLst/>
                    </a:prstGeom>
                    <a:noFill/>
                    <a:ln w="9525">
                      <a:noFill/>
                      <a:headEnd/>
                      <a:tailEnd/>
                    </a:ln>
                  </pic:spPr>
                </pic:pic>
              </a:graphicData>
            </a:graphic>
          </wp:inline>
        </w:drawing>
      </w:r>
    </w:p>
    <w:p>
      <w:pPr>
        <w:pStyle w:val="BodyText"/>
      </w:pPr>
      <w:r>
        <w:t xml:space="preserve">Above are linear regressions that examine the relationship between dust concentration and copies_mL. As mentioned above, the lags identified may not correspond to the most significant relationship between the two variables.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Site</w:t>
            </w:r>
          </w:p>
        </w:tc>
        <w:tc>
          <w:tcPr/>
          <w:p>
            <w:pPr>
              <w:pStyle w:val="Compact"/>
              <w:jc w:val="left"/>
            </w:pPr>
            <w:r>
              <w:t xml:space="preserve">Model Type</w:t>
            </w:r>
          </w:p>
        </w:tc>
        <w:tc>
          <w:tcPr/>
          <w:p>
            <w:pPr>
              <w:pStyle w:val="Compact"/>
              <w:jc w:val="left"/>
            </w:pPr>
            <w:r>
              <w:t xml:space="preserve">RMSE</w:t>
            </w:r>
          </w:p>
        </w:tc>
        <w:tc>
          <w:tcPr/>
          <w:p>
            <w:pPr>
              <w:pStyle w:val="Compact"/>
              <w:jc w:val="left"/>
            </w:pPr>
            <w:r>
              <w:t xml:space="preserve">AIC</w:t>
            </w:r>
          </w:p>
        </w:tc>
      </w:tr>
      <w:tr>
        <w:tc>
          <w:tcPr/>
          <w:p>
            <w:pPr>
              <w:pStyle w:val="Compact"/>
              <w:jc w:val="left"/>
            </w:pPr>
            <w:r>
              <w:t xml:space="preserve">BO</w:t>
            </w:r>
          </w:p>
        </w:tc>
        <w:tc>
          <w:tcPr/>
          <w:p>
            <w:pPr>
              <w:pStyle w:val="Compact"/>
              <w:jc w:val="left"/>
            </w:pPr>
            <w:r>
              <w:t xml:space="preserve">Null</w:t>
            </w:r>
          </w:p>
        </w:tc>
        <w:tc>
          <w:tcPr/>
          <w:p>
            <w:pPr>
              <w:pStyle w:val="Compact"/>
              <w:jc w:val="left"/>
            </w:pPr>
            <w:r>
              <w:t xml:space="preserve">20472.82</w:t>
            </w:r>
          </w:p>
        </w:tc>
        <w:tc>
          <w:tcPr/>
          <w:p>
            <w:pPr>
              <w:pStyle w:val="Compact"/>
              <w:jc w:val="left"/>
            </w:pPr>
            <w:r>
              <w:t xml:space="preserve">275.9331</w:t>
            </w:r>
          </w:p>
        </w:tc>
      </w:tr>
      <w:tr>
        <w:tc>
          <w:tcPr/>
          <w:p>
            <w:pPr>
              <w:pStyle w:val="Compact"/>
              <w:jc w:val="left"/>
            </w:pPr>
            <w:r>
              <w:t xml:space="preserve">BO</w:t>
            </w:r>
          </w:p>
        </w:tc>
        <w:tc>
          <w:tcPr/>
          <w:p>
            <w:pPr>
              <w:pStyle w:val="Compact"/>
              <w:jc w:val="left"/>
            </w:pPr>
            <w:r>
              <w:t xml:space="preserve">Actual</w:t>
            </w:r>
          </w:p>
        </w:tc>
        <w:tc>
          <w:tcPr/>
          <w:p>
            <w:pPr>
              <w:pStyle w:val="Compact"/>
              <w:jc w:val="left"/>
            </w:pPr>
            <w:r>
              <w:t xml:space="preserve">14422.91</w:t>
            </w:r>
          </w:p>
        </w:tc>
        <w:tc>
          <w:tcPr/>
          <w:p>
            <w:pPr>
              <w:pStyle w:val="Compact"/>
              <w:jc w:val="left"/>
            </w:pPr>
            <w:r>
              <w:t xml:space="preserve">269.8923</w:t>
            </w:r>
          </w:p>
        </w:tc>
      </w:tr>
      <w:tr>
        <w:tc>
          <w:tcPr/>
          <w:p>
            <w:pPr>
              <w:pStyle w:val="Compact"/>
              <w:jc w:val="left"/>
            </w:pPr>
            <w:r>
              <w:t xml:space="preserve">C2</w:t>
            </w:r>
          </w:p>
        </w:tc>
        <w:tc>
          <w:tcPr/>
          <w:p>
            <w:pPr>
              <w:pStyle w:val="Compact"/>
              <w:jc w:val="left"/>
            </w:pPr>
            <w:r>
              <w:t xml:space="preserve">Null</w:t>
            </w:r>
          </w:p>
        </w:tc>
        <w:tc>
          <w:tcPr/>
          <w:p>
            <w:pPr>
              <w:pStyle w:val="Compact"/>
              <w:jc w:val="left"/>
            </w:pPr>
            <w:r>
              <w:t xml:space="preserve">8472.898</w:t>
            </w:r>
          </w:p>
        </w:tc>
        <w:tc>
          <w:tcPr/>
          <w:p>
            <w:pPr>
              <w:pStyle w:val="Compact"/>
              <w:jc w:val="left"/>
            </w:pPr>
            <w:r>
              <w:t xml:space="preserve">253.1876</w:t>
            </w:r>
          </w:p>
        </w:tc>
      </w:tr>
      <w:tr>
        <w:tc>
          <w:tcPr/>
          <w:p>
            <w:pPr>
              <w:pStyle w:val="Compact"/>
              <w:jc w:val="left"/>
            </w:pPr>
            <w:r>
              <w:t xml:space="preserve">C2</w:t>
            </w:r>
          </w:p>
        </w:tc>
        <w:tc>
          <w:tcPr/>
          <w:p>
            <w:pPr>
              <w:pStyle w:val="Compact"/>
              <w:jc w:val="left"/>
            </w:pPr>
            <w:r>
              <w:t xml:space="preserve">Actual</w:t>
            </w:r>
          </w:p>
        </w:tc>
        <w:tc>
          <w:tcPr/>
          <w:p>
            <w:pPr>
              <w:pStyle w:val="Compact"/>
              <w:jc w:val="left"/>
            </w:pPr>
            <w:r>
              <w:t xml:space="preserve">5191.22</w:t>
            </w:r>
          </w:p>
        </w:tc>
        <w:tc>
          <w:tcPr/>
          <w:p>
            <w:pPr>
              <w:pStyle w:val="Compact"/>
              <w:jc w:val="left"/>
            </w:pPr>
            <w:r>
              <w:t xml:space="preserve">245.3679</w:t>
            </w:r>
          </w:p>
        </w:tc>
      </w:tr>
      <w:tr>
        <w:tc>
          <w:tcPr/>
          <w:p>
            <w:pPr>
              <w:pStyle w:val="Compact"/>
              <w:jc w:val="left"/>
            </w:pPr>
            <w:r>
              <w:t xml:space="preserve">RD</w:t>
            </w:r>
          </w:p>
        </w:tc>
        <w:tc>
          <w:tcPr/>
          <w:p>
            <w:pPr>
              <w:pStyle w:val="Compact"/>
              <w:jc w:val="left"/>
            </w:pPr>
            <w:r>
              <w:t xml:space="preserve">Null</w:t>
            </w:r>
          </w:p>
        </w:tc>
        <w:tc>
          <w:tcPr/>
          <w:p>
            <w:pPr>
              <w:pStyle w:val="Compact"/>
              <w:jc w:val="left"/>
            </w:pPr>
            <w:r>
              <w:t xml:space="preserve">50386.56</w:t>
            </w:r>
          </w:p>
        </w:tc>
        <w:tc>
          <w:tcPr/>
          <w:p>
            <w:pPr>
              <w:pStyle w:val="Compact"/>
              <w:jc w:val="left"/>
            </w:pPr>
            <w:r>
              <w:t xml:space="preserve">296.9821</w:t>
            </w:r>
          </w:p>
        </w:tc>
      </w:tr>
      <w:tr>
        <w:tc>
          <w:tcPr/>
          <w:p>
            <w:pPr>
              <w:pStyle w:val="Compact"/>
              <w:jc w:val="left"/>
            </w:pPr>
            <w:r>
              <w:t xml:space="preserve">RD</w:t>
            </w:r>
          </w:p>
        </w:tc>
        <w:tc>
          <w:tcPr/>
          <w:p>
            <w:pPr>
              <w:pStyle w:val="Compact"/>
              <w:jc w:val="left"/>
            </w:pPr>
            <w:r>
              <w:t xml:space="preserve">Actual</w:t>
            </w:r>
          </w:p>
        </w:tc>
        <w:tc>
          <w:tcPr/>
          <w:p>
            <w:pPr>
              <w:pStyle w:val="Compact"/>
              <w:jc w:val="left"/>
            </w:pPr>
            <w:r>
              <w:t xml:space="preserve">36132.11</w:t>
            </w:r>
          </w:p>
        </w:tc>
        <w:tc>
          <w:tcPr/>
          <w:p>
            <w:pPr>
              <w:pStyle w:val="Compact"/>
              <w:jc w:val="left"/>
            </w:pPr>
            <w:r>
              <w:t xml:space="preserve">291.933</w:t>
            </w:r>
          </w:p>
        </w:tc>
      </w:tr>
    </w:tbl>
    <w:p>
      <w:pPr>
        <w:pStyle w:val="BodyText"/>
      </w:pPr>
      <w:r>
        <w:rPr>
          <w:u w:val="single"/>
        </w:rPr>
        <w:t xml:space="preserve">A few things to note:</w:t>
      </w:r>
    </w:p>
    <w:p>
      <w:pPr>
        <w:numPr>
          <w:ilvl w:val="0"/>
          <w:numId w:val="1004"/>
        </w:numPr>
      </w:pPr>
      <w:r>
        <w:t xml:space="preserve">My stats code contains some chunks that create predicted values based off of the current data set. Since my data set is small, I am not able to portion of ~25% to use to test my model as it could impact the strength of my model. Therefore, plotting the predicted vs. actual will give an R2 of 1.00. I am using AIC as a metric of model performance and comparing data produced models to null models.</w:t>
      </w:r>
    </w:p>
    <w:p>
      <w:pPr>
        <w:numPr>
          <w:ilvl w:val="1"/>
          <w:numId w:val="1005"/>
        </w:numPr>
        <w:pStyle w:val="Compact"/>
      </w:pPr>
      <w:r>
        <w:t xml:space="preserve">Will need to interpret findings as exploratory and hypothesis generating, and will need to be careful about trying to draw generalizable conclusions.</w:t>
      </w:r>
    </w:p>
    <w:p>
      <w:pPr>
        <w:numPr>
          <w:ilvl w:val="0"/>
          <w:numId w:val="1004"/>
        </w:numPr>
      </w:pPr>
      <w:r>
        <w:t xml:space="preserve">I am also planning on running a multi-variate model to look at multiple predictors of interests (temp, salinity, nutrients). This code can be found in my</w:t>
      </w:r>
      <w:r>
        <w:t xml:space="preserve"> </w:t>
      </w:r>
      <w:r>
        <w:rPr>
          <w:rStyle w:val="VerbatimChar"/>
        </w:rPr>
        <w:t xml:space="preserve">dust_copies_stats.qmd</w:t>
      </w:r>
      <w:r>
        <w:t xml:space="preserve"> </w:t>
      </w:r>
      <w:r>
        <w:t xml:space="preserve">code.</w:t>
      </w:r>
    </w:p>
    <w:bookmarkEnd w:id="58"/>
    <w:bookmarkStart w:id="68" w:name="residuals"/>
    <w:p>
      <w:pPr>
        <w:pStyle w:val="Heading3"/>
      </w:pPr>
      <w:r>
        <w:t xml:space="preserve">5.2.4 Residuals:</w:t>
      </w:r>
    </w:p>
    <w:p>
      <w:pPr>
        <w:pStyle w:val="FirstParagraph"/>
      </w:pPr>
      <w:r>
        <w:t xml:space="preserve">Instead of (or in addition to) plotting observed versus predicted for continuous outcomes, you can plot the difference between the two. These differences are called the residuals. What you are looking for is a cloud of points with no discernible pattern. If there is a pattern (e.g., an overall skew, or more points above the 0 y-axes than below), it again suggests that there is still some pattern/signal in the data that the model didn’t capture.</w:t>
      </w:r>
    </w:p>
    <w:p>
      <w:pPr>
        <w:pStyle w:val="BodyText"/>
      </w:pPr>
      <w:r>
        <w:drawing>
          <wp:inline>
            <wp:extent cx="2847975" cy="1758481"/>
            <wp:effectExtent b="0" l="0" r="0" t="0"/>
            <wp:docPr descr="" title="" id="60" name="Picture"/>
            <a:graphic>
              <a:graphicData uri="http://schemas.openxmlformats.org/drawingml/2006/picture">
                <pic:pic>
                  <pic:nvPicPr>
                    <pic:cNvPr descr="images/000005-02.png" id="61" name="Picture"/>
                    <pic:cNvPicPr>
                      <a:picLocks noChangeArrowheads="1" noChangeAspect="1"/>
                    </pic:cNvPicPr>
                  </pic:nvPicPr>
                  <pic:blipFill>
                    <a:blip r:embed="rId59"/>
                    <a:stretch>
                      <a:fillRect/>
                    </a:stretch>
                  </pic:blipFill>
                  <pic:spPr bwMode="auto">
                    <a:xfrm>
                      <a:off x="0" y="0"/>
                      <a:ext cx="2847975" cy="1758481"/>
                    </a:xfrm>
                    <a:prstGeom prst="rect">
                      <a:avLst/>
                    </a:prstGeom>
                    <a:noFill/>
                    <a:ln w="9525">
                      <a:noFill/>
                      <a:headEnd/>
                      <a:tailEnd/>
                    </a:ln>
                  </pic:spPr>
                </pic:pic>
              </a:graphicData>
            </a:graphic>
          </wp:inline>
        </w:drawing>
      </w:r>
    </w:p>
    <w:p>
      <w:pPr>
        <w:pStyle w:val="BodyText"/>
      </w:pPr>
      <w:r>
        <w:drawing>
          <wp:inline>
            <wp:extent cx="2857500" cy="1764362"/>
            <wp:effectExtent b="0" l="0" r="0" t="0"/>
            <wp:docPr descr="" title="" id="63" name="Picture"/>
            <a:graphic>
              <a:graphicData uri="http://schemas.openxmlformats.org/drawingml/2006/picture">
                <pic:pic>
                  <pic:nvPicPr>
                    <pic:cNvPr descr="images/000009.png" id="64" name="Picture"/>
                    <pic:cNvPicPr>
                      <a:picLocks noChangeArrowheads="1" noChangeAspect="1"/>
                    </pic:cNvPicPr>
                  </pic:nvPicPr>
                  <pic:blipFill>
                    <a:blip r:embed="rId62"/>
                    <a:stretch>
                      <a:fillRect/>
                    </a:stretch>
                  </pic:blipFill>
                  <pic:spPr bwMode="auto">
                    <a:xfrm>
                      <a:off x="0" y="0"/>
                      <a:ext cx="2857500" cy="1764362"/>
                    </a:xfrm>
                    <a:prstGeom prst="rect">
                      <a:avLst/>
                    </a:prstGeom>
                    <a:noFill/>
                    <a:ln w="9525">
                      <a:noFill/>
                      <a:headEnd/>
                      <a:tailEnd/>
                    </a:ln>
                  </pic:spPr>
                </pic:pic>
              </a:graphicData>
            </a:graphic>
          </wp:inline>
        </w:drawing>
      </w:r>
    </w:p>
    <w:p>
      <w:pPr>
        <w:pStyle w:val="BodyText"/>
      </w:pPr>
      <w:r>
        <w:drawing>
          <wp:inline>
            <wp:extent cx="2819400" cy="1740837"/>
            <wp:effectExtent b="0" l="0" r="0" t="0"/>
            <wp:docPr descr="" title="" id="66" name="Picture"/>
            <a:graphic>
              <a:graphicData uri="http://schemas.openxmlformats.org/drawingml/2006/picture">
                <pic:pic>
                  <pic:nvPicPr>
                    <pic:cNvPr descr="images/00000d.png" id="67" name="Picture"/>
                    <pic:cNvPicPr>
                      <a:picLocks noChangeArrowheads="1" noChangeAspect="1"/>
                    </pic:cNvPicPr>
                  </pic:nvPicPr>
                  <pic:blipFill>
                    <a:blip r:embed="rId65"/>
                    <a:stretch>
                      <a:fillRect/>
                    </a:stretch>
                  </pic:blipFill>
                  <pic:spPr bwMode="auto">
                    <a:xfrm>
                      <a:off x="0" y="0"/>
                      <a:ext cx="2819400" cy="1740837"/>
                    </a:xfrm>
                    <a:prstGeom prst="rect">
                      <a:avLst/>
                    </a:prstGeom>
                    <a:noFill/>
                    <a:ln w="9525">
                      <a:noFill/>
                      <a:headEnd/>
                      <a:tailEnd/>
                    </a:ln>
                  </pic:spPr>
                </pic:pic>
              </a:graphicData>
            </a:graphic>
          </wp:inline>
        </w:drawing>
      </w:r>
    </w:p>
    <w:bookmarkEnd w:id="68"/>
    <w:bookmarkEnd w:id="69"/>
    <w:bookmarkStart w:id="70" w:name="full-analysis"/>
    <w:p>
      <w:pPr>
        <w:pStyle w:val="Heading2"/>
      </w:pPr>
      <w:r>
        <w:t xml:space="preserve">5.3 Full analysis</w:t>
      </w:r>
    </w:p>
    <w:p>
      <w:r>
        <w:br w:type="page"/>
      </w:r>
    </w:p>
    <w:bookmarkEnd w:id="70"/>
    <w:bookmarkEnd w:id="71"/>
    <w:bookmarkStart w:id="75" w:name="discussion"/>
    <w:p>
      <w:pPr>
        <w:pStyle w:val="Heading1"/>
      </w:pPr>
      <w:r>
        <w:t xml:space="preserve">6. Discussion</w:t>
      </w:r>
    </w:p>
    <w:bookmarkStart w:id="72" w:name="summary-and-interpretation"/>
    <w:p>
      <w:pPr>
        <w:pStyle w:val="Heading2"/>
      </w:pPr>
      <w:r>
        <w:t xml:space="preserve">6.1 Summary and Interpretation</w:t>
      </w:r>
    </w:p>
    <w:bookmarkEnd w:id="72"/>
    <w:bookmarkStart w:id="73" w:name="strengths-and-limitations"/>
    <w:p>
      <w:pPr>
        <w:pStyle w:val="Heading2"/>
      </w:pPr>
      <w:r>
        <w:t xml:space="preserve">6.2 Strengths and Limitations</w:t>
      </w:r>
    </w:p>
    <w:bookmarkEnd w:id="73"/>
    <w:bookmarkStart w:id="74" w:name="conclusions"/>
    <w:p>
      <w:pPr>
        <w:pStyle w:val="Heading2"/>
      </w:pPr>
      <w:r>
        <w:t xml:space="preserve">6.3 Conclusions</w:t>
      </w:r>
    </w:p>
    <w:p>
      <w:r>
        <w:br w:type="page"/>
      </w:r>
    </w:p>
    <w:bookmarkEnd w:id="74"/>
    <w:bookmarkEnd w:id="75"/>
    <w:bookmarkStart w:id="125" w:name="references"/>
    <w:p>
      <w:pPr>
        <w:pStyle w:val="Heading1"/>
      </w:pPr>
      <w:r>
        <w:t xml:space="preserve">7. References</w:t>
      </w:r>
    </w:p>
    <w:bookmarkStart w:id="124" w:name="refs"/>
    <w:bookmarkStart w:id="77"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76">
        <w:r>
          <w:rPr>
            <w:rStyle w:val="Hyperlink"/>
          </w:rPr>
          <w:t xml:space="preserve">https://doi.org/10.1038/s41572-018-0005-8</w:t>
        </w:r>
      </w:hyperlink>
      <w:r>
        <w:t xml:space="preserve">.</w:t>
      </w:r>
    </w:p>
    <w:bookmarkEnd w:id="77"/>
    <w:bookmarkStart w:id="79"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78">
        <w:r>
          <w:rPr>
            <w:rStyle w:val="Hyperlink"/>
          </w:rPr>
          <w:t xml:space="preserve">https://doi.org/10.1099/ijs.0.02402-0</w:t>
        </w:r>
      </w:hyperlink>
      <w:r>
        <w:t xml:space="preserve">.</w:t>
      </w:r>
    </w:p>
    <w:bookmarkEnd w:id="79"/>
    <w:bookmarkStart w:id="81"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80">
        <w:r>
          <w:rPr>
            <w:rStyle w:val="Hyperlink"/>
          </w:rPr>
          <w:t xml:space="preserve">https://doi.org/10.1002/lno.11291</w:t>
        </w:r>
      </w:hyperlink>
      <w:r>
        <w:t xml:space="preserve">.</w:t>
      </w:r>
    </w:p>
    <w:bookmarkEnd w:id="81"/>
    <w:bookmarkStart w:id="83"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82">
        <w:r>
          <w:rPr>
            <w:rStyle w:val="Hyperlink"/>
          </w:rPr>
          <w:t xml:space="preserve">https://doi.org/10.1175/1520-0450(1986)025&lt;0903:AMFSDT&gt;2.0.CO;2</w:t>
        </w:r>
      </w:hyperlink>
      <w:r>
        <w:t xml:space="preserve">.</w:t>
      </w:r>
    </w:p>
    <w:bookmarkEnd w:id="83"/>
    <w:bookmarkStart w:id="85"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84">
        <w:r>
          <w:rPr>
            <w:rStyle w:val="Hyperlink"/>
          </w:rPr>
          <w:t xml:space="preserve">https://doi.org/10.1128/jb.83.4.736-737.1962</w:t>
        </w:r>
      </w:hyperlink>
      <w:r>
        <w:t xml:space="preserve">.</w:t>
      </w:r>
    </w:p>
    <w:bookmarkEnd w:id="85"/>
    <w:bookmarkStart w:id="87" w:name="ref-formenti2003"/>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86">
        <w:r>
          <w:rPr>
            <w:rStyle w:val="Hyperlink"/>
          </w:rPr>
          <w:t xml:space="preserve">https://doi.org/10.1029/2002JD002648</w:t>
        </w:r>
      </w:hyperlink>
      <w:r>
        <w:t xml:space="preserve">.</w:t>
      </w:r>
    </w:p>
    <w:bookmarkEnd w:id="87"/>
    <w:bookmarkStart w:id="89" w:name="ref-graham198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88">
        <w:r>
          <w:rPr>
            <w:rStyle w:val="Hyperlink"/>
          </w:rPr>
          <w:t xml:space="preserve">https://doi.org/10.1016/0004-6981(82)90198-6</w:t>
        </w:r>
      </w:hyperlink>
      <w:r>
        <w:t xml:space="preserve">.</w:t>
      </w:r>
    </w:p>
    <w:bookmarkEnd w:id="89"/>
    <w:bookmarkStart w:id="9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90"/>
    <w:bookmarkStart w:id="9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91">
        <w:r>
          <w:rPr>
            <w:rStyle w:val="Hyperlink"/>
          </w:rPr>
          <w:t xml:space="preserve">https://doi.org/10.1016/j.micres.2009.12.001</w:t>
        </w:r>
      </w:hyperlink>
      <w:r>
        <w:t xml:space="preserve">.</w:t>
      </w:r>
    </w:p>
    <w:bookmarkEnd w:id="92"/>
    <w:bookmarkStart w:id="9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93">
        <w:r>
          <w:rPr>
            <w:rStyle w:val="Hyperlink"/>
          </w:rPr>
          <w:t xml:space="preserve">https://doi.org/10.1111/j.1574-6968.2009.01567.x</w:t>
        </w:r>
      </w:hyperlink>
      <w:r>
        <w:t xml:space="preserve">.</w:t>
      </w:r>
    </w:p>
    <w:bookmarkEnd w:id="94"/>
    <w:bookmarkStart w:id="9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95">
        <w:r>
          <w:rPr>
            <w:rStyle w:val="Hyperlink"/>
          </w:rPr>
          <w:t xml:space="preserve">https://doi.org/10.1023/B:AERO.0000032947.88335.bb</w:t>
        </w:r>
      </w:hyperlink>
      <w:r>
        <w:t xml:space="preserve">.</w:t>
      </w:r>
    </w:p>
    <w:bookmarkEnd w:id="96"/>
    <w:bookmarkStart w:id="9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97">
        <w:r>
          <w:rPr>
            <w:rStyle w:val="Hyperlink"/>
          </w:rPr>
          <w:t xml:space="preserve">https://doi.org/10.1016/j.csr.2008.02.009</w:t>
        </w:r>
      </w:hyperlink>
      <w:r>
        <w:t xml:space="preserve">.</w:t>
      </w:r>
    </w:p>
    <w:bookmarkEnd w:id="98"/>
    <w:bookmarkStart w:id="10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99">
        <w:r>
          <w:rPr>
            <w:rStyle w:val="Hyperlink"/>
          </w:rPr>
          <w:t xml:space="preserve">https://doi.org/10.1038/nature02550</w:t>
        </w:r>
      </w:hyperlink>
      <w:r>
        <w:t xml:space="preserve">.</w:t>
      </w:r>
    </w:p>
    <w:bookmarkEnd w:id="100"/>
    <w:bookmarkStart w:id="102"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01">
        <w:r>
          <w:rPr>
            <w:rStyle w:val="Hyperlink"/>
          </w:rPr>
          <w:t xml:space="preserve">https://doi.org/10.1128/JB.187.2.752-757.2005</w:t>
        </w:r>
      </w:hyperlink>
      <w:r>
        <w:t xml:space="preserve">.</w:t>
      </w:r>
    </w:p>
    <w:bookmarkEnd w:id="102"/>
    <w:bookmarkStart w:id="104"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03">
        <w:r>
          <w:rPr>
            <w:rStyle w:val="Hyperlink"/>
          </w:rPr>
          <w:t xml:space="preserve">https://doi.org/10.1128/MMBR.00046-15</w:t>
        </w:r>
      </w:hyperlink>
      <w:r>
        <w:t xml:space="preserve">.</w:t>
      </w:r>
    </w:p>
    <w:bookmarkEnd w:id="104"/>
    <w:bookmarkStart w:id="106"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05">
        <w:r>
          <w:rPr>
            <w:rStyle w:val="Hyperlink"/>
          </w:rPr>
          <w:t xml:space="preserve">https://doi.org/10.1007/s10453-022-09752-9</w:t>
        </w:r>
      </w:hyperlink>
      <w:r>
        <w:t xml:space="preserve">.</w:t>
      </w:r>
    </w:p>
    <w:bookmarkEnd w:id="106"/>
    <w:bookmarkStart w:id="108"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07">
        <w:r>
          <w:rPr>
            <w:rStyle w:val="Hyperlink"/>
          </w:rPr>
          <w:t xml:space="preserve">https://doi.org/10.1128/AEM.02930-14</w:t>
        </w:r>
      </w:hyperlink>
      <w:r>
        <w:t xml:space="preserve">.</w:t>
      </w:r>
    </w:p>
    <w:bookmarkEnd w:id="108"/>
    <w:bookmarkStart w:id="110"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09">
        <w:r>
          <w:rPr>
            <w:rStyle w:val="Hyperlink"/>
          </w:rPr>
          <w:t xml:space="preserve">https://doi.org/10.1128/JB.00793-17</w:t>
        </w:r>
      </w:hyperlink>
      <w:r>
        <w:t xml:space="preserve">.</w:t>
      </w:r>
    </w:p>
    <w:bookmarkEnd w:id="110"/>
    <w:bookmarkStart w:id="112"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11">
        <w:r>
          <w:rPr>
            <w:rStyle w:val="Hyperlink"/>
          </w:rPr>
          <w:t xml:space="preserve">https://doi.org/10.1146/annurev.micro.58.030603.123610</w:t>
        </w:r>
      </w:hyperlink>
      <w:r>
        <w:t xml:space="preserve">.</w:t>
      </w:r>
    </w:p>
    <w:bookmarkEnd w:id="112"/>
    <w:bookmarkStart w:id="114"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13">
        <w:r>
          <w:rPr>
            <w:rStyle w:val="Hyperlink"/>
          </w:rPr>
          <w:t xml:space="preserve">https://doi.org/10.3390/d14020097</w:t>
        </w:r>
      </w:hyperlink>
      <w:r>
        <w:t xml:space="preserve">.</w:t>
      </w:r>
    </w:p>
    <w:bookmarkEnd w:id="114"/>
    <w:bookmarkStart w:id="116"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15">
        <w:r>
          <w:rPr>
            <w:rStyle w:val="Hyperlink"/>
          </w:rPr>
          <w:t xml:space="preserve">https://doi.org/10.1029/JD094iD04p05069</w:t>
        </w:r>
      </w:hyperlink>
      <w:r>
        <w:t xml:space="preserve">.</w:t>
      </w:r>
    </w:p>
    <w:bookmarkEnd w:id="116"/>
    <w:bookmarkStart w:id="118"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17">
        <w:r>
          <w:rPr>
            <w:rStyle w:val="Hyperlink"/>
          </w:rPr>
          <w:t xml:space="preserve">https://doi.org/10.3354/dao02621</w:t>
        </w:r>
      </w:hyperlink>
      <w:r>
        <w:t xml:space="preserve">.</w:t>
      </w:r>
    </w:p>
    <w:bookmarkEnd w:id="118"/>
    <w:bookmarkStart w:id="120"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19">
        <w:r>
          <w:rPr>
            <w:rStyle w:val="Hyperlink"/>
          </w:rPr>
          <w:t xml:space="preserve">https://doi.org/10.1073/pnas.1518080113</w:t>
        </w:r>
      </w:hyperlink>
      <w:r>
        <w:t xml:space="preserve">.</w:t>
      </w:r>
    </w:p>
    <w:bookmarkEnd w:id="120"/>
    <w:bookmarkStart w:id="122"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21">
        <w:r>
          <w:rPr>
            <w:rStyle w:val="Hyperlink"/>
          </w:rPr>
          <w:t xml:space="preserve">https://doi.org/10.3389/fmars.2018.00012</w:t>
        </w:r>
      </w:hyperlink>
      <w:r>
        <w:t xml:space="preserve">.</w:t>
      </w:r>
    </w:p>
    <w:bookmarkEnd w:id="122"/>
    <w:bookmarkStart w:id="123" w:name="ref-wetz"/>
    <w:p>
      <w:pPr>
        <w:pStyle w:val="Bibliography"/>
      </w:pPr>
      <w:r>
        <w:t xml:space="preserve">Wetz, Michael S. n.d.</w:t>
      </w:r>
      <w:r>
        <w:t xml:space="preserve"> </w:t>
      </w:r>
      <w:r>
        <w:t xml:space="preserve">“Publication CBBEP - 114 Project Number</w:t>
      </w:r>
      <w:r>
        <w:t xml:space="preserve"> </w:t>
      </w:r>
      <w:r>
        <w:t xml:space="preserve"> </w:t>
      </w:r>
      <w:r>
        <w:t xml:space="preserve">1312 June 2014.”</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image" Id="rId35" Target="media/rId35.png" /><Relationship Type="http://schemas.openxmlformats.org/officeDocument/2006/relationships/hyperlink" Id="rId80" Target="https://doi.org/10.1002/lno.11291" TargetMode="External" /><Relationship Type="http://schemas.openxmlformats.org/officeDocument/2006/relationships/hyperlink" Id="rId105" Target="https://doi.org/10.1007/s10453-022-09752-9" TargetMode="External" /><Relationship Type="http://schemas.openxmlformats.org/officeDocument/2006/relationships/hyperlink" Id="rId88" Target="https://doi.org/10.1016/0004-6981(82)90198-6" TargetMode="External" /><Relationship Type="http://schemas.openxmlformats.org/officeDocument/2006/relationships/hyperlink" Id="rId97" Target="https://doi.org/10.1016/j.csr.2008.02.009" TargetMode="External" /><Relationship Type="http://schemas.openxmlformats.org/officeDocument/2006/relationships/hyperlink" Id="rId91" Target="https://doi.org/10.1016/j.micres.2009.12.001" TargetMode="External" /><Relationship Type="http://schemas.openxmlformats.org/officeDocument/2006/relationships/hyperlink" Id="rId95" Target="https://doi.org/10.1023/B:AERO.0000032947.88335.bb" TargetMode="External" /><Relationship Type="http://schemas.openxmlformats.org/officeDocument/2006/relationships/hyperlink" Id="rId86" Target="https://doi.org/10.1029/2002JD002648" TargetMode="External" /><Relationship Type="http://schemas.openxmlformats.org/officeDocument/2006/relationships/hyperlink" Id="rId115" Target="https://doi.org/10.1029/JD094iD04p05069" TargetMode="External" /><Relationship Type="http://schemas.openxmlformats.org/officeDocument/2006/relationships/hyperlink" Id="rId99" Target="https://doi.org/10.1038/nature02550" TargetMode="External" /><Relationship Type="http://schemas.openxmlformats.org/officeDocument/2006/relationships/hyperlink" Id="rId76" Target="https://doi.org/10.1038/s41572-018-0005-8" TargetMode="External" /><Relationship Type="http://schemas.openxmlformats.org/officeDocument/2006/relationships/hyperlink" Id="rId119" Target="https://doi.org/10.1073/pnas.1518080113" TargetMode="External" /><Relationship Type="http://schemas.openxmlformats.org/officeDocument/2006/relationships/hyperlink" Id="rId78" Target="https://doi.org/10.1099/ijs.0.02402-0" TargetMode="External" /><Relationship Type="http://schemas.openxmlformats.org/officeDocument/2006/relationships/hyperlink" Id="rId93" Target="https://doi.org/10.1111/j.1574-6968.2009.01567.x" TargetMode="External" /><Relationship Type="http://schemas.openxmlformats.org/officeDocument/2006/relationships/hyperlink" Id="rId107" Target="https://doi.org/10.1128/AEM.02930-14" TargetMode="External" /><Relationship Type="http://schemas.openxmlformats.org/officeDocument/2006/relationships/hyperlink" Id="rId109" Target="https://doi.org/10.1128/JB.00793-17" TargetMode="External" /><Relationship Type="http://schemas.openxmlformats.org/officeDocument/2006/relationships/hyperlink" Id="rId101" Target="https://doi.org/10.1128/JB.187.2.752-757.2005" TargetMode="External" /><Relationship Type="http://schemas.openxmlformats.org/officeDocument/2006/relationships/hyperlink" Id="rId103" Target="https://doi.org/10.1128/MMBR.00046-15" TargetMode="External" /><Relationship Type="http://schemas.openxmlformats.org/officeDocument/2006/relationships/hyperlink" Id="rId84" Target="https://doi.org/10.1128/jb.83.4.736-737.1962" TargetMode="External" /><Relationship Type="http://schemas.openxmlformats.org/officeDocument/2006/relationships/hyperlink" Id="rId111" Target="https://doi.org/10.1146/annurev.micro.58.030603.123610" TargetMode="External" /><Relationship Type="http://schemas.openxmlformats.org/officeDocument/2006/relationships/hyperlink" Id="rId82" Target="https://doi.org/10.1175/1520-0450(1986)025&lt;0903:AMFSDT&gt;2.0.CO;2" TargetMode="External" /><Relationship Type="http://schemas.openxmlformats.org/officeDocument/2006/relationships/hyperlink" Id="rId117" Target="https://doi.org/10.3354/dao02621" TargetMode="External" /><Relationship Type="http://schemas.openxmlformats.org/officeDocument/2006/relationships/hyperlink" Id="rId121" Target="https://doi.org/10.3389/fmars.2018.00012" TargetMode="External" /><Relationship Type="http://schemas.openxmlformats.org/officeDocument/2006/relationships/hyperlink" Id="rId113" Target="https://doi.org/10.3390/d14020097" TargetMode="External" /><Relationship Type="http://schemas.openxmlformats.org/officeDocument/2006/relationships/hyperlink" Id="rId25" Target="https://www.tceq.texas.gov/downloads/water-quality/assessment/integrated-report-2022/2022-303d.pdf" TargetMode="External" /><Relationship Type="http://schemas.openxmlformats.org/officeDocument/2006/relationships/hyperlink" Id="rId24"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80" Target="https://doi.org/10.1002/lno.11291" TargetMode="External" /><Relationship Type="http://schemas.openxmlformats.org/officeDocument/2006/relationships/hyperlink" Id="rId105" Target="https://doi.org/10.1007/s10453-022-09752-9" TargetMode="External" /><Relationship Type="http://schemas.openxmlformats.org/officeDocument/2006/relationships/hyperlink" Id="rId88" Target="https://doi.org/10.1016/0004-6981(82)90198-6" TargetMode="External" /><Relationship Type="http://schemas.openxmlformats.org/officeDocument/2006/relationships/hyperlink" Id="rId97" Target="https://doi.org/10.1016/j.csr.2008.02.009" TargetMode="External" /><Relationship Type="http://schemas.openxmlformats.org/officeDocument/2006/relationships/hyperlink" Id="rId91" Target="https://doi.org/10.1016/j.micres.2009.12.001" TargetMode="External" /><Relationship Type="http://schemas.openxmlformats.org/officeDocument/2006/relationships/hyperlink" Id="rId95" Target="https://doi.org/10.1023/B:AERO.0000032947.88335.bb" TargetMode="External" /><Relationship Type="http://schemas.openxmlformats.org/officeDocument/2006/relationships/hyperlink" Id="rId86" Target="https://doi.org/10.1029/2002JD002648" TargetMode="External" /><Relationship Type="http://schemas.openxmlformats.org/officeDocument/2006/relationships/hyperlink" Id="rId115" Target="https://doi.org/10.1029/JD094iD04p05069" TargetMode="External" /><Relationship Type="http://schemas.openxmlformats.org/officeDocument/2006/relationships/hyperlink" Id="rId99" Target="https://doi.org/10.1038/nature02550" TargetMode="External" /><Relationship Type="http://schemas.openxmlformats.org/officeDocument/2006/relationships/hyperlink" Id="rId76" Target="https://doi.org/10.1038/s41572-018-0005-8" TargetMode="External" /><Relationship Type="http://schemas.openxmlformats.org/officeDocument/2006/relationships/hyperlink" Id="rId119" Target="https://doi.org/10.1073/pnas.1518080113" TargetMode="External" /><Relationship Type="http://schemas.openxmlformats.org/officeDocument/2006/relationships/hyperlink" Id="rId78" Target="https://doi.org/10.1099/ijs.0.02402-0" TargetMode="External" /><Relationship Type="http://schemas.openxmlformats.org/officeDocument/2006/relationships/hyperlink" Id="rId93" Target="https://doi.org/10.1111/j.1574-6968.2009.01567.x" TargetMode="External" /><Relationship Type="http://schemas.openxmlformats.org/officeDocument/2006/relationships/hyperlink" Id="rId107" Target="https://doi.org/10.1128/AEM.02930-14" TargetMode="External" /><Relationship Type="http://schemas.openxmlformats.org/officeDocument/2006/relationships/hyperlink" Id="rId109" Target="https://doi.org/10.1128/JB.00793-17" TargetMode="External" /><Relationship Type="http://schemas.openxmlformats.org/officeDocument/2006/relationships/hyperlink" Id="rId101" Target="https://doi.org/10.1128/JB.187.2.752-757.2005" TargetMode="External" /><Relationship Type="http://schemas.openxmlformats.org/officeDocument/2006/relationships/hyperlink" Id="rId103" Target="https://doi.org/10.1128/MMBR.00046-15" TargetMode="External" /><Relationship Type="http://schemas.openxmlformats.org/officeDocument/2006/relationships/hyperlink" Id="rId84" Target="https://doi.org/10.1128/jb.83.4.736-737.1962" TargetMode="External" /><Relationship Type="http://schemas.openxmlformats.org/officeDocument/2006/relationships/hyperlink" Id="rId111" Target="https://doi.org/10.1146/annurev.micro.58.030603.123610" TargetMode="External" /><Relationship Type="http://schemas.openxmlformats.org/officeDocument/2006/relationships/hyperlink" Id="rId82" Target="https://doi.org/10.1175/1520-0450(1986)025&lt;0903:AMFSDT&gt;2.0.CO;2" TargetMode="External" /><Relationship Type="http://schemas.openxmlformats.org/officeDocument/2006/relationships/hyperlink" Id="rId117" Target="https://doi.org/10.3354/dao02621" TargetMode="External" /><Relationship Type="http://schemas.openxmlformats.org/officeDocument/2006/relationships/hyperlink" Id="rId121" Target="https://doi.org/10.3389/fmars.2018.00012" TargetMode="External" /><Relationship Type="http://schemas.openxmlformats.org/officeDocument/2006/relationships/hyperlink" Id="rId113" Target="https://doi.org/10.3390/d14020097" TargetMode="External" /><Relationship Type="http://schemas.openxmlformats.org/officeDocument/2006/relationships/hyperlink" Id="rId25" Target="https://www.tceq.texas.gov/downloads/water-quality/assessment/integrated-report-2022/2022-303d.pdf" TargetMode="External" /><Relationship Type="http://schemas.openxmlformats.org/officeDocument/2006/relationships/hyperlink" Id="rId24"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2023-04-07T02:36:05Z</dcterms:created>
  <dcterms:modified xsi:type="dcterms:W3CDTF">2023-04-07T02:36:05Z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4/6/23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