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3.png" ContentType="image/png"/>
  <Override PartName="/word/media/rId59.png" ContentType="image/png"/>
  <Override PartName="/word/media/rId43.png" ContentType="image/png"/>
  <Override PartName="/word/media/rId46.png" ContentType="image/png"/>
  <Override PartName="/word/media/rId49.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3/17/23</w:t>
      </w:r>
    </w:p>
    <w:bookmarkStart w:id="20" w:name="summaryabstract"/>
    <w:p>
      <w:pPr>
        <w:pStyle w:val="Heading1"/>
      </w:pPr>
      <w:r>
        <w:t xml:space="preserve">1. Summary/Abstract</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t xml:space="preserve">Bacteria belonging to the genus Vibrio are marine opportunistic heterotrophs that are ubiquitous in nature and are among the first to respond to the influx of nutrients. Species of Vibrio are known to cause a variety of diseases in humans ranging from cholera (V. cholerae), to ear and wound infections (V. alginolyticus), and in some extreme cases necrotizing fasciitis and septicemia (V. vulnificus). Vibrio have also been shown to impact marine health, causing coral bleaching (V. coralliiyticus, V. shiloi, V. alginolyticus), and shellfish and fish mortality (V. harveyi, V. parahaemolyticus, V. vulnificus). Vibrio population dynamics are primarily driven by temperature and salinity, with prime conditions between 25-30°C and salinities ranging from 20-35. While there is evidence of these blooms occurring in low-nutrient settings like the Florida Keys, less is known regarding microbial response to dust input in areas with</w:t>
      </w:r>
      <w:r>
        <w:t xml:space="preserve"> </w:t>
      </w:r>
      <w:r>
        <w:rPr>
          <w:iCs/>
          <w:i/>
        </w:rPr>
        <w:t xml:space="preserve">higher baseline nutrients</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22"/>
    <w:bookmarkEnd w:id="23"/>
    <w:bookmarkStart w:id="29" w:name="methods"/>
    <w:p>
      <w:pPr>
        <w:pStyle w:val="Heading1"/>
      </w:pPr>
      <w:r>
        <w:t xml:space="preserve">3. Methods</w:t>
      </w:r>
    </w:p>
    <w:bookmarkStart w:id="24" w:name="data-acquisition"/>
    <w:p>
      <w:pPr>
        <w:pStyle w:val="Heading2"/>
      </w:pPr>
      <w:r>
        <w:t xml:space="preserve">3.1 Data acquisition</w:t>
      </w:r>
    </w:p>
    <w:p>
      <w:pPr>
        <w:pStyle w:val="FirstParagraph"/>
      </w:pPr>
      <w:r>
        <w:t xml:space="preserve">Data was collected at 3 sites in Corpus Christi, TX before, during, and after a Saharan dust event (starting on July 7th and ending on July 19th, 2022). Sites represent a gradient in background nutrient levels (Blind Oso and Canals are high, the Gulf is low). Water samples were collected for inorganic nutrients, dissolved and particulate organic matter, and microbial analysis. Vertical profiles of salinity, temperature, pH, and dissolved oxygen were obtained using a YSI ProPlus sonde.</w:t>
      </w:r>
    </w:p>
    <w:p>
      <w:pPr>
        <w:pStyle w:val="BodyText"/>
      </w:pPr>
      <w:r>
        <w:t xml:space="preserve">Variables will include</w:t>
      </w:r>
      <w:r>
        <w:t xml:space="preserve"> </w:t>
      </w:r>
      <w:r>
        <w:rPr>
          <w:rStyle w:val="VerbatimChar"/>
        </w:rPr>
        <w:t xml:space="preserve">Temperature (°C)</w:t>
      </w:r>
      <w:r>
        <w:t xml:space="preserve">,</w:t>
      </w:r>
      <w:r>
        <w:t xml:space="preserve"> </w:t>
      </w:r>
      <w:r>
        <w:rPr>
          <w:rStyle w:val="VerbatimChar"/>
        </w:rPr>
        <w:t xml:space="preserve">Salinity</w:t>
      </w:r>
      <w:r>
        <w:t xml:space="preserve">,</w:t>
      </w:r>
      <w:r>
        <w:t xml:space="preserve"> </w:t>
      </w:r>
      <w:r>
        <w:rPr>
          <w:rStyle w:val="VerbatimChar"/>
        </w:rPr>
        <w:t xml:space="preserve">Nitrate</w:t>
      </w:r>
      <w:r>
        <w:t xml:space="preserve">,</w:t>
      </w:r>
      <w:r>
        <w:t xml:space="preserve"> </w:t>
      </w:r>
      <w:r>
        <w:rPr>
          <w:rStyle w:val="VerbatimChar"/>
        </w:rPr>
        <w:t xml:space="preserve">Phosphate</w:t>
      </w:r>
      <w:r>
        <w:t xml:space="preserve">,</w:t>
      </w:r>
      <w:r>
        <w:t xml:space="preserve"> </w:t>
      </w:r>
      <w:r>
        <w:rPr>
          <w:rStyle w:val="VerbatimChar"/>
        </w:rPr>
        <w:t xml:space="preserve">Copies/mL</w:t>
      </w:r>
      <w:r>
        <w:t xml:space="preserve"> </w:t>
      </w:r>
      <w:r>
        <w:t xml:space="preserve">produced using quantitative PCR, and</w:t>
      </w:r>
      <w:r>
        <w:t xml:space="preserve"> </w:t>
      </w:r>
      <w:r>
        <w:rPr>
          <w:rStyle w:val="VerbatimChar"/>
        </w:rPr>
        <w:t xml:space="preserve">Dust Concentration (AOT)</w:t>
      </w:r>
      <w:r>
        <w:t xml:space="preserve"> </w:t>
      </w:r>
      <w:r>
        <w:t xml:space="preserve">from the naval research laboratory satellite data.</w:t>
      </w:r>
    </w:p>
    <w:bookmarkEnd w:id="24"/>
    <w:bookmarkStart w:id="28" w:name="data-import-and-cleaning"/>
    <w:p>
      <w:pPr>
        <w:pStyle w:val="Heading2"/>
      </w:pPr>
      <w:r>
        <w:t xml:space="preserve">3.2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p>
    <w:bookmarkStart w:id="25" w:name="X78c808109ce3e5bc91d86f985898764265ed0eb"/>
    <w:p>
      <w:pPr>
        <w:pStyle w:val="Heading3"/>
      </w:pPr>
      <w:r>
        <w:t xml:space="preserve">3.2.1 Cleaning of Total Vibrio Enumerations Data 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25"/>
    <w:bookmarkStart w:id="26" w:name="X3eb89eb1899f60a6020a00cce2efeedabb53bdc"/>
    <w:p>
      <w:pPr>
        <w:pStyle w:val="Heading3"/>
      </w:pPr>
      <w:r>
        <w:t xml:space="preserve">3.2.2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26"/>
    <w:bookmarkStart w:id="27" w:name="X74371effe417baae1c31891191d761dac00ebad"/>
    <w:p>
      <w:pPr>
        <w:pStyle w:val="Heading3"/>
      </w:pPr>
      <w:r>
        <w:t xml:space="preserve">3.2.3 Cleaning of Temperature and Salinity Data set</w:t>
      </w:r>
    </w:p>
    <w:p>
      <w:pPr>
        <w:pStyle w:val="FirstParagraph"/>
      </w:pPr>
      <w:r>
        <w:t xml:space="preserve">This data set did not require any cleaning.</w:t>
      </w:r>
    </w:p>
    <w:p>
      <w:r>
        <w:br w:type="page"/>
      </w:r>
    </w:p>
    <w:bookmarkEnd w:id="27"/>
    <w:bookmarkEnd w:id="28"/>
    <w:bookmarkEnd w:id="29"/>
    <w:bookmarkStart w:id="65" w:name="results"/>
    <w:p>
      <w:pPr>
        <w:pStyle w:val="Heading1"/>
      </w:pPr>
      <w:r>
        <w:t xml:space="preserve">4. Results</w:t>
      </w:r>
    </w:p>
    <w:bookmarkStart w:id="42" w:name="exploratorydescriptive-analysis"/>
    <w:p>
      <w:pPr>
        <w:pStyle w:val="Heading2"/>
      </w:pPr>
      <w:r>
        <w:t xml:space="preserve">4.1 Exploratory/Descriptive analysis</w:t>
      </w:r>
    </w:p>
    <w:bookmarkStart w:id="33" w:name="dust"/>
    <w:p>
      <w:pPr>
        <w:pStyle w:val="Heading3"/>
      </w:pPr>
      <w:r>
        <w:t xml:space="preserve">4.1.1 Dust</w:t>
      </w:r>
    </w:p>
    <w:p>
      <w:pPr>
        <w:pStyle w:val="FirstParagraph"/>
      </w:pPr>
      <w:r>
        <w:drawing>
          <wp:inline>
            <wp:extent cx="5334000" cy="3295650"/>
            <wp:effectExtent b="0" l="0" r="0" t="0"/>
            <wp:docPr descr="" title="" id="31" name="Picture"/>
            <a:graphic>
              <a:graphicData uri="http://schemas.openxmlformats.org/drawingml/2006/picture">
                <pic:pic>
                  <pic:nvPicPr>
                    <pic:cNvPr descr="images/paste-0FE55FAA.png" id="32" name="Picture"/>
                    <pic:cNvPicPr>
                      <a:picLocks noChangeArrowheads="1" noChangeAspect="1"/>
                    </pic:cNvPicPr>
                  </pic:nvPicPr>
                  <pic:blipFill>
                    <a:blip r:embed="rId30"/>
                    <a:stretch>
                      <a:fillRect/>
                    </a:stretch>
                  </pic:blipFill>
                  <pic:spPr bwMode="auto">
                    <a:xfrm>
                      <a:off x="0" y="0"/>
                      <a:ext cx="5334000" cy="3295650"/>
                    </a:xfrm>
                    <a:prstGeom prst="rect">
                      <a:avLst/>
                    </a:prstGeom>
                    <a:noFill/>
                    <a:ln w="9525">
                      <a:noFill/>
                      <a:headEnd/>
                      <a:tailEnd/>
                    </a:ln>
                  </pic:spPr>
                </pic:pic>
              </a:graphicData>
            </a:graphic>
          </wp:inline>
        </w:drawing>
      </w:r>
    </w:p>
    <w:p>
      <w:pPr>
        <w:pStyle w:val="BodyText"/>
      </w:pPr>
      <w:r>
        <w:t xml:space="preserve">This figure depicts the summed dust concentration 24hr prior to sample collection (time points 13hr–&gt; 7hr the next day) across the daily time series. During the time series, two small periods of higher dust AOT occurred on the 9th and 13th respectively. A much larger spike in AOT was observed on the 16th.</w:t>
      </w:r>
    </w:p>
    <w:bookmarkEnd w:id="33"/>
    <w:bookmarkStart w:id="37" w:name="daily-vibrio"/>
    <w:p>
      <w:pPr>
        <w:pStyle w:val="Heading3"/>
      </w:pPr>
      <w:r>
        <w:t xml:space="preserve">4.1.2 Daily Vibrio</w:t>
      </w:r>
    </w:p>
    <w:p>
      <w:pPr>
        <w:pStyle w:val="FirstParagraph"/>
      </w:pPr>
      <w:r>
        <w:drawing>
          <wp:inline>
            <wp:extent cx="5334000" cy="5334000"/>
            <wp:effectExtent b="0" l="0" r="0" t="0"/>
            <wp:docPr descr="" title="" id="35" name="Picture"/>
            <a:graphic>
              <a:graphicData uri="http://schemas.openxmlformats.org/drawingml/2006/picture">
                <pic:pic>
                  <pic:nvPicPr>
                    <pic:cNvPr descr="images/paste-C33B6E43.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Gulf and Blind Oso occur 24-48hr following initial dust introduction on the 13th, and experience another shift around 24-48hr of higher dust input on the 16th.</w:t>
      </w:r>
    </w:p>
    <w:bookmarkEnd w:id="37"/>
    <w:bookmarkStart w:id="41" w:name="temperature-and-salinity"/>
    <w:p>
      <w:pPr>
        <w:pStyle w:val="Heading3"/>
      </w:pPr>
      <w:r>
        <w:t xml:space="preserve">4.1.3 Temperature and Salinity</w:t>
      </w:r>
    </w:p>
    <w:p>
      <w:pPr>
        <w:pStyle w:val="FirstParagraph"/>
      </w:pPr>
      <w:r>
        <w:drawing>
          <wp:inline>
            <wp:extent cx="5334000" cy="5334000"/>
            <wp:effectExtent b="0" l="0" r="0" t="0"/>
            <wp:docPr descr="" title="" id="39" name="Picture"/>
            <a:graphic>
              <a:graphicData uri="http://schemas.openxmlformats.org/drawingml/2006/picture">
                <pic:pic>
                  <pic:nvPicPr>
                    <pic:cNvPr descr="images/temp_sa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1"/>
    <w:bookmarkEnd w:id="42"/>
    <w:bookmarkStart w:id="63" w:name="basic-statistical-analysis"/>
    <w:p>
      <w:pPr>
        <w:pStyle w:val="Heading2"/>
      </w:pPr>
      <w:r>
        <w:t xml:space="preserve">4.2 Basic statistical analysis</w:t>
      </w:r>
    </w:p>
    <w:bookmarkStart w:id="52" w:name="cross-correlation-analysis"/>
    <w:p>
      <w:pPr>
        <w:pStyle w:val="Heading3"/>
      </w:pPr>
      <w:r>
        <w:t xml:space="preserve">4.2.1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drawing>
          <wp:inline>
            <wp:extent cx="4524375" cy="2792185"/>
            <wp:effectExtent b="0" l="0" r="0" t="0"/>
            <wp:docPr descr="" title="" id="44" name="Picture"/>
            <a:graphic>
              <a:graphicData uri="http://schemas.openxmlformats.org/drawingml/2006/picture">
                <pic:pic>
                  <pic:nvPicPr>
                    <pic:cNvPr descr="images/00003f.png" id="45" name="Picture"/>
                    <pic:cNvPicPr>
                      <a:picLocks noChangeArrowheads="1" noChangeAspect="1"/>
                    </pic:cNvPicPr>
                  </pic:nvPicPr>
                  <pic:blipFill>
                    <a:blip r:embed="rId43"/>
                    <a:stretch>
                      <a:fillRect/>
                    </a:stretch>
                  </pic:blipFill>
                  <pic:spPr bwMode="auto">
                    <a:xfrm>
                      <a:off x="0" y="0"/>
                      <a:ext cx="4524375" cy="2792185"/>
                    </a:xfrm>
                    <a:prstGeom prst="rect">
                      <a:avLst/>
                    </a:prstGeom>
                    <a:noFill/>
                    <a:ln w="9525">
                      <a:noFill/>
                      <a:headEnd/>
                      <a:tailEnd/>
                    </a:ln>
                  </pic:spPr>
                </pic:pic>
              </a:graphicData>
            </a:graphic>
          </wp:inline>
        </w:drawing>
      </w:r>
    </w:p>
    <w:p>
      <w:pPr>
        <w:pStyle w:val="BodyText"/>
      </w:pPr>
      <w:r>
        <w:drawing>
          <wp:inline>
            <wp:extent cx="4505325" cy="2780429"/>
            <wp:effectExtent b="0" l="0" r="0" t="0"/>
            <wp:docPr descr="" title="" id="47" name="Picture"/>
            <a:graphic>
              <a:graphicData uri="http://schemas.openxmlformats.org/drawingml/2006/picture">
                <pic:pic>
                  <pic:nvPicPr>
                    <pic:cNvPr descr="images/000043.png" id="48" name="Picture"/>
                    <pic:cNvPicPr>
                      <a:picLocks noChangeArrowheads="1" noChangeAspect="1"/>
                    </pic:cNvPicPr>
                  </pic:nvPicPr>
                  <pic:blipFill>
                    <a:blip r:embed="rId46"/>
                    <a:stretch>
                      <a:fillRect/>
                    </a:stretch>
                  </pic:blipFill>
                  <pic:spPr bwMode="auto">
                    <a:xfrm>
                      <a:off x="0" y="0"/>
                      <a:ext cx="4505325" cy="2780429"/>
                    </a:xfrm>
                    <a:prstGeom prst="rect">
                      <a:avLst/>
                    </a:prstGeom>
                    <a:noFill/>
                    <a:ln w="9525">
                      <a:noFill/>
                      <a:headEnd/>
                      <a:tailEnd/>
                    </a:ln>
                  </pic:spPr>
                </pic:pic>
              </a:graphicData>
            </a:graphic>
          </wp:inline>
        </w:drawing>
      </w:r>
    </w:p>
    <w:p>
      <w:pPr>
        <w:pStyle w:val="BodyText"/>
      </w:pPr>
      <w:r>
        <w:drawing>
          <wp:inline>
            <wp:extent cx="4505325" cy="2780429"/>
            <wp:effectExtent b="0" l="0" r="0" t="0"/>
            <wp:docPr descr="" title="" id="50" name="Picture"/>
            <a:graphic>
              <a:graphicData uri="http://schemas.openxmlformats.org/drawingml/2006/picture">
                <pic:pic>
                  <pic:nvPicPr>
                    <pic:cNvPr descr="images/000047.png" id="51" name="Picture"/>
                    <pic:cNvPicPr>
                      <a:picLocks noChangeArrowheads="1" noChangeAspect="1"/>
                    </pic:cNvPicPr>
                  </pic:nvPicPr>
                  <pic:blipFill>
                    <a:blip r:embed="rId49"/>
                    <a:stretch>
                      <a:fillRect/>
                    </a:stretch>
                  </pic:blipFill>
                  <pic:spPr bwMode="auto">
                    <a:xfrm>
                      <a:off x="0" y="0"/>
                      <a:ext cx="4505325" cy="2780429"/>
                    </a:xfrm>
                    <a:prstGeom prst="rect">
                      <a:avLst/>
                    </a:prstGeom>
                    <a:noFill/>
                    <a:ln w="9525">
                      <a:noFill/>
                      <a:headEnd/>
                      <a:tailEnd/>
                    </a:ln>
                  </pic:spPr>
                </pic:pic>
              </a:graphicData>
            </a:graphic>
          </wp:inline>
        </w:drawing>
      </w:r>
    </w:p>
    <w:p>
      <w:pPr>
        <w:pStyle w:val="BodyText"/>
      </w:pPr>
      <w:r>
        <w:t xml:space="preserve">According to the ccf plots,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52"/>
    <w:bookmarkStart w:id="62" w:name="linear-regression-models"/>
    <w:p>
      <w:pPr>
        <w:pStyle w:val="Heading3"/>
      </w:pPr>
      <w:r>
        <w:t xml:space="preserve">4.2.2 Linear Regression Models</w:t>
      </w:r>
    </w:p>
    <w:p>
      <w:pPr>
        <w:pStyle w:val="FirstParagraph"/>
      </w:pPr>
      <w:r>
        <w:drawing>
          <wp:inline>
            <wp:extent cx="3638550" cy="2245505"/>
            <wp:effectExtent b="0" l="0" r="0" t="0"/>
            <wp:docPr descr="" title="" id="54" name="Picture"/>
            <a:graphic>
              <a:graphicData uri="http://schemas.openxmlformats.org/drawingml/2006/picture">
                <pic:pic>
                  <pic:nvPicPr>
                    <pic:cNvPr descr="images/00000f.png" id="55" name="Picture"/>
                    <pic:cNvPicPr>
                      <a:picLocks noChangeArrowheads="1" noChangeAspect="1"/>
                    </pic:cNvPicPr>
                  </pic:nvPicPr>
                  <pic:blipFill>
                    <a:blip r:embed="rId53"/>
                    <a:stretch>
                      <a:fillRect/>
                    </a:stretch>
                  </pic:blipFill>
                  <pic:spPr bwMode="auto">
                    <a:xfrm>
                      <a:off x="0" y="0"/>
                      <a:ext cx="3638550" cy="2245505"/>
                    </a:xfrm>
                    <a:prstGeom prst="rect">
                      <a:avLst/>
                    </a:prstGeom>
                    <a:noFill/>
                    <a:ln w="9525">
                      <a:noFill/>
                      <a:headEnd/>
                      <a:tailEnd/>
                    </a:ln>
                  </pic:spPr>
                </pic:pic>
              </a:graphicData>
            </a:graphic>
          </wp:inline>
        </w:drawing>
      </w:r>
    </w:p>
    <w:p>
      <w:pPr>
        <w:pStyle w:val="BodyText"/>
      </w:pPr>
      <w:r>
        <w:drawing>
          <wp:inline>
            <wp:extent cx="3629025" cy="2239626"/>
            <wp:effectExtent b="0" l="0" r="0" t="0"/>
            <wp:docPr descr="" title="" id="57" name="Picture"/>
            <a:graphic>
              <a:graphicData uri="http://schemas.openxmlformats.org/drawingml/2006/picture">
                <pic:pic>
                  <pic:nvPicPr>
                    <pic:cNvPr descr="images/00000b.png" id="58" name="Picture"/>
                    <pic:cNvPicPr>
                      <a:picLocks noChangeArrowheads="1" noChangeAspect="1"/>
                    </pic:cNvPicPr>
                  </pic:nvPicPr>
                  <pic:blipFill>
                    <a:blip r:embed="rId56"/>
                    <a:stretch>
                      <a:fillRect/>
                    </a:stretch>
                  </pic:blipFill>
                  <pic:spPr bwMode="auto">
                    <a:xfrm>
                      <a:off x="0" y="0"/>
                      <a:ext cx="3629025" cy="2239626"/>
                    </a:xfrm>
                    <a:prstGeom prst="rect">
                      <a:avLst/>
                    </a:prstGeom>
                    <a:noFill/>
                    <a:ln w="9525">
                      <a:noFill/>
                      <a:headEnd/>
                      <a:tailEnd/>
                    </a:ln>
                  </pic:spPr>
                </pic:pic>
              </a:graphicData>
            </a:graphic>
          </wp:inline>
        </w:drawing>
      </w:r>
    </w:p>
    <w:p>
      <w:pPr>
        <w:pStyle w:val="BodyText"/>
      </w:pPr>
      <w:r>
        <w:drawing>
          <wp:inline>
            <wp:extent cx="3629025" cy="2239626"/>
            <wp:effectExtent b="0" l="0" r="0" t="0"/>
            <wp:docPr descr="" title="" id="60" name="Picture"/>
            <a:graphic>
              <a:graphicData uri="http://schemas.openxmlformats.org/drawingml/2006/picture">
                <pic:pic>
                  <pic:nvPicPr>
                    <pic:cNvPr descr="images/000013.png" id="61" name="Picture"/>
                    <pic:cNvPicPr>
                      <a:picLocks noChangeArrowheads="1" noChangeAspect="1"/>
                    </pic:cNvPicPr>
                  </pic:nvPicPr>
                  <pic:blipFill>
                    <a:blip r:embed="rId59"/>
                    <a:stretch>
                      <a:fillRect/>
                    </a:stretch>
                  </pic:blipFill>
                  <pic:spPr bwMode="auto">
                    <a:xfrm>
                      <a:off x="0" y="0"/>
                      <a:ext cx="3629025" cy="2239626"/>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 While a lag of -1 for Blind Oso and -2 for the Canals explains the data well, a lag of -2 for the Gulf site was more fitting. This makes sense, as taking a look at the copies_mL plot above, we do see a ~2 day lag in response, where we have a spike in dust, and 2 days later, a spike in copies_mL.</w:t>
      </w:r>
    </w:p>
    <w:p>
      <w:pPr>
        <w:pStyle w:val="BodyText"/>
      </w:pPr>
      <w:r>
        <w:rPr>
          <w:u w:val="single"/>
        </w:rPr>
        <w:t xml:space="preserve">A few things to note:</w:t>
      </w:r>
    </w:p>
    <w:p>
      <w:pPr>
        <w:numPr>
          <w:ilvl w:val="0"/>
          <w:numId w:val="1001"/>
        </w:numPr>
      </w:pPr>
      <w:r>
        <w:t xml:space="preserve">My stats code contains some chunks that create predicted values based off of the current data set. Since my data set is small, I am not able to portion of ~25% to use to test my model. Therefore, plotting the predicted vs. actual will give an R2 of 1.00. I am continuing to find a good validation method.</w:t>
      </w:r>
    </w:p>
    <w:p>
      <w:pPr>
        <w:numPr>
          <w:ilvl w:val="0"/>
          <w:numId w:val="1001"/>
        </w:numPr>
      </w:pPr>
      <w:r>
        <w:t xml:space="preserve">I am also planning on running a multi-variate model to look at multiple predictors of interests (temp, salinity, nutrients), but am currently running into an issue with my model output, where rather than getting values, I receive NaN. This code can be found in my</w:t>
      </w:r>
      <w:r>
        <w:t xml:space="preserve"> </w:t>
      </w:r>
      <w:r>
        <w:rPr>
          <w:rStyle w:val="VerbatimChar"/>
        </w:rPr>
        <w:t xml:space="preserve">dust_copies_stats.qmd</w:t>
      </w:r>
      <w:r>
        <w:t xml:space="preserve"> </w:t>
      </w:r>
      <w:r>
        <w:t xml:space="preserve">code.</w:t>
      </w:r>
    </w:p>
    <w:bookmarkEnd w:id="62"/>
    <w:bookmarkEnd w:id="63"/>
    <w:bookmarkStart w:id="64" w:name="full-analysis"/>
    <w:p>
      <w:pPr>
        <w:pStyle w:val="Heading2"/>
      </w:pPr>
      <w:r>
        <w:t xml:space="preserve">4.3 Full analysis</w:t>
      </w:r>
    </w:p>
    <w:p>
      <w:r>
        <w:br w:type="page"/>
      </w:r>
    </w:p>
    <w:bookmarkEnd w:id="64"/>
    <w:bookmarkEnd w:id="65"/>
    <w:bookmarkStart w:id="69" w:name="discussion"/>
    <w:p>
      <w:pPr>
        <w:pStyle w:val="Heading1"/>
      </w:pPr>
      <w:r>
        <w:t xml:space="preserve">5. Discussion</w:t>
      </w:r>
    </w:p>
    <w:bookmarkStart w:id="66" w:name="summary-and-interpretation"/>
    <w:p>
      <w:pPr>
        <w:pStyle w:val="Heading2"/>
      </w:pPr>
      <w:r>
        <w:t xml:space="preserve">5.1 Summary and Interpretation</w:t>
      </w:r>
    </w:p>
    <w:bookmarkEnd w:id="66"/>
    <w:bookmarkStart w:id="67" w:name="strengths-and-limitations"/>
    <w:p>
      <w:pPr>
        <w:pStyle w:val="Heading2"/>
      </w:pPr>
      <w:r>
        <w:t xml:space="preserve">5.2 Strengths and Limitations</w:t>
      </w:r>
    </w:p>
    <w:bookmarkEnd w:id="67"/>
    <w:bookmarkStart w:id="68" w:name="conclusions"/>
    <w:p>
      <w:pPr>
        <w:pStyle w:val="Heading2"/>
      </w:pPr>
      <w:r>
        <w:t xml:space="preserve">5.3 Conclusions</w:t>
      </w:r>
    </w:p>
    <w:p>
      <w:r>
        <w:br w:type="page"/>
      </w:r>
    </w:p>
    <w:bookmarkEnd w:id="68"/>
    <w:bookmarkEnd w:id="69"/>
    <w:bookmarkStart w:id="70" w:name="references"/>
    <w:p>
      <w:pPr>
        <w:pStyle w:val="Heading1"/>
      </w:pPr>
      <w:r>
        <w:t xml:space="preserve">6. References</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2023-03-17T23:03:52Z</dcterms:created>
  <dcterms:modified xsi:type="dcterms:W3CDTF">2023-03-17T23:03:52Z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3/17/23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