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37.png" ContentType="image/png"/>
  <Override PartName="/word/media/rId45.png" ContentType="image/png"/>
  <Override PartName="/word/media/rId67.png" ContentType="image/png"/>
  <Override PartName="/word/media/rId70.png" ContentType="image/png"/>
  <Override PartName="/word/media/rId73.png" ContentType="image/png"/>
  <Override PartName="/word/media/rId57.png" ContentType="image/png"/>
  <Override PartName="/word/media/rId52.png" ContentType="image/png"/>
  <Override PartName="/word/media/rId60.png" ContentType="image/png"/>
  <Override PartName="/word/media/rId77.png" ContentType="image/png"/>
  <Override PartName="/word/media/rId80.png" ContentType="image/png"/>
  <Override PartName="/word/media/rId83.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Dusty</w:t>
      </w:r>
      <w:r>
        <w:t xml:space="preserve"> </w:t>
      </w:r>
      <w:r>
        <w:t xml:space="preserve">Days</w:t>
      </w:r>
      <w:r>
        <w:t xml:space="preserve"> </w:t>
      </w:r>
      <w:r>
        <w:t xml:space="preserve">and</w:t>
      </w:r>
      <w:r>
        <w:t xml:space="preserve"> </w:t>
      </w:r>
      <w:r>
        <w:t xml:space="preserve">a</w:t>
      </w:r>
      <w:r>
        <w:t xml:space="preserve"> </w:t>
      </w:r>
      <w:r>
        <w:t xml:space="preserve">Vibrio</w:t>
      </w:r>
      <w:r>
        <w:t xml:space="preserve"> </w:t>
      </w:r>
      <w:r>
        <w:t xml:space="preserve">Craze:</w:t>
      </w:r>
      <w:r>
        <w:t xml:space="preserve"> </w:t>
      </w:r>
      <w:r>
        <w:t xml:space="preserve">The</w:t>
      </w:r>
      <w:r>
        <w:t xml:space="preserve"> </w:t>
      </w:r>
      <w:r>
        <w:t xml:space="preserve">Influence</w:t>
      </w:r>
      <w:r>
        <w:t xml:space="preserve"> </w:t>
      </w:r>
      <w:r>
        <w:t xml:space="preserve">of</w:t>
      </w:r>
      <w:r>
        <w:t xml:space="preserve"> </w:t>
      </w:r>
      <w:r>
        <w:t xml:space="preserve">Saharan</w:t>
      </w:r>
      <w:r>
        <w:t xml:space="preserve"> </w:t>
      </w:r>
      <w:r>
        <w:t xml:space="preserve">Dust</w:t>
      </w:r>
      <w:r>
        <w:t xml:space="preserve"> </w:t>
      </w:r>
      <w:r>
        <w:t xml:space="preserve">Deposition</w:t>
      </w:r>
      <w:r>
        <w:t xml:space="preserve"> </w:t>
      </w:r>
      <w:r>
        <w:t xml:space="preserve">on</w:t>
      </w:r>
      <w:r>
        <w:t xml:space="preserve"> </w:t>
      </w:r>
      <w:r>
        <w:t xml:space="preserve">Microbial</w:t>
      </w:r>
      <w:r>
        <w:t xml:space="preserve"> </w:t>
      </w:r>
      <w:r>
        <w:t xml:space="preserve">Communities</w:t>
      </w:r>
      <w:r>
        <w:t xml:space="preserve"> </w:t>
      </w:r>
      <w:r>
        <w:t xml:space="preserve">in</w:t>
      </w:r>
      <w:r>
        <w:t xml:space="preserve"> </w:t>
      </w:r>
      <w:r>
        <w:t xml:space="preserve">High</w:t>
      </w:r>
      <w:r>
        <w:t xml:space="preserve"> </w:t>
      </w:r>
      <w:r>
        <w:t xml:space="preserve">Nutrient</w:t>
      </w:r>
      <w:r>
        <w:t xml:space="preserve"> </w:t>
      </w:r>
      <w:r>
        <w:t xml:space="preserve">Coastal</w:t>
      </w:r>
      <w:r>
        <w:t xml:space="preserve"> </w:t>
      </w:r>
      <w:r>
        <w:t xml:space="preserve">Waters</w:t>
      </w:r>
    </w:p>
    <w:p>
      <w:pPr>
        <w:pStyle w:val="Author"/>
      </w:pPr>
      <w:r>
        <w:t xml:space="preserve">Nathan</w:t>
      </w:r>
      <w:r>
        <w:t xml:space="preserve"> </w:t>
      </w:r>
      <w:r>
        <w:t xml:space="preserve">Greenslit</w:t>
      </w:r>
    </w:p>
    <w:p>
      <w:pPr>
        <w:pStyle w:val="Date"/>
      </w:pPr>
      <w:r>
        <w:t xml:space="preserve">5/3/23</w:t>
      </w:r>
    </w:p>
    <w:bookmarkStart w:id="20"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r>
        <w:br w:type="page"/>
      </w:r>
    </w:p>
    <w:bookmarkEnd w:id="20"/>
    <w:bookmarkStart w:id="27" w:name="introduction"/>
    <w:p>
      <w:pPr>
        <w:pStyle w:val="Heading1"/>
      </w:pPr>
      <w:r>
        <w:t xml:space="preserve">Introduction</w:t>
      </w:r>
    </w:p>
    <w:bookmarkStart w:id="21" w:name="saharan-dust"/>
    <w:p>
      <w:pPr>
        <w:pStyle w:val="Heading2"/>
      </w:pPr>
      <w:r>
        <w:t xml:space="preserve">Saharan Dust</w:t>
      </w:r>
    </w:p>
    <w:p>
      <w:pPr>
        <w:pStyle w:val="FirstParagraph"/>
      </w:pPr>
      <w:r>
        <w:t xml:space="preserve">The Sahara Desert is a significant source of atmospheric dust, eliciting an estimated one billion metric tons each year</w:t>
      </w:r>
      <w:r>
        <w:t xml:space="preserve"> </w:t>
      </w:r>
      <w:r>
        <w:t xml:space="preserve">(d’Almeida 1986)</w:t>
      </w:r>
      <w:r>
        <w:t xml:space="preserve">. Annually, plumes of this dust travel across the Atlantic via easterly trade winds to be deposited in the surface waters of the Atlantic, Caribbean, and Gulf of Mexico. These dust events are highly episodic, occurring 3- 4 times a year typically in the summer months and lasting 3-5 days each. Dust aerosols can harbor a wide diversity of bacteria</w:t>
      </w:r>
      <w:r>
        <w:t xml:space="preserve"> </w:t>
      </w:r>
      <w:r>
        <w:t xml:space="preserve">(Kellogg et al. 2004)</w:t>
      </w:r>
      <w:r>
        <w:t xml:space="preserve">, fungi</w:t>
      </w:r>
      <w:r>
        <w:t xml:space="preserve"> </w:t>
      </w:r>
      <w:r>
        <w:t xml:space="preserve">(Ramírez-Camejo et al. 2022)</w:t>
      </w:r>
      <w:r>
        <w:t xml:space="preserve">, virus-like particles</w:t>
      </w:r>
      <w:r>
        <w:t xml:space="preserve"> </w:t>
      </w:r>
      <w:r>
        <w:t xml:space="preserve">(Griffin et al. 2001)</w:t>
      </w:r>
      <w:r>
        <w:t xml:space="preserve">, and minerals</w:t>
      </w:r>
      <w:r>
        <w:t xml:space="preserve"> </w:t>
      </w:r>
      <w:r>
        <w:t xml:space="preserve">(Formenti 2003)</w:t>
      </w:r>
      <w:r>
        <w:t xml:space="preserve">. These aerosols also serve as a significant source of macro and micronutrients such as phosphate, nitrate, and iron</w:t>
      </w:r>
      <w:r>
        <w:t xml:space="preserve"> </w:t>
      </w:r>
      <w:r>
        <w:t xml:space="preserve">(Mills et al. 2004; Savoie, Prospero, and Saltzman 1989; Graham and Duce 1982)</w:t>
      </w:r>
      <w:r>
        <w:t xml:space="preserve">. This addition of otherwise limiting resources can lead to rapid and potentially harmful blooms of certain microbial groups</w:t>
      </w:r>
      <w:r>
        <w:t xml:space="preserve"> </w:t>
      </w:r>
      <w:r>
        <w:t xml:space="preserve">(Lenes et al. 2008; Westrich et al. 2016 ; Westrich et al. 2016)</w:t>
      </w:r>
      <w:r>
        <w:t xml:space="preserve">.</w:t>
      </w:r>
    </w:p>
    <w:bookmarkEnd w:id="21"/>
    <w:bookmarkStart w:id="24"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2"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w:t>
      </w:r>
      <w:r>
        <w:t xml:space="preserve"> </w:t>
      </w:r>
      <w:r>
        <w:t xml:space="preserve">(Baker-Austin et al. 2018)</w:t>
      </w:r>
      <w:r>
        <w:t xml:space="preserve">. Some species also pose a threat to marine health, inducing mortality in oyster and clam larvae (</w:t>
      </w:r>
      <w:r>
        <w:rPr>
          <w:iCs/>
          <w:i/>
        </w:rPr>
        <w:t xml:space="preserve">V. tubiashii, V. coralliilyticus</w:t>
      </w:r>
      <w:r>
        <w:t xml:space="preserve">), bacterial bleaching and rapid tissue loss in corals (</w:t>
      </w:r>
      <w:r>
        <w:rPr>
          <w:iCs/>
          <w:i/>
        </w:rPr>
        <w:t xml:space="preserve">V. mediterranei, V. coralliilyticus</w:t>
      </w:r>
      <w:r>
        <w:t xml:space="preserve">)</w:t>
      </w:r>
      <w:r>
        <w:t xml:space="preserve"> </w:t>
      </w:r>
      <w:r>
        <w:t xml:space="preserve">(Richards et al. 2015; Rosenberg and Falkovitz 2004; Ben-Haim et al. 2003)</w:t>
      </w:r>
      <w:r>
        <w:t xml:space="preserve">, and mortality in important aquaculture species such as penaeid shrimp (</w:t>
      </w:r>
      <w:r>
        <w:rPr>
          <w:iCs/>
          <w:i/>
        </w:rPr>
        <w:t xml:space="preserve">V. parahaemolyticus</w:t>
      </w:r>
      <w:r>
        <w:t xml:space="preserve">) and sea breams (</w:t>
      </w:r>
      <w:r>
        <w:rPr>
          <w:iCs/>
          <w:i/>
        </w:rPr>
        <w:t xml:space="preserve">V. harveyi)</w:t>
      </w:r>
      <w:r>
        <w:t xml:space="preserve"> </w:t>
      </w:r>
      <w:r>
        <w:t xml:space="preserve">(Tran et al. 2013; Haldar et al. 2010)</w:t>
      </w:r>
      <w:r>
        <w:t xml:space="preserve"> </w:t>
      </w:r>
      <w:r>
        <w:t xml:space="preserve">among others.</w:t>
      </w:r>
    </w:p>
    <w:bookmarkEnd w:id="22"/>
    <w:bookmarkStart w:id="23"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It is unknown how comparable these findings are to coastal areas with higher ambient nutrient levels than these oligotrophic environments.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3"/>
    <w:bookmarkEnd w:id="24"/>
    <w:bookmarkStart w:id="25"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5"/>
    <w:bookmarkStart w:id="26" w:name="questionshypotheses-to-be-addressed"/>
    <w:p>
      <w:pPr>
        <w:pStyle w:val="Heading2"/>
      </w:pPr>
      <w:r>
        <w:t xml:space="preserve">Questions/Hypotheses to be addressed</w:t>
      </w:r>
    </w:p>
    <w:p>
      <w:pPr>
        <w:pStyle w:val="FirstParagraph"/>
      </w:pPr>
      <w:r>
        <w:rPr>
          <w:bCs/>
          <w:b/>
        </w:rPr>
        <w:t xml:space="preserve">How do Saharan dust events influence Vibrio populations in high nutrient coastal waters?</w:t>
      </w:r>
    </w:p>
    <w:p>
      <w:pPr>
        <w:pStyle w:val="BodyText"/>
      </w:pP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bookmarkEnd w:id="26"/>
    <w:bookmarkEnd w:id="27"/>
    <w:bookmarkStart w:id="36" w:name="methods"/>
    <w:p>
      <w:pPr>
        <w:pStyle w:val="Heading1"/>
      </w:pPr>
      <w:r>
        <w:t xml:space="preserve">Methods</w:t>
      </w:r>
    </w:p>
    <w:bookmarkStart w:id="28"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(defined here as the 2022 average from monthly observations). Blind Oso Bay is a shallow tributary that is popular amongst wadefisherman and kayakers. The Bay is often impacted by fluctuating salinities and high levels of nutrients (average:13.03 µM nitrate+nitrite, 4.44 µM orthophosphate) and chlorophyll due to its proximity to wastewater treatment discharge (Wetz, 2014).</w:t>
      </w:r>
      <w:r>
        <w:softHyphen/>
      </w:r>
      <w:r>
        <w:t xml:space="preserve"> Additionally, the Bay has persistent issues with high levels of fecal indicator bacteria, placing it on the U.S. impaired waters list (Nicolau &amp; Hill, 2014, Texas Commission on Environmental Quality, 2022). The residential canal system (average: 0.69µM nitrate+nitrite, 0.20 µM orthophosphate), and can also be impacted by high nutrients and chlorophyll from storm water runoff; salinity is primarily driven by precipitation. The Gulf site is characterized by constant salinities (~36) and relatively low baseline nutrient levels (average: 0.19µM nitrate+nitrite and 0.36µM orthophosphate).</w:t>
      </w:r>
    </w:p>
    <w:bookmarkEnd w:id="28"/>
    <w:bookmarkStart w:id="31" w:name="sample-collection-and-processing"/>
    <w:p>
      <w:pPr>
        <w:pStyle w:val="Heading2"/>
      </w:pPr>
      <w:r>
        <w:t xml:space="preserve">Sample Collection and Processing</w:t>
      </w:r>
    </w:p>
    <w:bookmarkStart w:id="29"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 To evalulate contamination in the lab, negative controls (DI and MilliQ Water) were introduced at sample collection, filtration, DNA Extraction, and downstream quantitative polymerase chain reaction (qPCR).</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29"/>
    <w:bookmarkStart w:id="30"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qPCR method. Estimates were made using genus-specific quantitative polymerase chain reaction (qPCR)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p>
    <w:bookmarkEnd w:id="30"/>
    <w:bookmarkEnd w:id="31"/>
    <w:bookmarkStart w:id="35" w:name="data-import-and-cleaning"/>
    <w:p>
      <w:pPr>
        <w:pStyle w:val="Heading2"/>
      </w:pPr>
      <w:r>
        <w:t xml:space="preserve">Data import and cleaning</w:t>
      </w:r>
    </w:p>
    <w:p>
      <w:pPr>
        <w:pStyle w:val="FirstParagraph"/>
      </w:pPr>
      <w:r>
        <w:t xml:space="preserve">This project works with three primary data sets. (1) Enumeration of Vibrio bacteria as copies/mL from qPCR (copies_master.csv), (2) Dust concentrations as aerosol optical thickness (AOT) derived from the Naval Research Lab (nrl_conc.csv), and (3) Environmental Parameters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2"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Samples that were non-detect recieved a value of 0 copies/mL. A date column was also added for each sample.</w:t>
      </w:r>
    </w:p>
    <w:bookmarkEnd w:id="32"/>
    <w:bookmarkStart w:id="33"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converted timepoints from UTC to CST/CDT and created different dust permutations (individual time points, sums by day, and average by day). Because samples were collected between 0700 and 1100, a 24h composite permutation was made. As an example, Dust AOD for the morning of July 12th would be calculated using the last two time points of the 11th, and the first two time points of the 12th. This permutation is what was used for all downstream analyses.</w:t>
      </w:r>
    </w:p>
    <w:bookmarkEnd w:id="33"/>
    <w:bookmarkStart w:id="34" w:name="cleaning-of-environment-data-set"/>
    <w:p>
      <w:pPr>
        <w:pStyle w:val="Heading4"/>
      </w:pPr>
      <w:r>
        <w:t xml:space="preserve">Cleaning of Environment data set</w:t>
      </w:r>
    </w:p>
    <w:p>
      <w:pPr>
        <w:pStyle w:val="FirstParagraph"/>
      </w:pPr>
      <w:r>
        <w:t xml:space="preserve">This data set did not require any cleaning.</w:t>
      </w:r>
    </w:p>
    <w:bookmarkEnd w:id="34"/>
    <w:bookmarkEnd w:id="35"/>
    <w:bookmarkEnd w:id="36"/>
    <w:bookmarkStart w:id="89" w:name="results"/>
    <w:p>
      <w:pPr>
        <w:pStyle w:val="Heading1"/>
      </w:pPr>
      <w:r>
        <w:t xml:space="preserve">Results</w:t>
      </w:r>
    </w:p>
    <w:bookmarkStart w:id="49" w:name="exploratory-analysis"/>
    <w:p>
      <w:pPr>
        <w:pStyle w:val="Heading2"/>
      </w:pPr>
      <w:r>
        <w:t xml:space="preserve">Exploratory Analysis</w:t>
      </w:r>
    </w:p>
    <w:bookmarkStart w:id="40" w:name="dust-aod"/>
    <w:p>
      <w:pPr>
        <w:pStyle w:val="Heading3"/>
      </w:pPr>
      <w:r>
        <w:t xml:space="preserve">Dust AOD</w:t>
      </w:r>
    </w:p>
    <w:p>
      <w:pPr>
        <w:pStyle w:val="FirstParagraph"/>
      </w:pPr>
      <w:r>
        <w:t xml:space="preserve">This figure depicts the summed dust concentration 24hr prior to sample collection (time points 13hr–&gt; 7hr the next day) across the daily time series. The daily time series captured two dust events. One light event starting on the 13th of July, where AOD reached 0.2, and a much heavier dust event from the 16th to the 18th of July with AOD = 0.55-0.57. Dust AOD returned to lower concentrations following the time series.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6603"/>
                  <wp:effectExtent b="0" l="0" r="0" t="0"/>
                  <wp:docPr descr="" title="" id="38" name="Picture"/>
                  <a:graphic>
                    <a:graphicData uri="http://schemas.openxmlformats.org/drawingml/2006/picture">
                      <pic:pic>
                        <pic:nvPicPr>
                          <pic:cNvPr descr="../../results/plots/dust.png" id="39" name="Picture"/>
                          <pic:cNvPicPr>
                            <a:picLocks noChangeArrowheads="1" noChangeAspect="1"/>
                          </pic:cNvPicPr>
                        </pic:nvPicPr>
                        <pic:blipFill>
                          <a:blip r:embed="rId37"/>
                          <a:stretch>
                            <a:fillRect/>
                          </a:stretch>
                        </pic:blipFill>
                        <pic:spPr bwMode="auto">
                          <a:xfrm>
                            <a:off x="0" y="0"/>
                            <a:ext cx="5334000" cy="3296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Dust Aerosol Optical Density (AOD) over daily time series</w:t>
            </w:r>
          </w:p>
        </w:tc>
      </w:tr>
    </w:tbl>
    <w:bookmarkEnd w:id="40"/>
    <w:bookmarkStart w:id="44" w:name="vibrio-enumeration-1"/>
    <w:p>
      <w:pPr>
        <w:pStyle w:val="Heading3"/>
      </w:pPr>
      <w:r>
        <w:t xml:space="preserve">Vibrio Enumeration</w:t>
      </w:r>
    </w:p>
    <w:p>
      <w:pPr>
        <w:pStyle w:val="FirstParagraph"/>
      </w:pPr>
      <w:r>
        <w:t xml:space="preserve">This figure depicts total enumerated Vibrio as copies per mL, with color by site. There is a noticeable shift in</w:t>
      </w:r>
      <w:r>
        <w:t xml:space="preserve"> </w:t>
      </w:r>
      <w:r>
        <w:rPr>
          <w:iCs/>
          <w:i/>
        </w:rPr>
        <w:t xml:space="preserve">Vibrio</w:t>
      </w:r>
      <w:r>
        <w:t xml:space="preserve"> </w:t>
      </w:r>
      <w:r>
        <w:t xml:space="preserve">growth at the Gulf, a less noticeable but still present shift in Blind Oso Bay, and little fluctuation at the Canals.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6603"/>
                  <wp:effectExtent b="0" l="0" r="0" t="0"/>
                  <wp:docPr descr="" title="" id="42" name="Picture"/>
                  <a:graphic>
                    <a:graphicData uri="http://schemas.openxmlformats.org/drawingml/2006/picture">
                      <pic:pic>
                        <pic:nvPicPr>
                          <pic:cNvPr descr="../../results/plots/copies.png" id="43" name="Picture"/>
                          <pic:cNvPicPr>
                            <a:picLocks noChangeArrowheads="1" noChangeAspect="1"/>
                          </pic:cNvPicPr>
                        </pic:nvPicPr>
                        <pic:blipFill>
                          <a:blip r:embed="rId41"/>
                          <a:stretch>
                            <a:fillRect/>
                          </a:stretch>
                        </pic:blipFill>
                        <pic:spPr bwMode="auto">
                          <a:xfrm>
                            <a:off x="0" y="0"/>
                            <a:ext cx="5334000" cy="3296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Vibrio gene copies/mL over daily time series across site</w:t>
            </w:r>
          </w:p>
        </w:tc>
      </w:tr>
    </w:tbl>
    <w:bookmarkEnd w:id="44"/>
    <w:bookmarkStart w:id="48" w:name="environmental-parameters"/>
    <w:p>
      <w:pPr>
        <w:pStyle w:val="Heading3"/>
      </w:pPr>
      <w:r>
        <w:t xml:space="preserve">Environmental Parameters</w:t>
      </w:r>
    </w:p>
    <w:p>
      <w:pPr>
        <w:pStyle w:val="FirstParagraph"/>
      </w:pPr>
      <w:r>
        <w:t xml:space="preserve">Environmental parameters were site-specific. Temperature and salinities were consistent and high at the Canals. While salinity remained relatively constant at the Gulf, temperature was observed to drop starting on the 12th of July, possibly due to a coastal upwelling event. Blind Oso exhibited fluctuations in both temperature and salinity within the daily time series with a drop in salinity from 42 to 20 within an eight day period.</w:t>
      </w:r>
    </w:p>
    <w:p>
      <w:pPr>
        <w:pStyle w:val="BodyText"/>
      </w:pPr>
      <w:r>
        <w:t xml:space="preserve">Nutrients (orthophosphate and nitrate+nitrite) were observed to increase following dust deposition at both Blind Oso and the Canals site, with the former having more dramatic peaks. Nutrient levels at the Gulf remained relatively constant throughout the time series. Dissolved organic matter (DOC, DON), TDN, and Chlorophyll exhibited distinct peaks in the latter half of the time series at Blind Oso, while less clear trends were seen in the other two sites.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46" name="Picture"/>
                  <a:graphic>
                    <a:graphicData uri="http://schemas.openxmlformats.org/drawingml/2006/picture">
                      <pic:pic>
                        <pic:nvPicPr>
                          <pic:cNvPr descr="../../results/plots/env.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Envonmental parameters across daily time series with color by site(Blind Oso = green, Canals = red, and the Gulf = Blue</w:t>
            </w:r>
          </w:p>
        </w:tc>
      </w:tr>
    </w:tbl>
    <w:bookmarkEnd w:id="48"/>
    <w:bookmarkEnd w:id="49"/>
    <w:bookmarkStart w:id="56" w:name="statistical-analysis"/>
    <w:p>
      <w:pPr>
        <w:pStyle w:val="Heading2"/>
      </w:pPr>
      <w:r>
        <w:t xml:space="preserve">Statistical Analysis</w:t>
      </w:r>
    </w:p>
    <w:bookmarkStart w:id="50" w:name="distributions"/>
    <w:p>
      <w:pPr>
        <w:pStyle w:val="Heading3"/>
      </w:pPr>
      <w:r>
        <w:t xml:space="preserve">Distributions</w:t>
      </w:r>
    </w:p>
    <w:p>
      <w:pPr>
        <w:pStyle w:val="FirstParagraph"/>
      </w:pPr>
      <w:r>
        <w:t xml:space="preserve">Density and Q-Q plots as well as Shapiro-Wilk’s tests were conducted to assess distribution of the data. Any data that did not have a normal distribution was log-transformed and the test was run again. Variables that continue to fail normality will have non-parametric tests run on them.</w:t>
      </w:r>
      <w:r>
        <w:t xml:space="preserve"> </w:t>
      </w:r>
    </w:p>
    <w:bookmarkEnd w:id="50"/>
    <w:bookmarkStart w:id="51" w:name="cross-correlation-analysis"/>
    <w:p>
      <w:pPr>
        <w:pStyle w:val="Heading3"/>
      </w:pPr>
      <w:r>
        <w:t xml:space="preserve">Cross-correlation Analysis</w:t>
      </w:r>
    </w:p>
    <w:p>
      <w:pPr>
        <w:pStyle w:val="FirstParagraph"/>
      </w:pPr>
      <w:r>
        <w:t xml:space="preserve">Previous literature has shown that Vibrio respond 12-24 hours following dust deposition events</w:t>
      </w:r>
      <w:r>
        <w:t xml:space="preserve"> </w:t>
      </w:r>
      <w:r>
        <w:t xml:space="preserve">(Westrich et al. 2016)</w:t>
      </w:r>
      <w:r>
        <w:t xml:space="preserve">.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(found in supplemtary scripts) showed that BO has a significant lag relationship a value of -1. In other words, dust occurs, and one day later, we see a response in</w:t>
      </w:r>
      <w:r>
        <w:t xml:space="preserve"> </w:t>
      </w:r>
      <w:r>
        <w:rPr>
          <w:iCs/>
          <w:i/>
        </w:rPr>
        <w:t xml:space="preserve">Vibrio</w:t>
      </w:r>
      <w:r>
        <w:t xml:space="preserve"> </w:t>
      </w:r>
      <w:r>
        <w:t xml:space="preserve">gene copies per mL. C2 has a lag at -2, and RD at -1.</w:t>
      </w:r>
    </w:p>
    <w:bookmarkEnd w:id="51"/>
    <w:bookmarkStart w:id="55" w:name="correlation-matrices"/>
    <w:p>
      <w:pPr>
        <w:pStyle w:val="Heading3"/>
      </w:pPr>
      <w:r>
        <w:t xml:space="preserve">Correlation Matrices</w:t>
      </w:r>
    </w:p>
    <w:p>
      <w:pPr>
        <w:pStyle w:val="FirstParagraph"/>
      </w:pPr>
      <w:r>
        <w:t xml:space="preserve">Correlation matrices were run on each variable (in order of left to right: temperature, salinity, nitrate+nitrite, orthophosphate, dissolved organic nitrogen, dissolved organic carbon, total dissolved nitrogen, chlorophyll,</w:t>
      </w:r>
      <w:r>
        <w:t xml:space="preserve"> </w:t>
      </w:r>
      <w:r>
        <w:rPr>
          <w:iCs/>
          <w:i/>
        </w:rPr>
        <w:t xml:space="preserve">Vibrio</w:t>
      </w:r>
      <w:r>
        <w:t xml:space="preserve"> </w:t>
      </w:r>
      <w:r>
        <w:t xml:space="preserve">gene copies/mL, dust, and lagged dust for growth delay analysis). A majority of the environmental variables had a non-normal distribution, thus Spearman’s Correlation (indicated by the color gradient) was used to examine the relationship between the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53" name="Picture"/>
                  <a:graphic>
                    <a:graphicData uri="http://schemas.openxmlformats.org/drawingml/2006/picture">
                      <pic:pic>
                        <pic:nvPicPr>
                          <pic:cNvPr descr="images/000009-02.png" id="54" name="Picture"/>
                          <pic:cNvPicPr>
                            <a:picLocks noChangeArrowheads="1" noChangeAspect="1"/>
                          </pic:cNvPicPr>
                        </pic:nvPicPr>
                        <pic:blipFill>
                          <a:blip r:embed="rId52"/>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Correlation matrices of environmental parameteres by site.</w:t>
            </w:r>
          </w:p>
        </w:tc>
      </w:tr>
    </w:tbl>
    <w:bookmarkEnd w:id="55"/>
    <w:bookmarkEnd w:id="56"/>
    <w:bookmarkStart w:id="88" w:name="full-analysis"/>
    <w:p>
      <w:pPr>
        <w:pStyle w:val="Heading2"/>
      </w:pPr>
      <w:r>
        <w:t xml:space="preserve">Full analysis</w:t>
      </w:r>
    </w:p>
    <w:bookmarkStart w:id="63" w:name="linear-regression-models"/>
    <w:p>
      <w:pPr>
        <w:pStyle w:val="Heading3"/>
      </w:pPr>
      <w:r>
        <w:t xml:space="preserve">Linear Regression Models</w:t>
      </w:r>
    </w:p>
    <w:p>
      <w:pPr>
        <w:pStyle w:val="FirstParagraph"/>
      </w:pPr>
      <w:r>
        <w:t xml:space="preserve">Linear regression models between dust AOD and copies per mL of Vibrio. R2 values indicates the strength of the linear model, and the Pearson Correlation Coefficient indicates the strength of the linear relationship between the two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7836"/>
                  <wp:effectExtent b="0" l="0" r="0" t="0"/>
                  <wp:docPr descr="" title="" id="58" name="Picture"/>
                  <a:graphic>
                    <a:graphicData uri="http://schemas.openxmlformats.org/drawingml/2006/picture">
                      <pic:pic>
                        <pic:nvPicPr>
                          <pic:cNvPr descr="../../results/plots/uni.png" id="59" name="Picture"/>
                          <pic:cNvPicPr>
                            <a:picLocks noChangeArrowheads="1" noChangeAspect="1"/>
                          </pic:cNvPicPr>
                        </pic:nvPicPr>
                        <pic:blipFill>
                          <a:blip r:embed="rId57"/>
                          <a:stretch>
                            <a:fillRect/>
                          </a:stretch>
                        </pic:blipFill>
                        <pic:spPr bwMode="auto">
                          <a:xfrm>
                            <a:off x="0" y="0"/>
                            <a:ext cx="5334000" cy="32978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Linear Regression Output for Dust AOD (log-transformed) and Vibrio gene copies/mL</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111341"/>
                  <wp:effectExtent b="0" l="0" r="0" t="0"/>
                  <wp:docPr descr="" title="" id="61" name="Picture"/>
                  <a:graphic>
                    <a:graphicData uri="http://schemas.openxmlformats.org/drawingml/2006/picture">
                      <pic:pic>
                        <pic:nvPicPr>
                          <pic:cNvPr descr="images/Screen%20Shot%202023-04-19%20at%201.33.37%20PM.png" id="62" name="Picture"/>
                          <pic:cNvPicPr>
                            <a:picLocks noChangeArrowheads="1" noChangeAspect="1"/>
                          </pic:cNvPicPr>
                        </pic:nvPicPr>
                        <pic:blipFill>
                          <a:blip r:embed="rId60"/>
                          <a:stretch>
                            <a:fillRect/>
                          </a:stretch>
                        </pic:blipFill>
                        <pic:spPr bwMode="auto">
                          <a:xfrm>
                            <a:off x="0" y="0"/>
                            <a:ext cx="3495675" cy="1111341"/>
                          </a:xfrm>
                          <a:prstGeom prst="rect">
                            <a:avLst/>
                          </a:prstGeom>
                          <a:noFill/>
                          <a:ln w="9525">
                            <a:noFill/>
                            <a:headEnd/>
                            <a:tailEnd/>
                          </a:ln>
                        </pic:spPr>
                      </pic:pic>
                    </a:graphicData>
                  </a:graphic>
                </wp:inline>
              </w:drawing>
            </w:r>
          </w:p>
          <w:p>
            <w:pPr>
              <w:jc w:val="center"/>
            </w:pPr>
            <w:pPr>
              <w:jc w:val="start"/>
              <w:spacing w:before="200"/>
              <w:pStyle w:val="ImageCaption"/>
            </w:pPr>
            <w:r>
              <w:t xml:space="preserve">Table 1: Uni-variate Linear Regression Model Metrics</w:t>
            </w:r>
          </w:p>
        </w:tc>
      </w:tr>
    </w:tbl>
    <w:bookmarkEnd w:id="63"/>
    <w:bookmarkStart w:id="87" w:name="multi-variate-models"/>
    <w:p>
      <w:pPr>
        <w:pStyle w:val="Heading3"/>
      </w:pPr>
      <w:r>
        <w:t xml:space="preserve">Multi-variate Models</w:t>
      </w:r>
    </w:p>
    <w:bookmarkStart w:id="76" w:name="random-forest"/>
    <w:p>
      <w:pPr>
        <w:pStyle w:val="Heading4"/>
      </w:pPr>
      <w:r>
        <w:t xml:space="preserve">Random Forest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779401"/>
                  <wp:effectExtent b="0" l="0" r="0" t="0"/>
                  <wp:docPr descr="" title="" id="65" name="Picture"/>
                  <a:graphic>
                    <a:graphicData uri="http://schemas.openxmlformats.org/drawingml/2006/picture">
                      <pic:pic>
                        <pic:nvPicPr>
                          <pic:cNvPr descr="images/Screen%20Shot%202023-04-19%20at%202.08.25%20PM.png" id="66" name="Picture"/>
                          <pic:cNvPicPr>
                            <a:picLocks noChangeArrowheads="1" noChangeAspect="1"/>
                          </pic:cNvPicPr>
                        </pic:nvPicPr>
                        <pic:blipFill>
                          <a:blip r:embed="rId64"/>
                          <a:stretch>
                            <a:fillRect/>
                          </a:stretch>
                        </pic:blipFill>
                        <pic:spPr bwMode="auto">
                          <a:xfrm>
                            <a:off x="0" y="0"/>
                            <a:ext cx="3495675" cy="779401"/>
                          </a:xfrm>
                          <a:prstGeom prst="rect">
                            <a:avLst/>
                          </a:prstGeom>
                          <a:noFill/>
                          <a:ln w="9525">
                            <a:noFill/>
                            <a:headEnd/>
                            <a:tailEnd/>
                          </a:ln>
                        </pic:spPr>
                      </pic:pic>
                    </a:graphicData>
                  </a:graphic>
                </wp:inline>
              </w:drawing>
            </w:r>
          </w:p>
          <w:p>
            <w:pPr>
              <w:jc w:val="center"/>
            </w:pPr>
            <w:pPr>
              <w:jc w:val="start"/>
              <w:spacing w:before="200"/>
              <w:pStyle w:val="ImageCaption"/>
            </w:pPr>
            <w:r>
              <w:t xml:space="preserve">Table 2: Random Forest Model Metrics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68" name="Picture"/>
                  <a:graphic>
                    <a:graphicData uri="http://schemas.openxmlformats.org/drawingml/2006/picture">
                      <pic:pic>
                        <pic:nvPicPr>
                          <pic:cNvPr descr="../../results/plots/rf_bo.png" id="69" name="Picture"/>
                          <pic:cNvPicPr>
                            <a:picLocks noChangeArrowheads="1" noChangeAspect="1"/>
                          </pic:cNvPicPr>
                        </pic:nvPicPr>
                        <pic:blipFill>
                          <a:blip r:embed="rId67"/>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Vibrio gene copies/mL at Blind Oso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71" name="Picture"/>
                  <a:graphic>
                    <a:graphicData uri="http://schemas.openxmlformats.org/drawingml/2006/picture">
                      <pic:pic>
                        <pic:nvPicPr>
                          <pic:cNvPr descr="../../results/plots/rf_c2.png" id="72" name="Picture"/>
                          <pic:cNvPicPr>
                            <a:picLocks noChangeArrowheads="1" noChangeAspect="1"/>
                          </pic:cNvPicPr>
                        </pic:nvPicPr>
                        <pic:blipFill>
                          <a:blip r:embed="rId7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Vibrio gene copies/mL at Canals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74" name="Picture"/>
                  <a:graphic>
                    <a:graphicData uri="http://schemas.openxmlformats.org/drawingml/2006/picture">
                      <pic:pic>
                        <pic:nvPicPr>
                          <pic:cNvPr descr="../../results/plots/rf_rd.png" id="75" name="Picture"/>
                          <pic:cNvPicPr>
                            <a:picLocks noChangeArrowheads="1" noChangeAspect="1"/>
                          </pic:cNvPicPr>
                        </pic:nvPicPr>
                        <pic:blipFill>
                          <a:blip r:embed="rId7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Vibrio gene copies/mL at the Gulf predicted by Random Forest</w:t>
            </w:r>
          </w:p>
        </w:tc>
      </w:tr>
    </w:tbl>
    <w:bookmarkEnd w:id="76"/>
    <w:bookmarkStart w:id="86" w:name="multi-varaiate-linear-regressions"/>
    <w:p>
      <w:pPr>
        <w:pStyle w:val="Heading4"/>
      </w:pPr>
      <w:r>
        <w:t xml:space="preserve">Multi-varaiate Linear Regressions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322687"/>
                  <wp:effectExtent b="0" l="0" r="0" t="0"/>
                  <wp:docPr descr="" title="" id="78" name="Picture"/>
                  <a:graphic>
                    <a:graphicData uri="http://schemas.openxmlformats.org/drawingml/2006/picture">
                      <pic:pic>
                        <pic:nvPicPr>
                          <pic:cNvPr descr="images/Screen%20Shot%202023-04-19%20at%201.36.29%20PM.png" id="79" name="Picture"/>
                          <pic:cNvPicPr>
                            <a:picLocks noChangeArrowheads="1" noChangeAspect="1"/>
                          </pic:cNvPicPr>
                        </pic:nvPicPr>
                        <pic:blipFill>
                          <a:blip r:embed="rId77"/>
                          <a:stretch>
                            <a:fillRect/>
                          </a:stretch>
                        </pic:blipFill>
                        <pic:spPr bwMode="auto">
                          <a:xfrm>
                            <a:off x="0" y="0"/>
                            <a:ext cx="3495675" cy="1322687"/>
                          </a:xfrm>
                          <a:prstGeom prst="rect">
                            <a:avLst/>
                          </a:prstGeom>
                          <a:noFill/>
                          <a:ln w="9525">
                            <a:noFill/>
                            <a:headEnd/>
                            <a:tailEnd/>
                          </a:ln>
                        </pic:spPr>
                      </pic:pic>
                    </a:graphicData>
                  </a:graphic>
                </wp:inline>
              </w:drawing>
            </w:r>
          </w:p>
          <w:p>
            <w:pPr>
              <w:jc w:val="center"/>
            </w:pPr>
            <w:pPr>
              <w:jc w:val="start"/>
              <w:spacing w:before="200"/>
              <w:pStyle w:val="ImageCaption"/>
            </w:pPr>
            <w:r>
              <w:t xml:space="preserve">Table 3: Blind Oso: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18922"/>
                  <wp:effectExtent b="0" l="0" r="0" t="0"/>
                  <wp:docPr descr="" title="" id="81" name="Picture"/>
                  <a:graphic>
                    <a:graphicData uri="http://schemas.openxmlformats.org/drawingml/2006/picture">
                      <pic:pic>
                        <pic:nvPicPr>
                          <pic:cNvPr descr="images/Screen%20Shot%202023-04-19%20at%201.37.02%20PM.png" id="82" name="Picture"/>
                          <pic:cNvPicPr>
                            <a:picLocks noChangeArrowheads="1" noChangeAspect="1"/>
                          </pic:cNvPicPr>
                        </pic:nvPicPr>
                        <pic:blipFill>
                          <a:blip r:embed="rId80"/>
                          <a:stretch>
                            <a:fillRect/>
                          </a:stretch>
                        </pic:blipFill>
                        <pic:spPr bwMode="auto">
                          <a:xfrm>
                            <a:off x="0" y="0"/>
                            <a:ext cx="3495675" cy="1218922"/>
                          </a:xfrm>
                          <a:prstGeom prst="rect">
                            <a:avLst/>
                          </a:prstGeom>
                          <a:noFill/>
                          <a:ln w="9525">
                            <a:noFill/>
                            <a:headEnd/>
                            <a:tailEnd/>
                          </a:ln>
                        </pic:spPr>
                      </pic:pic>
                    </a:graphicData>
                  </a:graphic>
                </wp:inline>
              </w:drawing>
            </w:r>
          </w:p>
          <w:p>
            <w:pPr>
              <w:jc w:val="center"/>
            </w:pPr>
            <w:pPr>
              <w:jc w:val="start"/>
              <w:spacing w:before="200"/>
              <w:pStyle w:val="ImageCaption"/>
            </w:pPr>
            <w:r>
              <w:t xml:space="preserve">Table 4: Canals: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28045"/>
                  <wp:effectExtent b="0" l="0" r="0" t="0"/>
                  <wp:docPr descr="" title="" id="84" name="Picture"/>
                  <a:graphic>
                    <a:graphicData uri="http://schemas.openxmlformats.org/drawingml/2006/picture">
                      <pic:pic>
                        <pic:nvPicPr>
                          <pic:cNvPr descr="images/Screen%20Shot%202023-04-19%20at%201.37.21%20PM.png" id="85" name="Picture"/>
                          <pic:cNvPicPr>
                            <a:picLocks noChangeArrowheads="1" noChangeAspect="1"/>
                          </pic:cNvPicPr>
                        </pic:nvPicPr>
                        <pic:blipFill>
                          <a:blip r:embed="rId83"/>
                          <a:stretch>
                            <a:fillRect/>
                          </a:stretch>
                        </pic:blipFill>
                        <pic:spPr bwMode="auto">
                          <a:xfrm>
                            <a:off x="0" y="0"/>
                            <a:ext cx="3495675" cy="1228045"/>
                          </a:xfrm>
                          <a:prstGeom prst="rect">
                            <a:avLst/>
                          </a:prstGeom>
                          <a:noFill/>
                          <a:ln w="9525">
                            <a:noFill/>
                            <a:headEnd/>
                            <a:tailEnd/>
                          </a:ln>
                        </pic:spPr>
                      </pic:pic>
                    </a:graphicData>
                  </a:graphic>
                </wp:inline>
              </w:drawing>
            </w:r>
          </w:p>
          <w:p>
            <w:pPr>
              <w:jc w:val="center"/>
            </w:pPr>
            <w:pPr>
              <w:jc w:val="start"/>
              <w:spacing w:before="200"/>
              <w:pStyle w:val="ImageCaption"/>
            </w:pPr>
            <w:r>
              <w:t xml:space="preserve">Table 5: Gulf: Comparative linear regression analysis of Vibrio growth between six operational models.</w:t>
            </w:r>
          </w:p>
        </w:tc>
      </w:tr>
    </w:tbl>
    <w:p>
      <w:pPr>
        <w:pStyle w:val="BodyText"/>
      </w:pPr>
      <w:r>
        <w:t xml:space="preserve">Multi-variate models that included dust, water chemistry, nutrients, and DOM (Model 5) resulted in the best performance, with mean RMSE values much lower than the Null Model.</w:t>
      </w:r>
    </w:p>
    <w:bookmarkEnd w:id="86"/>
    <w:bookmarkEnd w:id="87"/>
    <w:bookmarkEnd w:id="88"/>
    <w:bookmarkEnd w:id="89"/>
    <w:bookmarkStart w:id="93" w:name="discussion"/>
    <w:p>
      <w:pPr>
        <w:pStyle w:val="Heading1"/>
      </w:pPr>
      <w:r>
        <w:t xml:space="preserve">Discussion</w:t>
      </w:r>
    </w:p>
    <w:p>
      <w:pPr>
        <w:pStyle w:val="FirstParagraph"/>
      </w:pPr>
      <w:r>
        <w:t xml:space="preserve">This study aimed to examine microbial response to Saharan dust deposition in high nutrient coastal waters, specifically focusing on bacteria belong to the genus</w:t>
      </w:r>
      <w:r>
        <w:t xml:space="preserve"> </w:t>
      </w:r>
      <w:r>
        <w:rPr>
          <w:iCs/>
          <w:i/>
        </w:rPr>
        <w:t xml:space="preserve">Vibrio</w:t>
      </w:r>
      <w:r>
        <w:t xml:space="preserve">, a bacterium that is important for marine processes such as carbon cycling, and has implications for both marine and human health.</w:t>
      </w:r>
    </w:p>
    <w:p>
      <w:pPr>
        <w:pStyle w:val="BodyText"/>
      </w:pPr>
      <w:r>
        <w:t xml:space="preserve">For this analysis, we examined</w:t>
      </w:r>
      <w:r>
        <w:t xml:space="preserve"> </w:t>
      </w:r>
      <w:r>
        <w:rPr>
          <w:iCs/>
          <w:i/>
        </w:rPr>
        <w:t xml:space="preserve">Vibrio</w:t>
      </w:r>
      <w:r>
        <w:t xml:space="preserve"> </w:t>
      </w:r>
      <w:r>
        <w:t xml:space="preserve">growth dynamics in response to Saharan Dust deposition in three sites in Corpus Christi, TX that had differing baseline nutrient levels. To examine the impact of dust deposition on</w:t>
      </w:r>
      <w:r>
        <w:t xml:space="preserve"> </w:t>
      </w:r>
      <w:r>
        <w:rPr>
          <w:iCs/>
          <w:i/>
        </w:rPr>
        <w:t xml:space="preserve">Vibrio</w:t>
      </w:r>
      <w:r>
        <w:t xml:space="preserve"> </w:t>
      </w:r>
      <w:r>
        <w:t xml:space="preserve">growth, samples were collected before, during, and after a dust event and</w:t>
      </w:r>
      <w:r>
        <w:t xml:space="preserve"> </w:t>
      </w:r>
      <w:r>
        <w:rPr>
          <w:iCs/>
          <w:i/>
        </w:rPr>
        <w:t xml:space="preserve">Vibrio</w:t>
      </w:r>
      <w:r>
        <w:t xml:space="preserve"> </w:t>
      </w:r>
      <w:r>
        <w:t xml:space="preserve">were enumerated using qPCR. Data on nutrient levels and other environmental parameters including salinity and temperature, were also collected during this period. The three data sets (Vibrio Enumeration, Environmental parameters, and Dust Concentration) were then processed and cleaned for analysis.</w:t>
      </w:r>
    </w:p>
    <w:bookmarkStart w:id="90" w:name="findingsexplanations"/>
    <w:p>
      <w:pPr>
        <w:pStyle w:val="Heading2"/>
      </w:pPr>
      <w:r>
        <w:t xml:space="preserve">Findings/Explanations</w:t>
      </w:r>
    </w:p>
    <w:p>
      <w:pPr>
        <w:pStyle w:val="FirstParagraph"/>
      </w:pPr>
      <w:r>
        <w:rPr>
          <w:iCs/>
          <w:i/>
        </w:rPr>
        <w:t xml:space="preserve">Vibrio</w:t>
      </w:r>
      <w:r>
        <w:t xml:space="preserve"> </w:t>
      </w:r>
      <w:r>
        <w:t xml:space="preserve">gene copies/mL was found to significantly correlate with dust aerosol optical density at Blind Oso (r = 0.7, p = 0.01), Canals (r = 0.75, p = 0.005), and the Gulf (r = 0.67, p = 0.02). The introduction of dust constituents have the potential to serve as a temporary alleviation from the limitation of nutrients that are essential for bloom formation.</w:t>
      </w:r>
      <w:r>
        <w:t xml:space="preserve"> </w:t>
      </w:r>
      <w:r>
        <w:rPr>
          <w:iCs/>
          <w:i/>
        </w:rPr>
        <w:t xml:space="preserve">Vibrio</w:t>
      </w:r>
      <w:r>
        <w:t xml:space="preserve"> </w:t>
      </w:r>
      <w:r>
        <w:t xml:space="preserve">species have one of the fastest doubling times among bacteria</w:t>
      </w:r>
      <w:r>
        <w:t xml:space="preserve"> </w:t>
      </w:r>
      <w:r>
        <w:t xml:space="preserve">(Gibson et al. 2018 ; Eagon 1962)</w:t>
      </w:r>
      <w:r>
        <w:t xml:space="preserve">, and are able to exploit introduced nutrients due their rapid motility, diverse genomic repertoire, and iron-chelating complexes</w:t>
      </w:r>
      <w:r>
        <w:t xml:space="preserve"> </w:t>
      </w:r>
      <w:r>
        <w:t xml:space="preserve">(Ringgaard et al. 2018; Okada et al. 2005 ; Payne, Mey, and Wyckoff 2016)</w:t>
      </w:r>
      <w:r>
        <w:t xml:space="preserve">. Initially comprising a small proportion of the marine microbial communities (&lt;1%),</w:t>
      </w:r>
      <w:r>
        <w:t xml:space="preserve"> </w:t>
      </w:r>
      <w:r>
        <w:rPr>
          <w:iCs/>
          <w:i/>
        </w:rPr>
        <w:t xml:space="preserve">Vibrio</w:t>
      </w:r>
      <w:r>
        <w:t xml:space="preserve"> </w:t>
      </w:r>
      <w:r>
        <w:t xml:space="preserve">can come to quickly dominate, and thus have been classified as</w:t>
      </w:r>
      <w:r>
        <w:t xml:space="preserve"> </w:t>
      </w:r>
      <w:r>
        <w:t xml:space="preserve">‘</w:t>
      </w:r>
      <w:r>
        <w:t xml:space="preserve">oppurtunitrophs</w:t>
      </w:r>
      <w:r>
        <w:t xml:space="preserve">’</w:t>
      </w:r>
      <w:r>
        <w:t xml:space="preserve">. The obsereved declines in</w:t>
      </w:r>
      <w:r>
        <w:t xml:space="preserve"> </w:t>
      </w:r>
      <w:r>
        <w:rPr>
          <w:iCs/>
          <w:i/>
        </w:rPr>
        <w:t xml:space="preserve">Vibrio</w:t>
      </w:r>
      <w:r>
        <w:t xml:space="preserve"> </w:t>
      </w:r>
      <w:r>
        <w:t xml:space="preserve">gene copies/mL following deposition may be attributed to top down control, such as viral lysis</w:t>
      </w:r>
      <w:r>
        <w:t xml:space="preserve"> </w:t>
      </w:r>
      <w:r>
        <w:t xml:space="preserve">(Molina-Quiroz and Silva-Valenzuela 2023)</w:t>
      </w:r>
      <w:r>
        <w:t xml:space="preserve">, or bottom-up controls due to an exhaustion of the resources provided by the dust</w:t>
      </w:r>
      <w:r>
        <w:t xml:space="preserve"> </w:t>
      </w:r>
      <w:r>
        <w:t xml:space="preserve">(Psenner and Sommaruga 1992)</w:t>
      </w:r>
      <w:r>
        <w:t xml:space="preserve">.</w:t>
      </w:r>
    </w:p>
    <w:p>
      <w:pPr>
        <w:pStyle w:val="BodyText"/>
      </w:pPr>
      <w:r>
        <w:t xml:space="preserve">Similar to previous findings set in the Florida Keys and North Atlantic</w:t>
      </w:r>
      <w:r>
        <w:t xml:space="preserve"> </w:t>
      </w:r>
      <w:r>
        <w:t xml:space="preserve">(Westrich et al. 2018, 2016)</w:t>
      </w:r>
      <w:r>
        <w:t xml:space="preserve">, peaks in growth were observed 24-48 hours following dust deposition. Comparing peak</w:t>
      </w:r>
      <w:r>
        <w:t xml:space="preserve"> </w:t>
      </w:r>
      <w:r>
        <w:rPr>
          <w:iCs/>
          <w:i/>
        </w:rPr>
        <w:t xml:space="preserve">Vibrio</w:t>
      </w:r>
      <w:r>
        <w:t xml:space="preserve"> </w:t>
      </w:r>
      <w:r>
        <w:t xml:space="preserve">gene copies/mL to initial levels on the 9th of July (chosen to ameliorate the possibility of growth following dust deposition prior to sampling period), the Gulf experienced a 33-fold increase in</w:t>
      </w:r>
      <w:r>
        <w:t xml:space="preserve"> </w:t>
      </w:r>
      <w:r>
        <w:rPr>
          <w:iCs/>
          <w:i/>
        </w:rPr>
        <w:t xml:space="preserve">Vibrio</w:t>
      </w:r>
      <w:r>
        <w:t xml:space="preserve"> </w:t>
      </w:r>
      <w:r>
        <w:t xml:space="preserve">gene copies/mL, Blind Oso a 2-fold increase, and the Canals a 5.6-fold increase.</w:t>
      </w:r>
    </w:p>
    <w:p>
      <w:pPr>
        <w:pStyle w:val="BodyText"/>
      </w:pPr>
      <w:r>
        <w:t xml:space="preserve">Multivariate models were tested using specific environmental parameters that have been associated with</w:t>
      </w:r>
      <w:r>
        <w:t xml:space="preserve"> </w:t>
      </w:r>
      <w:r>
        <w:rPr>
          <w:iCs/>
          <w:i/>
        </w:rPr>
        <w:t xml:space="preserve">Vibrio</w:t>
      </w:r>
      <w:r>
        <w:t xml:space="preserve"> </w:t>
      </w:r>
      <w:r>
        <w:t xml:space="preserve">population dynamics. Ultimately, a model that included water chemistry, dust, nutrient, and dissolved organic matter parameters provided the best performance (Table 3, Table 4, Table5), suggesting that while dust may contribute to a growth response in</w:t>
      </w:r>
      <w:r>
        <w:t xml:space="preserve"> </w:t>
      </w:r>
      <w:r>
        <w:rPr>
          <w:iCs/>
          <w:i/>
        </w:rPr>
        <w:t xml:space="preserve">Vibrio</w:t>
      </w:r>
      <w:r>
        <w:t xml:space="preserve">, the site specific nutrient and chemistry dynamics play an important role in dictating the degree of response observed.</w:t>
      </w:r>
    </w:p>
    <w:p>
      <w:pPr>
        <w:pStyle w:val="BodyText"/>
      </w:pPr>
      <w:r>
        <w:rPr>
          <w:iCs/>
          <w:i/>
        </w:rPr>
        <w:t xml:space="preserve">Vibrio</w:t>
      </w:r>
      <w:r>
        <w:t xml:space="preserve"> </w:t>
      </w:r>
      <w:r>
        <w:t xml:space="preserve">gene copies/mL at the Gulf experienced the greatest degree in growth as compared to the other two sites. This response in a lower nutrient marine environment lines up with previous work that was conducted in the Florida Keys and North Atlantic, where a 30-fold and 1.6-fold population increase was observed within a 24hr period following dust deposition</w:t>
      </w:r>
      <w:r>
        <w:t xml:space="preserve"> </w:t>
      </w:r>
      <w:r>
        <w:t xml:space="preserve">(Westrich et al. 2018, 2016)</w:t>
      </w:r>
      <w:r>
        <w:t xml:space="preserve">.</w:t>
      </w:r>
    </w:p>
    <w:p>
      <w:pPr>
        <w:pStyle w:val="BodyText"/>
      </w:pPr>
      <w:r>
        <w:t xml:space="preserve">While</w:t>
      </w:r>
      <w:r>
        <w:t xml:space="preserve"> </w:t>
      </w:r>
      <w:r>
        <w:rPr>
          <w:iCs/>
          <w:i/>
        </w:rPr>
        <w:t xml:space="preserve">Vibrio</w:t>
      </w:r>
      <w:r>
        <w:t xml:space="preserve"> </w:t>
      </w:r>
      <w:r>
        <w:t xml:space="preserve">growth exhibited a strong correlation at the Canals, the degree of growth was lesser in comparison to the other sites (Figure 3). Field studies have suggested that salinities for optimal growth lie between 5-25, depending on the species</w:t>
      </w:r>
      <w:r>
        <w:t xml:space="preserve"> </w:t>
      </w:r>
      <w:r>
        <w:t xml:space="preserve">(Sullivan and Neigel 2018)</w:t>
      </w:r>
      <w:r>
        <w:t xml:space="preserve">. The higher salinities at this site (40-42) may have attributed to this observed weaker growth response.</w:t>
      </w:r>
    </w:p>
    <w:p>
      <w:pPr>
        <w:pStyle w:val="BodyText"/>
      </w:pPr>
      <w:r>
        <w:rPr>
          <w:iCs/>
          <w:i/>
        </w:rPr>
        <w:t xml:space="preserve">Vibrio</w:t>
      </w:r>
      <w:r>
        <w:t xml:space="preserve"> </w:t>
      </w:r>
      <w:r>
        <w:t xml:space="preserve">growth was observed at Blind Oso Bay, but slightly dampened in comparison to the Gulf. This site is an enclosed shallow tributary that frequently experiences high levels of nutrients (e.g.total dissolved nitrogen) and chlorophyll due to its proximity to the Oso Wastewater Plant (OSP) (Wetz, 2014). The Bay experienced a dramatic drop in salinity from July 11th to July 19th that could be attributed to discharge from the OSP (Figure 3). While growth was significantly correlated with dust deposition, there are many environmental factors at play at this site, limiting the identification of the specific mechanisms that are eliciting this response.</w:t>
      </w:r>
    </w:p>
    <w:p>
      <w:pPr>
        <w:pStyle w:val="BodyText"/>
      </w:pPr>
      <w:r>
        <w:t xml:space="preserve">The Gulf exhibited a sharper increase in growth during the second, heavier dust event, while Blind Oso exhibited a smaller increase during the heavy dust event (Figure 2). This difference in response may be attributed to the nutrient dynamics of the sites. In marine waters, nutrients are typically limiting due to tight microbial recycling. Therefore the introduction of nutrients at such a site may result in rapid uptake and utilization. At Blind Oso, a priming effect may be occurring, where dust constituents resulting from a secondary flux may not be as essential for growth following an initial deposition event, where the constituents are reaching a maximum in how much they can support growth.</w:t>
      </w:r>
    </w:p>
    <w:bookmarkEnd w:id="90"/>
    <w:bookmarkStart w:id="91" w:name="limitations"/>
    <w:p>
      <w:pPr>
        <w:pStyle w:val="Heading2"/>
      </w:pPr>
      <w:r>
        <w:t xml:space="preserve">Limitations</w:t>
      </w:r>
    </w:p>
    <w:p>
      <w:pPr>
        <w:pStyle w:val="FirstParagraph"/>
      </w:pPr>
      <w:r>
        <w:t xml:space="preserve">One primary limitation of this project was the small samples size (n = 12 per site). One sample per day limits the interpretation of the results of this project and changes the scope from an explanatory report to exploratory.</w:t>
      </w:r>
    </w:p>
    <w:p>
      <w:pPr>
        <w:pStyle w:val="BodyText"/>
      </w:pPr>
      <w:r>
        <w:t xml:space="preserve">Additionally, while qPCR can reliably detect the concentration of DNA of the target, the results do not differentiate between living and dead cells, and therefore provides an estimate of quantification.</w:t>
      </w:r>
    </w:p>
    <w:p>
      <w:pPr>
        <w:pStyle w:val="BodyText"/>
      </w:pPr>
      <w:r>
        <w:t xml:space="preserve">While it can be proposed that the degree of microbial response is contingent on the environmental settings of the site, further work is needed to look at each specific environmental parameter and assess how it may impact</w:t>
      </w:r>
      <w:r>
        <w:t xml:space="preserve"> </w:t>
      </w:r>
      <w:r>
        <w:rPr>
          <w:iCs/>
          <w:i/>
        </w:rPr>
        <w:t xml:space="preserve">Vibrio</w:t>
      </w:r>
      <w:r>
        <w:t xml:space="preserve"> </w:t>
      </w:r>
      <w:r>
        <w:t xml:space="preserve">abundance. At Blind Oso for example, the drastic drop in salinity during an eight day period coincided with dust input. It then becomes difficult to parse these two variables out as either may have contributed to growth at this site.</w:t>
      </w:r>
    </w:p>
    <w:p>
      <w:pPr>
        <w:pStyle w:val="BodyText"/>
      </w:pPr>
      <w:r>
        <w:t xml:space="preserve">The annual dust data set indicates a period of slightly elevated AOD (0.16) on the 5th of July, prior to sampling. This light dust period could have the potential to impact initial</w:t>
      </w:r>
      <w:r>
        <w:t xml:space="preserve"> </w:t>
      </w:r>
      <w:r>
        <w:rPr>
          <w:iCs/>
          <w:i/>
        </w:rPr>
        <w:t xml:space="preserve">Vibrio</w:t>
      </w:r>
      <w:r>
        <w:t xml:space="preserve"> </w:t>
      </w:r>
      <w:r>
        <w:t xml:space="preserve">levels at the beginning of the time series, which may serve as an explanation for initial higher</w:t>
      </w:r>
      <w:r>
        <w:t xml:space="preserve"> </w:t>
      </w:r>
      <w:r>
        <w:rPr>
          <w:iCs/>
          <w:i/>
        </w:rPr>
        <w:t xml:space="preserve">Vibrio</w:t>
      </w:r>
      <w:r>
        <w:t xml:space="preserve"> </w:t>
      </w:r>
      <w:r>
        <w:t xml:space="preserve">gene copies/mL at the Canals, and why the correlation between dust and</w:t>
      </w:r>
      <w:r>
        <w:t xml:space="preserve"> </w:t>
      </w:r>
      <w:r>
        <w:rPr>
          <w:iCs/>
          <w:i/>
        </w:rPr>
        <w:t xml:space="preserve">Vibrio</w:t>
      </w:r>
      <w:r>
        <w:t xml:space="preserve"> </w:t>
      </w:r>
      <w:r>
        <w:t xml:space="preserve">gene copies/mL was so high at this site. Future work should expand upon the temporal resolution, allowing for an extended period of low dust AOD prior to sampling.</w:t>
      </w:r>
    </w:p>
    <w:bookmarkEnd w:id="91"/>
    <w:bookmarkStart w:id="92" w:name="conclusions"/>
    <w:p>
      <w:pPr>
        <w:pStyle w:val="Heading2"/>
      </w:pPr>
      <w:r>
        <w:t xml:space="preserve">Conclusions</w:t>
      </w:r>
    </w:p>
    <w:p>
      <w:pPr>
        <w:pStyle w:val="FirstParagraph"/>
      </w:pPr>
      <w:r>
        <w:t xml:space="preserve">Ultimately,</w:t>
      </w:r>
      <w:r>
        <w:t xml:space="preserve"> </w:t>
      </w:r>
      <w:r>
        <w:rPr>
          <w:iCs/>
          <w:i/>
        </w:rPr>
        <w:t xml:space="preserve">Vibrio</w:t>
      </w:r>
      <w:r>
        <w:t xml:space="preserve"> </w:t>
      </w:r>
      <w:r>
        <w:t xml:space="preserve">growth was observed following dust deposition in each of these sites. However, the degree of response varied by site. This may be explained by each site having a specific and complex environment with varying water chemistry and nutrient levels.</w:t>
      </w:r>
    </w:p>
    <w:p>
      <w:pPr>
        <w:pStyle w:val="BodyText"/>
      </w:pPr>
      <w:r>
        <w:t xml:space="preserve">Sites like the Gulf, that have lower nutrient levels, may have a more responsive microbial population, as they are temporarily relieved from nutrient limitation. Inland sites, similar to the Canals or Blind Oso, may experience higher nutrient levels as a result of nutrient runoff and proximity to residential areas, and thus exhibit dampened</w:t>
      </w:r>
      <w:r>
        <w:t xml:space="preserve"> </w:t>
      </w:r>
      <w:r>
        <w:rPr>
          <w:iCs/>
          <w:i/>
        </w:rPr>
        <w:t xml:space="preserve">Vibrio</w:t>
      </w:r>
      <w:r>
        <w:t xml:space="preserve"> </w:t>
      </w:r>
      <w:r>
        <w:t xml:space="preserve">growth following dust input, as the dust derived nutrients may be less critical for growth if there is already a supporting nutrient foundation. Alternatively, and potentially in the case at the Canals, the environmental conditions may not be favorable for growth initially. The apparent growth response at Blind Oso despite having higher nutrients, suggests that there may be other constituents in the dust that are not present in the site that elicit this response. More work will be needed to fully understand the dynamics, as there were many other attributes that may have also contributed to growth at the Bay.</w:t>
      </w:r>
    </w:p>
    <w:p>
      <w:pPr>
        <w:pStyle w:val="BodyText"/>
      </w:pPr>
      <w:r>
        <w:t xml:space="preserve">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and iron in particular. This study aided in filling the gap in how comparable previous findings in oligotrophic settings are to coastal areas with higher ambient nutrient levels. The composition of desert dust can be complex and may have the potential to deliver critical resources that could be more readily exploited by opportunistic bacteria (like</w:t>
      </w:r>
      <w:r>
        <w:t xml:space="preserve"> </w:t>
      </w:r>
      <w:r>
        <w:rPr>
          <w:iCs/>
          <w:i/>
        </w:rPr>
        <w:t xml:space="preserve">Vibrio</w:t>
      </w:r>
      <w:r>
        <w:t xml:space="preserve">) and elicit a population bloom despite higher baseline nutrient levels. During these bloom periods, human exposure through recreation or consumption of raw seafood may be more likely, presenting a risk to the health of the public. Understanding the relationships that exist between dust deposition and potential harmful bacterial blooms in these regions can aid in modelling predictions of increased exposure risk to better protect public health.</w:t>
      </w:r>
    </w:p>
    <w:p>
      <w:r>
        <w:br w:type="page"/>
      </w:r>
    </w:p>
    <w:bookmarkEnd w:id="92"/>
    <w:bookmarkEnd w:id="93"/>
    <w:bookmarkStart w:id="150" w:name="references"/>
    <w:p>
      <w:pPr>
        <w:pStyle w:val="Heading1"/>
      </w:pPr>
      <w:r>
        <w:t xml:space="preserve">References</w:t>
      </w:r>
    </w:p>
    <w:bookmarkStart w:id="149" w:name="refs"/>
    <w:bookmarkStart w:id="95"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94">
        <w:r>
          <w:rPr>
            <w:rStyle w:val="Hyperlink"/>
          </w:rPr>
          <w:t xml:space="preserve">https://doi.org/10.1038/s41572-018-0005-8</w:t>
        </w:r>
      </w:hyperlink>
      <w:r>
        <w:t xml:space="preserve">.</w:t>
      </w:r>
    </w:p>
    <w:bookmarkEnd w:id="95"/>
    <w:bookmarkStart w:id="97"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96">
        <w:r>
          <w:rPr>
            <w:rStyle w:val="Hyperlink"/>
          </w:rPr>
          <w:t xml:space="preserve">https://doi.org/10.1099/ijs.0.02402-0</w:t>
        </w:r>
      </w:hyperlink>
      <w:r>
        <w:t xml:space="preserve">.</w:t>
      </w:r>
    </w:p>
    <w:bookmarkEnd w:id="97"/>
    <w:bookmarkStart w:id="99"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98">
        <w:r>
          <w:rPr>
            <w:rStyle w:val="Hyperlink"/>
          </w:rPr>
          <w:t xml:space="preserve">https://doi.org/10.1002/lno.11291</w:t>
        </w:r>
      </w:hyperlink>
      <w:r>
        <w:t xml:space="preserve">.</w:t>
      </w:r>
    </w:p>
    <w:bookmarkEnd w:id="99"/>
    <w:bookmarkStart w:id="101"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100">
        <w:r>
          <w:rPr>
            <w:rStyle w:val="Hyperlink"/>
          </w:rPr>
          <w:t xml:space="preserve">https://doi.org/10.1175/1520-0450(1986)025&lt;0903:AMFSDT&gt;2.0.CO;2</w:t>
        </w:r>
      </w:hyperlink>
      <w:r>
        <w:t xml:space="preserve">.</w:t>
      </w:r>
    </w:p>
    <w:bookmarkEnd w:id="101"/>
    <w:bookmarkStart w:id="103"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102">
        <w:r>
          <w:rPr>
            <w:rStyle w:val="Hyperlink"/>
          </w:rPr>
          <w:t xml:space="preserve">https://doi.org/10.1128/jb.83.4.736-737.1962</w:t>
        </w:r>
      </w:hyperlink>
      <w:r>
        <w:t xml:space="preserve">.</w:t>
      </w:r>
    </w:p>
    <w:bookmarkEnd w:id="103"/>
    <w:bookmarkStart w:id="105" w:name="Xa24ffb5fe8ecb51b63d26cd8664b6473167df28"/>
    <w:p>
      <w:pPr>
        <w:pStyle w:val="Bibliography"/>
      </w:pPr>
      <w:r>
        <w:t xml:space="preserve">Formenti, P. 2003.</w:t>
      </w:r>
      <w:r>
        <w:t xml:space="preserve"> </w:t>
      </w:r>
      <w:r>
        <w:t xml:space="preserve">“Chemical Composition of Mineral Dust Aerosol During the</w:t>
      </w:r>
      <w:r>
        <w:t xml:space="preserve"> </w:t>
      </w:r>
      <w:r>
        <w:t xml:space="preserve">Saharan Dust Experiment</w:t>
      </w:r>
      <w:r>
        <w:t xml:space="preserve"> </w:t>
      </w:r>
      <w:r>
        <w:t xml:space="preserve">(</w:t>
      </w:r>
      <w:r>
        <w:t xml:space="preserve">SHADE</w:t>
      </w:r>
      <w:r>
        <w:t xml:space="preserve">) Airborne Campaign in the</w:t>
      </w:r>
      <w:r>
        <w:t xml:space="preserve"> </w:t>
      </w:r>
      <w:r>
        <w:t xml:space="preserve">Cape Verde</w:t>
      </w:r>
      <w:r>
        <w:t xml:space="preserve"> </w:t>
      </w:r>
      <w:r>
        <w:t xml:space="preserve">Region,</w:t>
      </w:r>
      <w:r>
        <w:t xml:space="preserve"> </w:t>
      </w:r>
      <w:r>
        <w:t xml:space="preserve">September</w:t>
      </w:r>
      <w:r>
        <w:t xml:space="preserve"> </w:t>
      </w:r>
      <w:r>
        <w:t xml:space="preserve">2000.”</w:t>
      </w:r>
      <w:r>
        <w:t xml:space="preserve"> </w:t>
      </w:r>
      <w:r>
        <w:rPr>
          <w:iCs/>
          <w:i/>
        </w:rPr>
        <w:t xml:space="preserve">Journal of Geophysical Research</w:t>
      </w:r>
      <w:r>
        <w:t xml:space="preserve"> </w:t>
      </w:r>
      <w:r>
        <w:t xml:space="preserve">108 (D18): 8576.</w:t>
      </w:r>
      <w:r>
        <w:t xml:space="preserve"> </w:t>
      </w:r>
      <w:hyperlink r:id="rId104">
        <w:r>
          <w:rPr>
            <w:rStyle w:val="Hyperlink"/>
          </w:rPr>
          <w:t xml:space="preserve">https://doi.org/10.1029/2002JD002648</w:t>
        </w:r>
      </w:hyperlink>
      <w:r>
        <w:t xml:space="preserve">.</w:t>
      </w:r>
    </w:p>
    <w:bookmarkEnd w:id="105"/>
    <w:bookmarkStart w:id="107" w:name="Xed82992f35119a66401a6a1a19564c43f48e79f"/>
    <w:p>
      <w:pPr>
        <w:pStyle w:val="Bibliography"/>
      </w:pPr>
      <w:r>
        <w:t xml:space="preserve">Gibson, Beth, Daniel J. Wilson, Edward Feil, and Adam Eyre-Walker. 2018.</w:t>
      </w:r>
      <w:r>
        <w:t xml:space="preserve"> </w:t>
      </w:r>
      <w:r>
        <w:t xml:space="preserve">“The Distribution of Bacterial Doubling Times in the Wild.”</w:t>
      </w:r>
      <w:r>
        <w:t xml:space="preserve"> </w:t>
      </w:r>
      <w:r>
        <w:rPr>
          <w:iCs/>
          <w:i/>
        </w:rPr>
        <w:t xml:space="preserve">Proceedings of the Royal Society B: Biological Sciences</w:t>
      </w:r>
      <w:r>
        <w:t xml:space="preserve"> </w:t>
      </w:r>
      <w:r>
        <w:t xml:space="preserve">285 (1880): 20180789.</w:t>
      </w:r>
      <w:r>
        <w:t xml:space="preserve"> </w:t>
      </w:r>
      <w:hyperlink r:id="rId106">
        <w:r>
          <w:rPr>
            <w:rStyle w:val="Hyperlink"/>
          </w:rPr>
          <w:t xml:space="preserve">https://doi.org/10.1098/rspb.2018.0789</w:t>
        </w:r>
      </w:hyperlink>
      <w:r>
        <w:t xml:space="preserve">.</w:t>
      </w:r>
    </w:p>
    <w:bookmarkEnd w:id="107"/>
    <w:bookmarkStart w:id="109" w:name="X28ee03f0603cf07e6af6e86c8c428657a220f12"/>
    <w:p>
      <w:pPr>
        <w:pStyle w:val="Bibliography"/>
      </w:pPr>
      <w:r>
        <w:t xml:space="preserve">Graham, William F., and Robert A. Duce. 1982.</w:t>
      </w:r>
      <w:r>
        <w:t xml:space="preserve"> </w:t>
      </w:r>
      <w:r>
        <w:t xml:space="preserve">“The Atmospheric Transport of Phosphorus to the Western</w:t>
      </w:r>
      <w:r>
        <w:t xml:space="preserve"> </w:t>
      </w:r>
      <w:r>
        <w:t xml:space="preserve">North Atlantic</w:t>
      </w:r>
      <w:r>
        <w:t xml:space="preserve">.”</w:t>
      </w:r>
      <w:r>
        <w:t xml:space="preserve"> </w:t>
      </w:r>
      <w:r>
        <w:rPr>
          <w:iCs/>
          <w:i/>
        </w:rPr>
        <w:t xml:space="preserve">Atmospheric Environment (1967)</w:t>
      </w:r>
      <w:r>
        <w:t xml:space="preserve"> </w:t>
      </w:r>
      <w:r>
        <w:t xml:space="preserve">16 (5): 1089–97.</w:t>
      </w:r>
      <w:r>
        <w:t xml:space="preserve"> </w:t>
      </w:r>
      <w:hyperlink r:id="rId108">
        <w:r>
          <w:rPr>
            <w:rStyle w:val="Hyperlink"/>
          </w:rPr>
          <w:t xml:space="preserve">https://doi.org/10.1016/0004-6981(82)90198-6</w:t>
        </w:r>
      </w:hyperlink>
      <w:r>
        <w:t xml:space="preserve">.</w:t>
      </w:r>
    </w:p>
    <w:bookmarkEnd w:id="109"/>
    <w:bookmarkStart w:id="110" w:name="ref-griffinAfricanDesertDust2001"/>
    <w:p>
      <w:pPr>
        <w:pStyle w:val="Bibliography"/>
      </w:pPr>
      <w:r>
        <w:t xml:space="preserve">Griffin, Dale W, Virginia H Garrison, Jay R Herman, and Eugene A Shinn. 2001.</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110"/>
    <w:bookmarkStart w:id="112"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111">
        <w:r>
          <w:rPr>
            <w:rStyle w:val="Hyperlink"/>
          </w:rPr>
          <w:t xml:space="preserve">https://doi.org/10.1016/j.micres.2009.12.001</w:t>
        </w:r>
      </w:hyperlink>
      <w:r>
        <w:t xml:space="preserve">.</w:t>
      </w:r>
    </w:p>
    <w:bookmarkEnd w:id="112"/>
    <w:bookmarkStart w:id="114"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113">
        <w:r>
          <w:rPr>
            <w:rStyle w:val="Hyperlink"/>
          </w:rPr>
          <w:t xml:space="preserve">https://doi.org/10.1111/j.1574-6968.2009.01567.x</w:t>
        </w:r>
      </w:hyperlink>
      <w:r>
        <w:t xml:space="preserve">.</w:t>
      </w:r>
    </w:p>
    <w:bookmarkEnd w:id="114"/>
    <w:bookmarkStart w:id="116"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115">
        <w:r>
          <w:rPr>
            <w:rStyle w:val="Hyperlink"/>
          </w:rPr>
          <w:t xml:space="preserve">https://doi.org/10.1023/B:AERO.0000032947.88335.bb</w:t>
        </w:r>
      </w:hyperlink>
      <w:r>
        <w:t xml:space="preserve">.</w:t>
      </w:r>
    </w:p>
    <w:bookmarkEnd w:id="116"/>
    <w:bookmarkStart w:id="118"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117">
        <w:r>
          <w:rPr>
            <w:rStyle w:val="Hyperlink"/>
          </w:rPr>
          <w:t xml:space="preserve">https://doi.org/10.1016/j.csr.2008.02.009</w:t>
        </w:r>
      </w:hyperlink>
      <w:r>
        <w:t xml:space="preserve">.</w:t>
      </w:r>
    </w:p>
    <w:bookmarkEnd w:id="118"/>
    <w:bookmarkStart w:id="120"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119">
        <w:r>
          <w:rPr>
            <w:rStyle w:val="Hyperlink"/>
          </w:rPr>
          <w:t xml:space="preserve">https://doi.org/10.1038/nature02550</w:t>
        </w:r>
      </w:hyperlink>
      <w:r>
        <w:t xml:space="preserve">.</w:t>
      </w:r>
    </w:p>
    <w:bookmarkEnd w:id="120"/>
    <w:bookmarkStart w:id="122" w:name="X5c8aec949940aae0839e2c256ab35a8e4baa6ac"/>
    <w:p>
      <w:pPr>
        <w:pStyle w:val="Bibliography"/>
      </w:pPr>
      <w:r>
        <w:t xml:space="preserve">Molina-Quiroz, Roberto C, and Cecilia A Silva-Valenzuela. 2023.</w:t>
      </w:r>
      <w:r>
        <w:t xml:space="preserve"> </w:t>
      </w:r>
      <w:r>
        <w:t xml:space="preserve">“Interactions of</w:t>
      </w:r>
      <w:r>
        <w:t xml:space="preserve"> </w:t>
      </w:r>
      <w:r>
        <w:t xml:space="preserve">Vibrio</w:t>
      </w:r>
      <w:r>
        <w:t xml:space="preserve"> </w:t>
      </w:r>
      <w:r>
        <w:t xml:space="preserve">Phages and Their Hosts in Aquatic Environments.”</w:t>
      </w:r>
      <w:r>
        <w:t xml:space="preserve"> </w:t>
      </w:r>
      <w:r>
        <w:rPr>
          <w:iCs/>
          <w:i/>
        </w:rPr>
        <w:t xml:space="preserve">Current Opinion in Microbiology</w:t>
      </w:r>
      <w:r>
        <w:t xml:space="preserve"> </w:t>
      </w:r>
      <w:r>
        <w:t xml:space="preserve">74 (August): 102308.</w:t>
      </w:r>
      <w:r>
        <w:t xml:space="preserve"> </w:t>
      </w:r>
      <w:hyperlink r:id="rId121">
        <w:r>
          <w:rPr>
            <w:rStyle w:val="Hyperlink"/>
          </w:rPr>
          <w:t xml:space="preserve">https://doi.org/10.1016/j.mib.2023.102308</w:t>
        </w:r>
      </w:hyperlink>
      <w:r>
        <w:t xml:space="preserve">.</w:t>
      </w:r>
    </w:p>
    <w:bookmarkEnd w:id="122"/>
    <w:bookmarkStart w:id="124"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123">
        <w:r>
          <w:rPr>
            <w:rStyle w:val="Hyperlink"/>
          </w:rPr>
          <w:t xml:space="preserve">https://doi.org/10.1128/JB.187.2.752-757.2005</w:t>
        </w:r>
      </w:hyperlink>
      <w:r>
        <w:t xml:space="preserve">.</w:t>
      </w:r>
    </w:p>
    <w:bookmarkEnd w:id="124"/>
    <w:bookmarkStart w:id="126"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25">
        <w:r>
          <w:rPr>
            <w:rStyle w:val="Hyperlink"/>
          </w:rPr>
          <w:t xml:space="preserve">https://doi.org/10.1128/MMBR.00046-15</w:t>
        </w:r>
      </w:hyperlink>
      <w:r>
        <w:t xml:space="preserve">.</w:t>
      </w:r>
    </w:p>
    <w:bookmarkEnd w:id="126"/>
    <w:bookmarkStart w:id="128" w:name="ref-psennerAreRapidChanges1992"/>
    <w:p>
      <w:pPr>
        <w:pStyle w:val="Bibliography"/>
      </w:pPr>
      <w:r>
        <w:t xml:space="preserve">Psenner, Roland, and Ruben Sommaruga. 1992.</w:t>
      </w:r>
      <w:r>
        <w:t xml:space="preserve"> </w:t>
      </w:r>
      <w:r>
        <w:t xml:space="preserve">“Are Rapid Changes in Bacterial Biomass Caused by Shifts from Top-down to Bottom-up Control?”</w:t>
      </w:r>
      <w:r>
        <w:t xml:space="preserve"> </w:t>
      </w:r>
      <w:r>
        <w:rPr>
          <w:iCs/>
          <w:i/>
        </w:rPr>
        <w:t xml:space="preserve">Limnology and Oceanography</w:t>
      </w:r>
      <w:r>
        <w:t xml:space="preserve"> </w:t>
      </w:r>
      <w:r>
        <w:t xml:space="preserve">37 (5): 1092–1100.</w:t>
      </w:r>
      <w:r>
        <w:t xml:space="preserve"> </w:t>
      </w:r>
      <w:hyperlink r:id="rId127">
        <w:r>
          <w:rPr>
            <w:rStyle w:val="Hyperlink"/>
          </w:rPr>
          <w:t xml:space="preserve">https://doi.org/10.4319/lo.1992.37.5.1092</w:t>
        </w:r>
      </w:hyperlink>
      <w:r>
        <w:t xml:space="preserve">.</w:t>
      </w:r>
    </w:p>
    <w:bookmarkEnd w:id="128"/>
    <w:bookmarkStart w:id="130"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29">
        <w:r>
          <w:rPr>
            <w:rStyle w:val="Hyperlink"/>
          </w:rPr>
          <w:t xml:space="preserve">https://doi.org/10.1007/s10453-022-09752-9</w:t>
        </w:r>
      </w:hyperlink>
      <w:r>
        <w:t xml:space="preserve">.</w:t>
      </w:r>
    </w:p>
    <w:bookmarkEnd w:id="130"/>
    <w:bookmarkStart w:id="132"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31">
        <w:r>
          <w:rPr>
            <w:rStyle w:val="Hyperlink"/>
          </w:rPr>
          <w:t xml:space="preserve">https://doi.org/10.1128/AEM.02930-14</w:t>
        </w:r>
      </w:hyperlink>
      <w:r>
        <w:t xml:space="preserve">.</w:t>
      </w:r>
    </w:p>
    <w:bookmarkEnd w:id="132"/>
    <w:bookmarkStart w:id="134"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33">
        <w:r>
          <w:rPr>
            <w:rStyle w:val="Hyperlink"/>
          </w:rPr>
          <w:t xml:space="preserve">https://doi.org/10.1128/JB.00793-17</w:t>
        </w:r>
      </w:hyperlink>
      <w:r>
        <w:t xml:space="preserve">.</w:t>
      </w:r>
    </w:p>
    <w:bookmarkEnd w:id="134"/>
    <w:bookmarkStart w:id="136"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35">
        <w:r>
          <w:rPr>
            <w:rStyle w:val="Hyperlink"/>
          </w:rPr>
          <w:t xml:space="preserve">https://doi.org/10.1146/annurev.micro.58.030603.123610</w:t>
        </w:r>
      </w:hyperlink>
      <w:r>
        <w:t xml:space="preserve">.</w:t>
      </w:r>
    </w:p>
    <w:bookmarkEnd w:id="136"/>
    <w:bookmarkStart w:id="138"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37">
        <w:r>
          <w:rPr>
            <w:rStyle w:val="Hyperlink"/>
          </w:rPr>
          <w:t xml:space="preserve">https://doi.org/10.3390/d14020097</w:t>
        </w:r>
      </w:hyperlink>
      <w:r>
        <w:t xml:space="preserve">.</w:t>
      </w:r>
    </w:p>
    <w:bookmarkEnd w:id="138"/>
    <w:bookmarkStart w:id="140"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39">
        <w:r>
          <w:rPr>
            <w:rStyle w:val="Hyperlink"/>
          </w:rPr>
          <w:t xml:space="preserve">https://doi.org/10.1029/JD094iD04p05069</w:t>
        </w:r>
      </w:hyperlink>
      <w:r>
        <w:t xml:space="preserve">.</w:t>
      </w:r>
    </w:p>
    <w:bookmarkEnd w:id="140"/>
    <w:bookmarkStart w:id="142" w:name="X82ccf4dc35d9c903aab419b30c81b11cdaaf984"/>
    <w:p>
      <w:pPr>
        <w:pStyle w:val="Bibliography"/>
      </w:pPr>
      <w:r>
        <w:t xml:space="preserve">Sullivan, Timothy J., and Joseph E. Neigel. 2018.</w:t>
      </w:r>
      <w:r>
        <w:t xml:space="preserve"> </w:t>
      </w:r>
      <w:r>
        <w:t xml:space="preserve">“Effects of Temperature and Salinity on Prevalence and Intensity of Infection of Blue Crabs,</w:t>
      </w:r>
      <w:r>
        <w:t xml:space="preserve"> </w:t>
      </w:r>
      <w:r>
        <w:t xml:space="preserve">Callinectes</w:t>
      </w:r>
      <w:r>
        <w:t xml:space="preserve"> </w:t>
      </w:r>
      <w:r>
        <w:t xml:space="preserve">Sapidus, by</w:t>
      </w:r>
      <w:r>
        <w:t xml:space="preserve"> </w:t>
      </w:r>
      <w:r>
        <w:t xml:space="preserve">Vibrio</w:t>
      </w:r>
      <w:r>
        <w:t xml:space="preserve"> </w:t>
      </w:r>
      <w:r>
        <w:t xml:space="preserve">Cholerae,</w:t>
      </w:r>
      <w:r>
        <w:t xml:space="preserve"> </w:t>
      </w:r>
      <w:r>
        <w:t xml:space="preserve">V</w:t>
      </w:r>
      <w:r>
        <w:t xml:space="preserve">. Parahaemolyticus, and</w:t>
      </w:r>
      <w:r>
        <w:t xml:space="preserve"> </w:t>
      </w:r>
      <w:r>
        <w:t xml:space="preserve">V</w:t>
      </w:r>
      <w:r>
        <w:t xml:space="preserve">. Vulnificus in</w:t>
      </w:r>
      <w:r>
        <w:t xml:space="preserve"> </w:t>
      </w:r>
      <w:r>
        <w:t xml:space="preserve">Louisiana</w:t>
      </w:r>
      <w:r>
        <w:t xml:space="preserve">.”</w:t>
      </w:r>
      <w:r>
        <w:t xml:space="preserve"> </w:t>
      </w:r>
      <w:r>
        <w:rPr>
          <w:iCs/>
          <w:i/>
        </w:rPr>
        <w:t xml:space="preserve">Journal of Invertebrate Pathology</w:t>
      </w:r>
      <w:r>
        <w:t xml:space="preserve"> </w:t>
      </w:r>
      <w:r>
        <w:t xml:space="preserve">151 (January): 82–90.</w:t>
      </w:r>
      <w:r>
        <w:t xml:space="preserve"> </w:t>
      </w:r>
      <w:hyperlink r:id="rId141">
        <w:r>
          <w:rPr>
            <w:rStyle w:val="Hyperlink"/>
          </w:rPr>
          <w:t xml:space="preserve">https://doi.org/10.1016/j.jip.2017.11.004</w:t>
        </w:r>
      </w:hyperlink>
      <w:r>
        <w:t xml:space="preserve">.</w:t>
      </w:r>
    </w:p>
    <w:bookmarkEnd w:id="142"/>
    <w:bookmarkStart w:id="144"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43">
        <w:r>
          <w:rPr>
            <w:rStyle w:val="Hyperlink"/>
          </w:rPr>
          <w:t xml:space="preserve">https://doi.org/10.3354/dao02621</w:t>
        </w:r>
      </w:hyperlink>
      <w:r>
        <w:t xml:space="preserve">.</w:t>
      </w:r>
    </w:p>
    <w:bookmarkEnd w:id="144"/>
    <w:bookmarkStart w:id="146"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45">
        <w:r>
          <w:rPr>
            <w:rStyle w:val="Hyperlink"/>
          </w:rPr>
          <w:t xml:space="preserve">https://doi.org/10.1073/pnas.1518080113</w:t>
        </w:r>
      </w:hyperlink>
      <w:r>
        <w:t xml:space="preserve">.</w:t>
      </w:r>
    </w:p>
    <w:bookmarkEnd w:id="146"/>
    <w:bookmarkStart w:id="148"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47">
        <w:r>
          <w:rPr>
            <w:rStyle w:val="Hyperlink"/>
          </w:rPr>
          <w:t xml:space="preserve">https://doi.org/10.3389/fmars.2018.00012</w:t>
        </w:r>
      </w:hyperlink>
      <w:r>
        <w:t xml:space="preserve">.</w:t>
      </w:r>
    </w:p>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hyperlink" Id="rId98" Target="https://doi.org/10.1002/lno.11291" TargetMode="External" /><Relationship Type="http://schemas.openxmlformats.org/officeDocument/2006/relationships/hyperlink" Id="rId129"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41" Target="https://doi.org/10.1016/j.jip.2017.11.004" TargetMode="External" /><Relationship Type="http://schemas.openxmlformats.org/officeDocument/2006/relationships/hyperlink" Id="rId121" Target="https://doi.org/10.1016/j.mib.2023.102308"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9"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5"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31" Target="https://doi.org/10.1128/AEM.02930-14" TargetMode="External" /><Relationship Type="http://schemas.openxmlformats.org/officeDocument/2006/relationships/hyperlink" Id="rId133" Target="https://doi.org/10.1128/JB.00793-17" TargetMode="External" /><Relationship Type="http://schemas.openxmlformats.org/officeDocument/2006/relationships/hyperlink" Id="rId123" Target="https://doi.org/10.1128/JB.187.2.752-757.2005" TargetMode="External" /><Relationship Type="http://schemas.openxmlformats.org/officeDocument/2006/relationships/hyperlink" Id="rId125"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5"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43" Target="https://doi.org/10.3354/dao02621" TargetMode="External" /><Relationship Type="http://schemas.openxmlformats.org/officeDocument/2006/relationships/hyperlink" Id="rId147" Target="https://doi.org/10.3389/fmars.2018.00012" TargetMode="External" /><Relationship Type="http://schemas.openxmlformats.org/officeDocument/2006/relationships/hyperlink" Id="rId137" Target="https://doi.org/10.3390/d14020097" TargetMode="External" /><Relationship Type="http://schemas.openxmlformats.org/officeDocument/2006/relationships/hyperlink" Id="rId127" Target="https://doi.org/10.4319/lo.1992.37.5.1092" TargetMode="External" /></Relationships>
</file>

<file path=word/_rels/footnotes.xml.rels><?xml version="1.0" encoding="UTF-8"?><Relationships xmlns="http://schemas.openxmlformats.org/package/2006/relationships"><Relationship Type="http://schemas.openxmlformats.org/officeDocument/2006/relationships/hyperlink" Id="rId98" Target="https://doi.org/10.1002/lno.11291" TargetMode="External" /><Relationship Type="http://schemas.openxmlformats.org/officeDocument/2006/relationships/hyperlink" Id="rId129"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41" Target="https://doi.org/10.1016/j.jip.2017.11.004" TargetMode="External" /><Relationship Type="http://schemas.openxmlformats.org/officeDocument/2006/relationships/hyperlink" Id="rId121" Target="https://doi.org/10.1016/j.mib.2023.102308"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9"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5"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31" Target="https://doi.org/10.1128/AEM.02930-14" TargetMode="External" /><Relationship Type="http://schemas.openxmlformats.org/officeDocument/2006/relationships/hyperlink" Id="rId133" Target="https://doi.org/10.1128/JB.00793-17" TargetMode="External" /><Relationship Type="http://schemas.openxmlformats.org/officeDocument/2006/relationships/hyperlink" Id="rId123" Target="https://doi.org/10.1128/JB.187.2.752-757.2005" TargetMode="External" /><Relationship Type="http://schemas.openxmlformats.org/officeDocument/2006/relationships/hyperlink" Id="rId125"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5"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43" Target="https://doi.org/10.3354/dao02621" TargetMode="External" /><Relationship Type="http://schemas.openxmlformats.org/officeDocument/2006/relationships/hyperlink" Id="rId147" Target="https://doi.org/10.3389/fmars.2018.00012" TargetMode="External" /><Relationship Type="http://schemas.openxmlformats.org/officeDocument/2006/relationships/hyperlink" Id="rId137" Target="https://doi.org/10.3390/d14020097" TargetMode="External" /><Relationship Type="http://schemas.openxmlformats.org/officeDocument/2006/relationships/hyperlink" Id="rId127" Target="https://doi.org/10.4319/lo.1992.37.5.10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Dusty Days and a Vibrio Craze: The Influence of Saharan Dust Deposition on Microbial Communities in High Nutrient Coastal Waters</dc:title>
  <dc:creator>Nathan Greenslit</dc:creator>
  <cp:keywords/>
  <dcterms:created xsi:type="dcterms:W3CDTF">2023-05-03T16:46:45Z</dcterms:created>
  <dcterms:modified xsi:type="dcterms:W3CDTF">2023-05-03T16:46:45Z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5/3/23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