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70.png" ContentType="image/png"/>
  <Override PartName="/word/media/rId73.png" ContentType="image/png"/>
  <Override PartName="/word/media/rId37.png" ContentType="image/png"/>
  <Override PartName="/word/media/rId52.png" ContentType="image/png"/>
  <Override PartName="/word/media/rId67.png" ContentType="image/png"/>
  <Override PartName="/word/media/rId45.png" ContentType="image/png"/>
  <Override PartName="/word/media/rId57.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4/25/23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Formenti (2003)</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w:t>
      </w:r>
      <w:r>
        <w:t xml:space="preserve"> </w:t>
      </w:r>
      <w:r>
        <w:t xml:space="preserve">Graham and Duce (1982)</w:t>
      </w:r>
      <w:r>
        <w:t xml:space="preserve">] .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(baseline:13.03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(baseline: 0.69µM nitrate+nitrite, 0.20 µM orthophosphate), and can also be impacted by high nutrients and chlorophyll from storm water runoff; salinity is primarily driven by precipitation. The Gulf site is characterized by constant salinities (~36) and relatively low baseline nutrient levels (baseline: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38" name="Picture"/>
                  <a:graphic>
                    <a:graphicData uri="http://schemas.openxmlformats.org/drawingml/2006/picture">
                      <pic:pic>
                        <pic:nvPicPr>
                          <pic:cNvPr descr="images/000009-01.png" id="39" name="Picture"/>
                          <pic:cNvPicPr>
                            <a:picLocks noChangeArrowheads="1" noChangeAspect="1"/>
                          </pic:cNvPicPr>
                        </pic:nvPicPr>
                        <pic:blipFill>
                          <a:blip r:embed="rId37"/>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42" name="Picture"/>
                  <a:graphic>
                    <a:graphicData uri="http://schemas.openxmlformats.org/drawingml/2006/picture">
                      <pic:pic>
                        <pic:nvPicPr>
                          <pic:cNvPr descr="images/000005-03.png" id="43" name="Picture"/>
                          <pic:cNvPicPr>
                            <a:picLocks noChangeArrowheads="1" noChangeAspect="1"/>
                          </pic:cNvPicPr>
                        </pic:nvPicPr>
                        <pic:blipFill>
                          <a:blip r:embed="rId41"/>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4129"/>
                  <wp:effectExtent b="0" l="0" r="0" t="0"/>
                  <wp:docPr descr="" title="" id="46" name="Picture"/>
                  <a:graphic>
                    <a:graphicData uri="http://schemas.openxmlformats.org/drawingml/2006/picture">
                      <pic:pic>
                        <pic:nvPicPr>
                          <pic:cNvPr descr="images/000019.png" id="47" name="Picture"/>
                          <pic:cNvPicPr>
                            <a:picLocks noChangeArrowheads="1" noChangeAspect="1"/>
                          </pic:cNvPicPr>
                        </pic:nvPicPr>
                        <pic:blipFill>
                          <a:blip r:embed="rId45"/>
                          <a:stretch>
                            <a:fillRect/>
                          </a:stretch>
                        </pic:blipFill>
                        <pic:spPr bwMode="auto">
                          <a:xfrm>
                            <a:off x="0" y="0"/>
                            <a:ext cx="5334000" cy="26641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73"/>
                  <wp:effectExtent b="0" l="0" r="0" t="0"/>
                  <wp:docPr descr="" title="" id="58" name="Picture"/>
                  <a:graphic>
                    <a:graphicData uri="http://schemas.openxmlformats.org/drawingml/2006/picture">
                      <pic:pic>
                        <pic:nvPicPr>
                          <pic:cNvPr descr="images/000055.png" id="59" name="Picture"/>
                          <pic:cNvPicPr>
                            <a:picLocks noChangeArrowheads="1" noChangeAspect="1"/>
                          </pic:cNvPicPr>
                        </pic:nvPicPr>
                        <pic:blipFill>
                          <a:blip r:embed="rId57"/>
                          <a:stretch>
                            <a:fillRect/>
                          </a:stretch>
                        </pic:blipFill>
                        <pic:spPr bwMode="auto">
                          <a:xfrm>
                            <a:off x="0" y="0"/>
                            <a:ext cx="5334000" cy="32955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68" name="Picture"/>
                  <a:graphic>
                    <a:graphicData uri="http://schemas.openxmlformats.org/drawingml/2006/picture">
                      <pic:pic>
                        <pic:nvPicPr>
                          <pic:cNvPr descr="images/000017-02.png" id="69" name="Picture"/>
                          <pic:cNvPicPr>
                            <a:picLocks noChangeArrowheads="1" noChangeAspect="1"/>
                          </pic:cNvPicPr>
                        </pic:nvPicPr>
                        <pic:blipFill>
                          <a:blip r:embed="rId67"/>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71" name="Picture"/>
                  <a:graphic>
                    <a:graphicData uri="http://schemas.openxmlformats.org/drawingml/2006/picture">
                      <pic:pic>
                        <pic:nvPicPr>
                          <pic:cNvPr descr="images/000007-02.png" id="72" name="Picture"/>
                          <pic:cNvPicPr>
                            <a:picLocks noChangeArrowheads="1" noChangeAspect="1"/>
                          </pic:cNvPicPr>
                        </pic:nvPicPr>
                        <pic:blipFill>
                          <a:blip r:embed="rId70"/>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74" name="Picture"/>
                  <a:graphic>
                    <a:graphicData uri="http://schemas.openxmlformats.org/drawingml/2006/picture">
                      <pic:pic>
                        <pic:nvPicPr>
                          <pic:cNvPr descr="images/000007-03.png" id="75" name="Picture"/>
                          <pic:cNvPicPr>
                            <a:picLocks noChangeArrowheads="1" noChangeAspect="1"/>
                          </pic:cNvPicPr>
                        </pic:nvPicPr>
                        <pic:blipFill>
                          <a:blip r:embed="rId73"/>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 [</w:t>
      </w:r>
      <w:r>
        <w:t xml:space="preserve">Gibson et al. (2018)</w:t>
      </w:r>
      <w:r>
        <w:t xml:space="preserve"> </w:t>
      </w:r>
      <w:r>
        <w:t xml:space="preserve">;</w:t>
      </w:r>
      <w:r>
        <w:t xml:space="preserve"> </w:t>
      </w:r>
      <w:r>
        <w:t xml:space="preserve">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 down control, such as viral lysis</w:t>
      </w:r>
      <w:r>
        <w:t xml:space="preserve"> </w:t>
      </w:r>
      <w:r>
        <w:t xml:space="preserve">(</w:t>
      </w:r>
      <w:r>
        <w:rPr>
          <w:bCs/>
          <w:b/>
        </w:rPr>
        <w:t xml:space="preserve">molina-quiroz2023?</w:t>
      </w:r>
      <w:r>
        <w:t xml:space="preserve">)</w:t>
      </w:r>
      <w:r>
        <w:t xml:space="preserve">, or bottom-up controls due to an exhaustion of the resources provided by the dust</w:t>
      </w:r>
      <w:r>
        <w:t xml:space="preserve"> </w:t>
      </w:r>
      <w:r>
        <w:t xml:space="preserve">(</w:t>
      </w:r>
      <w:r>
        <w:rPr>
          <w:bCs/>
          <w:b/>
        </w:rPr>
        <w:t xml:space="preserve">psenner1992?</w:t>
      </w:r>
      <w:r>
        <w:t xml:space="preserve">)</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7th of July, the Gulf experienced a 338-fold increase in</w:t>
      </w:r>
      <w:r>
        <w:t xml:space="preserve"> </w:t>
      </w:r>
      <w:r>
        <w:rPr>
          <w:iCs/>
          <w:i/>
        </w:rPr>
        <w:t xml:space="preserve">Vibrio</w:t>
      </w:r>
      <w:r>
        <w:t xml:space="preserve"> </w:t>
      </w:r>
      <w:r>
        <w:t xml:space="preserve">gene copies/mL, Blind Oso a 3.4-fold increase, and the Canals a 1.3-fold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w:t>
      </w:r>
      <w:r>
        <w:t xml:space="preserve"> </w:t>
      </w:r>
      <w:r>
        <w:t xml:space="preserve">(</w:t>
      </w:r>
      <w:r>
        <w:rPr>
          <w:bCs/>
          <w:b/>
        </w:rPr>
        <w:t xml:space="preserve">wetz?</w:t>
      </w:r>
      <w:r>
        <w:t xml:space="preserve">)</w:t>
      </w:r>
      <w:r>
        <w:t xml:space="preserve">.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on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46" w:name="references"/>
    <w:p>
      <w:pPr>
        <w:pStyle w:val="Heading1"/>
      </w:pPr>
      <w:r>
        <w:t xml:space="preserve">References</w:t>
      </w:r>
    </w:p>
    <w:bookmarkStart w:id="145"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1">
        <w:r>
          <w:rPr>
            <w:rStyle w:val="Hyperlink"/>
          </w:rPr>
          <w:t xml:space="preserve">https://doi.org/10.1128/JB.187.2.752-757.2005</w:t>
        </w:r>
      </w:hyperlink>
      <w:r>
        <w:t xml:space="preserve">.</w:t>
      </w:r>
    </w:p>
    <w:bookmarkEnd w:id="122"/>
    <w:bookmarkStart w:id="124"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3">
        <w:r>
          <w:rPr>
            <w:rStyle w:val="Hyperlink"/>
          </w:rPr>
          <w:t xml:space="preserve">https://doi.org/10.1128/MMBR.00046-15</w:t>
        </w:r>
      </w:hyperlink>
      <w:r>
        <w:t xml:space="preserve">.</w:t>
      </w:r>
    </w:p>
    <w:bookmarkEnd w:id="124"/>
    <w:bookmarkStart w:id="126"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5">
        <w:r>
          <w:rPr>
            <w:rStyle w:val="Hyperlink"/>
          </w:rPr>
          <w:t xml:space="preserve">https://doi.org/10.1007/s10453-022-09752-9</w:t>
        </w:r>
      </w:hyperlink>
      <w:r>
        <w:t xml:space="preserve">.</w:t>
      </w:r>
    </w:p>
    <w:bookmarkEnd w:id="126"/>
    <w:bookmarkStart w:id="128"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27">
        <w:r>
          <w:rPr>
            <w:rStyle w:val="Hyperlink"/>
          </w:rPr>
          <w:t xml:space="preserve">https://doi.org/10.1128/AEM.02930-14</w:t>
        </w:r>
      </w:hyperlink>
      <w:r>
        <w:t xml:space="preserve">.</w:t>
      </w:r>
    </w:p>
    <w:bookmarkEnd w:id="128"/>
    <w:bookmarkStart w:id="130"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29">
        <w:r>
          <w:rPr>
            <w:rStyle w:val="Hyperlink"/>
          </w:rPr>
          <w:t xml:space="preserve">https://doi.org/10.1128/JB.00793-17</w:t>
        </w:r>
      </w:hyperlink>
      <w:r>
        <w:t xml:space="preserve">.</w:t>
      </w:r>
    </w:p>
    <w:bookmarkEnd w:id="130"/>
    <w:bookmarkStart w:id="132"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1">
        <w:r>
          <w:rPr>
            <w:rStyle w:val="Hyperlink"/>
          </w:rPr>
          <w:t xml:space="preserve">https://doi.org/10.1146/annurev.micro.58.030603.123610</w:t>
        </w:r>
      </w:hyperlink>
      <w:r>
        <w:t xml:space="preserve">.</w:t>
      </w:r>
    </w:p>
    <w:bookmarkEnd w:id="132"/>
    <w:bookmarkStart w:id="134"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3">
        <w:r>
          <w:rPr>
            <w:rStyle w:val="Hyperlink"/>
          </w:rPr>
          <w:t xml:space="preserve">https://doi.org/10.3390/d14020097</w:t>
        </w:r>
      </w:hyperlink>
      <w:r>
        <w:t xml:space="preserve">.</w:t>
      </w:r>
    </w:p>
    <w:bookmarkEnd w:id="134"/>
    <w:bookmarkStart w:id="136"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5">
        <w:r>
          <w:rPr>
            <w:rStyle w:val="Hyperlink"/>
          </w:rPr>
          <w:t xml:space="preserve">https://doi.org/10.1029/JD094iD04p05069</w:t>
        </w:r>
      </w:hyperlink>
      <w:r>
        <w:t xml:space="preserve">.</w:t>
      </w:r>
    </w:p>
    <w:bookmarkEnd w:id="136"/>
    <w:bookmarkStart w:id="138"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37">
        <w:r>
          <w:rPr>
            <w:rStyle w:val="Hyperlink"/>
          </w:rPr>
          <w:t xml:space="preserve">https://doi.org/10.1016/j.jip.2017.11.004</w:t>
        </w:r>
      </w:hyperlink>
      <w:r>
        <w:t xml:space="preserve">.</w:t>
      </w:r>
    </w:p>
    <w:bookmarkEnd w:id="138"/>
    <w:bookmarkStart w:id="140"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39">
        <w:r>
          <w:rPr>
            <w:rStyle w:val="Hyperlink"/>
          </w:rPr>
          <w:t xml:space="preserve">https://doi.org/10.3354/dao02621</w:t>
        </w:r>
      </w:hyperlink>
      <w:r>
        <w:t xml:space="preserve">.</w:t>
      </w:r>
    </w:p>
    <w:bookmarkEnd w:id="140"/>
    <w:bookmarkStart w:id="142"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1">
        <w:r>
          <w:rPr>
            <w:rStyle w:val="Hyperlink"/>
          </w:rPr>
          <w:t xml:space="preserve">https://doi.org/10.1073/pnas.1518080113</w:t>
        </w:r>
      </w:hyperlink>
      <w:r>
        <w:t xml:space="preserve">.</w:t>
      </w:r>
    </w:p>
    <w:bookmarkEnd w:id="142"/>
    <w:bookmarkStart w:id="144"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3">
        <w:r>
          <w:rPr>
            <w:rStyle w:val="Hyperlink"/>
          </w:rPr>
          <w:t xml:space="preserve">https://doi.org/10.3389/fmars.2018.00012</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5"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37" Target="https://doi.org/10.1016/j.jip.2017.11.004"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5"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1"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27" Target="https://doi.org/10.1128/AEM.02930-14" TargetMode="External" /><Relationship Type="http://schemas.openxmlformats.org/officeDocument/2006/relationships/hyperlink" Id="rId129" Target="https://doi.org/10.1128/JB.00793-17" TargetMode="External" /><Relationship Type="http://schemas.openxmlformats.org/officeDocument/2006/relationships/hyperlink" Id="rId121" Target="https://doi.org/10.1128/JB.187.2.752-757.2005" TargetMode="External" /><Relationship Type="http://schemas.openxmlformats.org/officeDocument/2006/relationships/hyperlink" Id="rId123"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1"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39" Target="https://doi.org/10.3354/dao02621" TargetMode="External" /><Relationship Type="http://schemas.openxmlformats.org/officeDocument/2006/relationships/hyperlink" Id="rId143" Target="https://doi.org/10.3389/fmars.2018.00012" TargetMode="External" /><Relationship Type="http://schemas.openxmlformats.org/officeDocument/2006/relationships/hyperlink" Id="rId133" Target="https://doi.org/10.3390/d14020097"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5"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37" Target="https://doi.org/10.1016/j.jip.2017.11.004"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5"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1"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27" Target="https://doi.org/10.1128/AEM.02930-14" TargetMode="External" /><Relationship Type="http://schemas.openxmlformats.org/officeDocument/2006/relationships/hyperlink" Id="rId129" Target="https://doi.org/10.1128/JB.00793-17" TargetMode="External" /><Relationship Type="http://schemas.openxmlformats.org/officeDocument/2006/relationships/hyperlink" Id="rId121" Target="https://doi.org/10.1128/JB.187.2.752-757.2005" TargetMode="External" /><Relationship Type="http://schemas.openxmlformats.org/officeDocument/2006/relationships/hyperlink" Id="rId123"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1"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39" Target="https://doi.org/10.3354/dao02621" TargetMode="External" /><Relationship Type="http://schemas.openxmlformats.org/officeDocument/2006/relationships/hyperlink" Id="rId143" Target="https://doi.org/10.3389/fmars.2018.00012" TargetMode="External" /><Relationship Type="http://schemas.openxmlformats.org/officeDocument/2006/relationships/hyperlink" Id="rId133" Target="https://doi.org/10.3390/d140200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2023-04-25T14:24:57Z</dcterms:created>
  <dcterms:modified xsi:type="dcterms:W3CDTF">2023-04-25T14:24:57Z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4/25/23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