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5.png" ContentType="image/png"/>
  <Override PartName="/word/media/rId51.png" ContentType="image/png"/>
  <Override PartName="/word/media/rId58.png" ContentType="image/png"/>
  <Override PartName="/word/media/rId66.png" ContentType="image/png"/>
  <Override PartName="/word/media/rId69.png" ContentType="image/png"/>
  <Override PartName="/word/media/rId72.png" ContentType="image/png"/>
  <Override PartName="/word/media/rId62.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Nathan</w:t>
      </w:r>
      <w:r>
        <w:t xml:space="preserve"> </w:t>
      </w:r>
      <w:r>
        <w:t xml:space="preserve">Greenslit</w:t>
      </w:r>
      <w:r>
        <w:t xml:space="preserve"> </w:t>
      </w:r>
      <w:r>
        <w:t xml:space="preserve">Data</w:t>
      </w:r>
      <w:r>
        <w:t xml:space="preserve"> </w:t>
      </w:r>
      <w:r>
        <w:t xml:space="preserve">Analysis</w:t>
      </w:r>
      <w:r>
        <w:t xml:space="preserve"> </w:t>
      </w:r>
      <w:r>
        <w:t xml:space="preserve">Project</w:t>
      </w:r>
    </w:p>
    <w:p>
      <w:pPr>
        <w:pStyle w:val="Author"/>
      </w:pPr>
      <w:r>
        <w:t xml:space="preserve">Nathan</w:t>
      </w:r>
      <w:r>
        <w:t xml:space="preserve"> </w:t>
      </w:r>
      <w:r>
        <w:t xml:space="preserve">Greenslit</w:t>
      </w:r>
    </w:p>
    <w:p>
      <w:pPr>
        <w:pStyle w:val="Date"/>
      </w:pPr>
      <w:r>
        <w:t xml:space="preserve">4/19/23</w:t>
      </w:r>
    </w:p>
    <w:bookmarkStart w:id="20" w:name="edits"/>
    <w:p>
      <w:pPr>
        <w:pStyle w:val="Heading1"/>
      </w:pPr>
      <w:r>
        <w:t xml:space="preserve">Edits</w:t>
      </w:r>
    </w:p>
    <w:p>
      <w:pPr>
        <w:numPr>
          <w:ilvl w:val="0"/>
          <w:numId w:val="1001"/>
        </w:numPr>
      </w:pPr>
      <w:r>
        <w:t xml:space="preserve">I would do a lot of visual inspections to see how the different models fit and what they predict. You can try a linear model and a more complex ML one and compare to see if maybe something beyond a linear relationship improves results.</w:t>
      </w:r>
    </w:p>
    <w:p>
      <w:pPr>
        <w:numPr>
          <w:ilvl w:val="0"/>
          <w:numId w:val="1001"/>
        </w:numPr>
      </w:pPr>
      <w:r>
        <w:t xml:space="preserve">Given that you don’t have a lot of data, I’m not sure a PCA makes sense. I think in-depth analysis of the relation between the variables and the outcome and then in addition to the linear models trying a few more complex ones will probably be the better approach.</w:t>
      </w:r>
    </w:p>
    <w:p>
      <w:pPr>
        <w:numPr>
          <w:ilvl w:val="0"/>
          <w:numId w:val="1001"/>
        </w:numPr>
      </w:pPr>
      <w:r>
        <w:t xml:space="preserve">The figures in the manuscript look good, but some are too small to read. Needs breaking up and/or increasing font size</w:t>
      </w:r>
    </w:p>
    <w:bookmarkEnd w:id="20"/>
    <w:bookmarkStart w:id="21"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pPr>
        <w:pStyle w:val="BodyText"/>
      </w:pPr>
      <w:r>
        <w:t xml:space="preserve"> </w:t>
      </w:r>
    </w:p>
    <w:p>
      <w:r>
        <w:br w:type="page"/>
      </w:r>
    </w:p>
    <w:bookmarkEnd w:id="21"/>
    <w:bookmarkStart w:id="28" w:name="introduction"/>
    <w:p>
      <w:pPr>
        <w:pStyle w:val="Heading1"/>
      </w:pPr>
      <w:r>
        <w:t xml:space="preserve">Introduction</w:t>
      </w:r>
    </w:p>
    <w:bookmarkStart w:id="22" w:name="saharan-dust"/>
    <w:p>
      <w:pPr>
        <w:pStyle w:val="Heading2"/>
      </w:pPr>
      <w:r>
        <w:t xml:space="preserve">Saharan Dust</w:t>
      </w:r>
    </w:p>
    <w:p>
      <w:pPr>
        <w:pStyle w:val="FirstParagraph"/>
      </w:pPr>
      <w:r>
        <w:t xml:space="preserve">The Sahara Desert is a significant source of atmospheric dust, eliciting an estimated one billion metric tons each year [</w:t>
      </w:r>
      <w:r>
        <w:t xml:space="preserve">d’Almeida (1986)</w:t>
      </w:r>
      <w:r>
        <w:t xml:space="preserve">]. Annually, plumes of this dust travel across the Atlantic via easterly trade winds to be deposited in the surface waters of the Atlantic, Caribbean, and Gulf of Mexico. These dust events are highly episodic, occurring 3- 4 times a year typically in the summer months and lasting 3-5 days each. Dust aerosols can harbor a wide diversity of bacteria [</w:t>
      </w:r>
      <w:r>
        <w:t xml:space="preserve">Kellogg et al. (2004)</w:t>
      </w:r>
      <w:r>
        <w:t xml:space="preserve">], fungi [</w:t>
      </w:r>
      <w:r>
        <w:t xml:space="preserve">Ramírez-Camejo et al. (2022)</w:t>
      </w:r>
      <w:r>
        <w:t xml:space="preserve">], virus-like particles [</w:t>
      </w:r>
      <w:r>
        <w:t xml:space="preserve">Griffin et al. (n.d.)</w:t>
      </w:r>
      <w:r>
        <w:t xml:space="preserve">], and minerals [</w:t>
      </w:r>
      <w:r>
        <w:t xml:space="preserve">(</w:t>
      </w:r>
      <w:r>
        <w:rPr>
          <w:bCs/>
          <w:b/>
        </w:rPr>
        <w:t xml:space="preserve">formenti2003?</w:t>
      </w:r>
      <w:r>
        <w:t xml:space="preserve">)</w:t>
      </w:r>
      <w:r>
        <w:t xml:space="preserve">]. These aerosols also serve as a significant source of macro and micronutrients such as phosphate, nitrate, and iron [</w:t>
      </w:r>
      <w:r>
        <w:t xml:space="preserve">Mills et al. (2004)</w:t>
      </w:r>
      <w:r>
        <w:t xml:space="preserve">;</w:t>
      </w:r>
      <w:r>
        <w:t xml:space="preserve"> </w:t>
      </w:r>
      <w:r>
        <w:t xml:space="preserve">Savoie, Prospero, and Saltzman (1989)</w:t>
      </w:r>
      <w:r>
        <w:t xml:space="preserve"> </w:t>
      </w:r>
      <w:r>
        <w:t xml:space="preserve">;</w:t>
      </w:r>
      <w:r>
        <w:t xml:space="preserve"> </w:t>
      </w:r>
      <w:r>
        <w:t xml:space="preserve">(</w:t>
      </w:r>
      <w:r>
        <w:rPr>
          <w:bCs/>
          <w:b/>
        </w:rPr>
        <w:t xml:space="preserve">graham1982?</w:t>
      </w:r>
      <w:r>
        <w:t xml:space="preserve">)</w:t>
      </w:r>
      <w:r>
        <w:t xml:space="preserve">] . This addition of otherwise limiting resources can lead to rapid and potentially harmful blooms of certain microbial groups [</w:t>
      </w:r>
      <w:r>
        <w:t xml:space="preserve">Lenes et al. (2008)</w:t>
      </w:r>
      <w:r>
        <w:t xml:space="preserve">;</w:t>
      </w:r>
      <w:r>
        <w:t xml:space="preserve"> </w:t>
      </w:r>
      <w:r>
        <w:t xml:space="preserve">Westrich et al. (2016)</w:t>
      </w:r>
      <w:r>
        <w:t xml:space="preserve"> </w:t>
      </w:r>
      <w:r>
        <w:t xml:space="preserve">;</w:t>
      </w:r>
      <w:r>
        <w:t xml:space="preserve"> </w:t>
      </w:r>
      <w:r>
        <w:t xml:space="preserve">Westrich et al. (2016)</w:t>
      </w:r>
      <w:r>
        <w:t xml:space="preserve">].</w:t>
      </w:r>
    </w:p>
    <w:bookmarkEnd w:id="22"/>
    <w:bookmarkStart w:id="25"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3"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 Each year, plumes of Saharan dust travel across the Atlantic via easterly trade winds. These plumes are then deposited in the surface waters of the mid-Atlantic, Caribbean, and Gulf of Mexico. These dust aerosols harbor a wide range of fungi, bacteria, virus-like-particles, minerals, and nutrients (NO3, Fe, PO4). Addition of these nutrients to otherwise oligotrophic settings can result in large and rapid blooms of potentially harmful microbes, presenting a danger to both marine and human health.</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 [</w:t>
      </w:r>
      <w:r>
        <w:t xml:space="preserve">Baker-Austin et al. (2018)</w:t>
      </w:r>
      <w:r>
        <w:t xml:space="preserve">]. Some species also pose a threat to marine health, inducing mortality in oyster and clam larvae (</w:t>
      </w:r>
      <w:r>
        <w:rPr>
          <w:iCs/>
          <w:i/>
        </w:rPr>
        <w:t xml:space="preserve">V. tubiashii, V. coralliilyticus</w:t>
      </w:r>
      <w:r>
        <w:t xml:space="preserve">), bacterial bleaching and rapid tissue loss in corals (</w:t>
      </w:r>
      <w:r>
        <w:rPr>
          <w:iCs/>
          <w:i/>
        </w:rPr>
        <w:t xml:space="preserve">V. mediterranei, V. coralliilyticus</w:t>
      </w:r>
      <w:r>
        <w:t xml:space="preserve">) [</w:t>
      </w:r>
      <w:r>
        <w:t xml:space="preserve">Richards et al. (2015)</w:t>
      </w:r>
      <w:r>
        <w:t xml:space="preserve">;</w:t>
      </w:r>
      <w:r>
        <w:t xml:space="preserve"> </w:t>
      </w:r>
      <w:r>
        <w:t xml:space="preserve">Rosenberg and Falkovitz (2004)</w:t>
      </w:r>
      <w:r>
        <w:t xml:space="preserve">;</w:t>
      </w:r>
      <w:r>
        <w:t xml:space="preserve"> </w:t>
      </w:r>
      <w:r>
        <w:t xml:space="preserve">Ben-Haim et al. (2003)</w:t>
      </w:r>
      <w:r>
        <w:t xml:space="preserve">], and mortality in important aquaculture species such as penaeid shrimp (</w:t>
      </w:r>
      <w:r>
        <w:rPr>
          <w:iCs/>
          <w:i/>
        </w:rPr>
        <w:t xml:space="preserve">V. parahaemolyticus</w:t>
      </w:r>
      <w:r>
        <w:t xml:space="preserve">) and sea breams (</w:t>
      </w:r>
      <w:r>
        <w:rPr>
          <w:iCs/>
          <w:i/>
        </w:rPr>
        <w:t xml:space="preserve">V. harveyi)</w:t>
      </w:r>
      <w:r>
        <w:t xml:space="preserve"> </w:t>
      </w:r>
      <w:r>
        <w:t xml:space="preserve">[</w:t>
      </w:r>
      <w:r>
        <w:t xml:space="preserve">Tran et al. (2013)</w:t>
      </w:r>
      <w:r>
        <w:t xml:space="preserve">;</w:t>
      </w:r>
      <w:r>
        <w:t xml:space="preserve"> </w:t>
      </w:r>
      <w:r>
        <w:t xml:space="preserve">Haldar et al. (2010)</w:t>
      </w:r>
      <w:r>
        <w:t xml:space="preserve">] among others.</w:t>
      </w:r>
    </w:p>
    <w:bookmarkEnd w:id="23"/>
    <w:bookmarkStart w:id="24"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4"/>
    <w:bookmarkEnd w:id="25"/>
    <w:bookmarkStart w:id="26"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6"/>
    <w:bookmarkStart w:id="27" w:name="questionshypotheses-to-be-addressed"/>
    <w:p>
      <w:pPr>
        <w:pStyle w:val="Heading2"/>
      </w:pPr>
      <w:r>
        <w:t xml:space="preserve">Questions/Hypotheses to be addressed</w:t>
      </w:r>
    </w:p>
    <w:p>
      <w:pPr>
        <w:pStyle w:val="FirstParagraph"/>
      </w:pPr>
      <w:r>
        <w:t xml:space="preserve">How do Saharan dust events influence Vibrio populations in high nutrient coastal waters?</w:t>
      </w:r>
    </w:p>
    <w:p>
      <w:pPr>
        <w:pStyle w:val="BodyText"/>
      </w:pPr>
      <w:r>
        <w:rPr>
          <w:iCs/>
          <w:i/>
        </w:rPr>
        <w:t xml:space="preserve">What I am looking for</w:t>
      </w:r>
      <w:r>
        <w:t xml:space="preserve"> </w:t>
      </w: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p>
      <w:pPr>
        <w:pStyle w:val="BodyText"/>
      </w:pPr>
      <w:r>
        <w:rPr>
          <w:iCs/>
          <w:i/>
        </w:rPr>
        <w:t xml:space="preserve">How I will analyze it</w:t>
      </w:r>
      <w:r>
        <w:t xml:space="preserve"> </w:t>
      </w:r>
      <w:r>
        <w:t xml:space="preserve">- Look at Vibrio growth over time series (estimated from qPCR) - Examine relationships between dust input and Vibrio growth - Examine influence of site-specific environmental parameters (Temperature, Salinity, Nutrients) on growth response - Run linear models on factors like: dust x growth and nutrients x growth - NMDS to see which parameters have the strongest influence on growth</w:t>
      </w:r>
    </w:p>
    <w:bookmarkEnd w:id="27"/>
    <w:bookmarkEnd w:id="28"/>
    <w:bookmarkStart w:id="39" w:name="methods"/>
    <w:p>
      <w:pPr>
        <w:pStyle w:val="Heading1"/>
      </w:pPr>
      <w:r>
        <w:t xml:space="preserve">Methods</w:t>
      </w:r>
    </w:p>
    <w:bookmarkStart w:id="31"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Blind Oso Bay is a shallow tributary that is popular amongst wadefisherman and kayakers. The Bay is often impacted by fluctuating salinities and high levels of nutrients and chlorophyl due to its proximity to a wastewater treatment plant</w:t>
      </w:r>
      <w:r>
        <w:t xml:space="preserve"> </w:t>
      </w:r>
      <w:r>
        <w:t xml:space="preserve">(</w:t>
      </w:r>
      <w:r>
        <w:rPr>
          <w:bCs/>
          <w:b/>
        </w:rPr>
        <w:t xml:space="preserve">wetz?</w:t>
      </w:r>
      <w:r>
        <w:t xml:space="preserve">)</w:t>
      </w:r>
      <w:r>
        <w:t xml:space="preserve"> </w:t>
      </w:r>
      <w:r>
        <w:t xml:space="preserve">Additionally, the Bay has persistent issues with high levels of fecal indicator bacteria, placing it on the U.S. impaired waters list (</w:t>
      </w:r>
      <w:hyperlink r:id="rId29">
        <w:r>
          <w:rPr>
            <w:rStyle w:val="Hyperlink"/>
          </w:rPr>
          <w:t xml:space="preserve">Nicolau &amp; Hill, 2014</w:t>
        </w:r>
      </w:hyperlink>
      <w:r>
        <w:t xml:space="preserve">,</w:t>
      </w:r>
      <w:r>
        <w:t xml:space="preserve"> </w:t>
      </w:r>
      <w:hyperlink r:id="rId30">
        <w:r>
          <w:rPr>
            <w:rStyle w:val="Hyperlink"/>
          </w:rPr>
          <w:t xml:space="preserve">Texas Commission on Environmental Quality, 2022</w:t>
        </w:r>
      </w:hyperlink>
      <w:r>
        <w:t xml:space="preserve">). The residential canal system is also impacted by high nutrients and chlorophyl from storm water runoff, and salinity is primarily driven by precipitation. The Gulf site is characterized by constant salinities (~36) and low nutrient levels.</w:t>
      </w:r>
      <w:r>
        <w:t xml:space="preserve"> </w:t>
      </w:r>
    </w:p>
    <w:bookmarkEnd w:id="31"/>
    <w:bookmarkStart w:id="34" w:name="sample-collection-and-processing"/>
    <w:p>
      <w:pPr>
        <w:pStyle w:val="Heading2"/>
      </w:pPr>
      <w:r>
        <w:t xml:space="preserve">Sample Collection and Processing</w:t>
      </w:r>
    </w:p>
    <w:bookmarkStart w:id="32"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32"/>
    <w:bookmarkStart w:id="33"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quantitative PCR (qPCR) method. Estimates were made using genus-specific quantitative polymerase chain reaction (qPCR) 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r>
        <w:t xml:space="preserve"> </w:t>
      </w:r>
    </w:p>
    <w:bookmarkEnd w:id="33"/>
    <w:bookmarkEnd w:id="34"/>
    <w:bookmarkStart w:id="38" w:name="data-import-and-cleaning"/>
    <w:p>
      <w:pPr>
        <w:pStyle w:val="Heading2"/>
      </w:pPr>
      <w:r>
        <w:t xml:space="preserve">Data import and cleaning</w:t>
      </w:r>
    </w:p>
    <w:p>
      <w:pPr>
        <w:pStyle w:val="FirstParagraph"/>
      </w:pPr>
      <w:r>
        <w:t xml:space="preserve">This project works with three primary data sets. (1) Enumeration of Vibrio bacteria as copies/mL from quantitative 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5"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5"/>
    <w:bookmarkStart w:id="36"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timpoints from UTC to CST/CDT and created different dust permutations (individual time points, sums by day, and average by day). Because samples were collected between 0700 and 1100, a 24h composite permutation was made. This permutation is what was used for all downstream analyses.</w:t>
      </w:r>
    </w:p>
    <w:bookmarkEnd w:id="36"/>
    <w:bookmarkStart w:id="37" w:name="cleaning-of-environment-data-set"/>
    <w:p>
      <w:pPr>
        <w:pStyle w:val="Heading4"/>
      </w:pPr>
      <w:r>
        <w:t xml:space="preserve">Cleaning of Environment data set</w:t>
      </w:r>
    </w:p>
    <w:p>
      <w:pPr>
        <w:pStyle w:val="FirstParagraph"/>
      </w:pPr>
      <w:r>
        <w:t xml:space="preserve">This data set did not require any cleaning.</w:t>
      </w:r>
    </w:p>
    <w:p>
      <w:r>
        <w:br w:type="page"/>
      </w:r>
    </w:p>
    <w:bookmarkEnd w:id="37"/>
    <w:bookmarkEnd w:id="38"/>
    <w:bookmarkEnd w:id="39"/>
    <w:bookmarkStart w:id="79" w:name="results"/>
    <w:p>
      <w:pPr>
        <w:pStyle w:val="Heading1"/>
      </w:pPr>
      <w:r>
        <w:t xml:space="preserve">Results</w:t>
      </w:r>
    </w:p>
    <w:bookmarkStart w:id="48" w:name="exploratorydescriptive-analysis"/>
    <w:p>
      <w:pPr>
        <w:pStyle w:val="Heading2"/>
      </w:pPr>
      <w:r>
        <w:t xml:space="preserve">Exploratory/Descriptive analysis</w:t>
      </w:r>
    </w:p>
    <w:bookmarkStart w:id="43" w:name="dust-aod-and-vibrio-enumeration"/>
    <w:p>
      <w:pPr>
        <w:pStyle w:val="Heading4"/>
      </w:pPr>
      <w:r>
        <w:t xml:space="preserve">Dust AOD and Vibrio Enumeration</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55-57. Dust AOD returned to lower concentrations following the time series. The top portion of the figure depicts total enumerated Vibrio as copies per mL, with color by site. There is a noticeable shift in</w:t>
      </w:r>
      <w:r>
        <w:t xml:space="preserve"> </w:t>
      </w:r>
      <w:r>
        <w:rPr>
          <w:iCs/>
          <w:i/>
        </w:rPr>
        <w:t xml:space="preserve">Vibrio</w:t>
      </w:r>
      <w:r>
        <w:t xml:space="preserve"> </w:t>
      </w:r>
      <w:r>
        <w:t xml:space="preserve">growth at the Gulf site, a less noticeable but still present shift in Blind Oso Bay, and practically no changes in the Canal site.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1" name="Picture"/>
                  <a:graphic>
                    <a:graphicData uri="http://schemas.openxmlformats.org/drawingml/2006/picture">
                      <pic:pic>
                        <pic:nvPicPr>
                          <pic:cNvPr descr="images/paste-C33B6E43.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Daily Vibrio at All Sites</w:t>
            </w:r>
          </w:p>
        </w:tc>
      </w:tr>
    </w:tbl>
    <w:bookmarkEnd w:id="43"/>
    <w:bookmarkStart w:id="47" w:name="environmental-parameters"/>
    <w:p>
      <w:pPr>
        <w:pStyle w:val="Heading4"/>
      </w:pPr>
      <w:r>
        <w:t xml:space="preserve">Environmental Parameters</w:t>
      </w:r>
    </w:p>
    <w:p>
      <w:pPr>
        <w:pStyle w:val="FirstParagraph"/>
      </w:pPr>
      <w:r>
        <w:t xml:space="preserve">Environmental parameters were site-specific. Temperature and salinities were consistent and high at the Canals (</w:t>
      </w:r>
      <w:r>
        <w:t xml:space="preserve"> </w:t>
      </w:r>
      <w:r>
        <w:t xml:space="preserve">). While salinity remained relatively constant at the Gulf ,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DON and DOC had distinct peaks at Blind Oso on days following dust deposition, where DON exhibited smaller peaks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45" name="Picture"/>
                  <a:graphic>
                    <a:graphicData uri="http://schemas.openxmlformats.org/drawingml/2006/picture">
                      <pic:pic>
                        <pic:nvPicPr>
                          <pic:cNvPr descr="images/00000f%20(1).png" id="46" name="Picture"/>
                          <pic:cNvPicPr>
                            <a:picLocks noChangeArrowheads="1" noChangeAspect="1"/>
                          </pic:cNvPicPr>
                        </pic:nvPicPr>
                        <pic:blipFill>
                          <a:blip r:embed="rId44"/>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Environmental parameters across daily time series</w:t>
            </w:r>
          </w:p>
        </w:tc>
      </w:tr>
    </w:tbl>
    <w:bookmarkEnd w:id="47"/>
    <w:bookmarkEnd w:id="48"/>
    <w:bookmarkStart w:id="77" w:name="statistical-analysis"/>
    <w:p>
      <w:pPr>
        <w:pStyle w:val="Heading2"/>
      </w:pPr>
      <w:r>
        <w:t xml:space="preserve">Statistical analysis</w:t>
      </w:r>
    </w:p>
    <w:bookmarkStart w:id="49" w:name="check-distributions"/>
    <w:p>
      <w:pPr>
        <w:pStyle w:val="Heading3"/>
      </w:pPr>
      <w:r>
        <w:t xml:space="preserve">Check Distributions:</w:t>
      </w:r>
    </w:p>
    <w:p>
      <w:pPr>
        <w:pStyle w:val="FirstParagraph"/>
      </w:pPr>
      <w:r>
        <w:t xml:space="preserve">Shapiro-Wilk’s tests were conducted to assess distribution of the data. Any data that did not have a normal distribution was log-transformed and the test was run again. Variables that continue to fail normality will have non-parametric tests run on them.</w:t>
      </w:r>
    </w:p>
    <w:bookmarkEnd w:id="49"/>
    <w:bookmarkStart w:id="50" w:name="cross-correlation-analysis"/>
    <w:p>
      <w:pPr>
        <w:pStyle w:val="Heading3"/>
      </w:pPr>
      <w:r>
        <w:t xml:space="preserve">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showed that BO has a significant lag relationship a value of -1. In other words, dust occurs, and one day later, we see a response in copies_mL. C2 has a lag at -2, and RD at -1.</w:t>
      </w:r>
    </w:p>
    <w:bookmarkEnd w:id="50"/>
    <w:bookmarkStart w:id="54" w:name="correlation-matrices"/>
    <w:p>
      <w:pPr>
        <w:pStyle w:val="Heading3"/>
      </w:pPr>
      <w:r>
        <w:t xml:space="preserve">Correlation Matrices</w:t>
      </w:r>
    </w:p>
    <w:p>
      <w:pPr>
        <w:pStyle w:val="FirstParagraph"/>
      </w:pPr>
      <w:r>
        <w:t xml:space="preserve">Data that is normally distributed was run with Pearson’s Correlation Coefficient. Data that is not normally distributed was run with Spearman’s Correlation Coefficient.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4845"/>
                  <wp:effectExtent b="0" l="0" r="0" t="0"/>
                  <wp:docPr descr="" title="" id="52" name="Picture"/>
                  <a:graphic>
                    <a:graphicData uri="http://schemas.openxmlformats.org/drawingml/2006/picture">
                      <pic:pic>
                        <pic:nvPicPr>
                          <pic:cNvPr descr="images/000081.png" id="53" name="Picture"/>
                          <pic:cNvPicPr>
                            <a:picLocks noChangeArrowheads="1" noChangeAspect="1"/>
                          </pic:cNvPicPr>
                        </pic:nvPicPr>
                        <pic:blipFill>
                          <a:blip r:embed="rId51"/>
                          <a:stretch>
                            <a:fillRect/>
                          </a:stretch>
                        </pic:blipFill>
                        <pic:spPr bwMode="auto">
                          <a:xfrm>
                            <a:off x="0" y="0"/>
                            <a:ext cx="5334000" cy="32948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tc>
      </w:tr>
    </w:tbl>
    <w:bookmarkEnd w:id="54"/>
    <w:bookmarkStart w:id="61" w:name="linear-regression-models"/>
    <w:p>
      <w:pPr>
        <w:pStyle w:val="Heading3"/>
      </w:pPr>
      <w:r>
        <w:t xml:space="preserve">Linear Regression Models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81525" cy="2830662"/>
                  <wp:effectExtent b="0" l="0" r="0" t="0"/>
                  <wp:docPr descr="" title="" id="56" name="Picture"/>
                  <a:graphic>
                    <a:graphicData uri="http://schemas.openxmlformats.org/drawingml/2006/picture">
                      <pic:pic>
                        <pic:nvPicPr>
                          <pic:cNvPr descr="images/000055.png" id="57" name="Picture"/>
                          <pic:cNvPicPr>
                            <a:picLocks noChangeArrowheads="1" noChangeAspect="1"/>
                          </pic:cNvPicPr>
                        </pic:nvPicPr>
                        <pic:blipFill>
                          <a:blip r:embed="rId55"/>
                          <a:stretch>
                            <a:fillRect/>
                          </a:stretch>
                        </pic:blipFill>
                        <pic:spPr bwMode="auto">
                          <a:xfrm>
                            <a:off x="0" y="0"/>
                            <a:ext cx="4581525" cy="28306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59" name="Picture"/>
                  <a:graphic>
                    <a:graphicData uri="http://schemas.openxmlformats.org/drawingml/2006/picture">
                      <pic:pic>
                        <pic:nvPicPr>
                          <pic:cNvPr descr="images/Screen%20Shot%202023-04-19%20at%201.33.37%20PM.png" id="60" name="Picture"/>
                          <pic:cNvPicPr>
                            <a:picLocks noChangeArrowheads="1" noChangeAspect="1"/>
                          </pic:cNvPicPr>
                        </pic:nvPicPr>
                        <pic:blipFill>
                          <a:blip r:embed="rId58"/>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1"/>
    <w:bookmarkStart w:id="76" w:name="multi-variate-models"/>
    <w:p>
      <w:pPr>
        <w:pStyle w:val="Heading3"/>
      </w:pPr>
      <w:r>
        <w:t xml:space="preserve">Multi-variate Models</w:t>
      </w:r>
    </w:p>
    <w:bookmarkStart w:id="65"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3" name="Picture"/>
                  <a:graphic>
                    <a:graphicData uri="http://schemas.openxmlformats.org/drawingml/2006/picture">
                      <pic:pic>
                        <pic:nvPicPr>
                          <pic:cNvPr descr="images/Screen%20Shot%202023-04-19%20at%202.08.25%20PM.png" id="64" name="Picture"/>
                          <pic:cNvPicPr>
                            <a:picLocks noChangeArrowheads="1" noChangeAspect="1"/>
                          </pic:cNvPicPr>
                        </pic:nvPicPr>
                        <pic:blipFill>
                          <a:blip r:embed="rId62"/>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bookmarkEnd w:id="65"/>
    <w:bookmarkStart w:id="75" w:name="linear-regressions"/>
    <w:p>
      <w:pPr>
        <w:pStyle w:val="Heading4"/>
      </w:pPr>
      <w:r>
        <w:t xml:space="preserve">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67" name="Picture"/>
                  <a:graphic>
                    <a:graphicData uri="http://schemas.openxmlformats.org/drawingml/2006/picture">
                      <pic:pic>
                        <pic:nvPicPr>
                          <pic:cNvPr descr="images/Screen%20Shot%202023-04-19%20at%201.36.29%20PM.png" id="68" name="Picture"/>
                          <pic:cNvPicPr>
                            <a:picLocks noChangeArrowheads="1" noChangeAspect="1"/>
                          </pic:cNvPicPr>
                        </pic:nvPicPr>
                        <pic:blipFill>
                          <a:blip r:embed="rId66"/>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70" name="Picture"/>
                  <a:graphic>
                    <a:graphicData uri="http://schemas.openxmlformats.org/drawingml/2006/picture">
                      <pic:pic>
                        <pic:nvPicPr>
                          <pic:cNvPr descr="images/Screen%20Shot%202023-04-19%20at%201.37.02%20PM.png" id="71" name="Picture"/>
                          <pic:cNvPicPr>
                            <a:picLocks noChangeArrowheads="1" noChangeAspect="1"/>
                          </pic:cNvPicPr>
                        </pic:nvPicPr>
                        <pic:blipFill>
                          <a:blip r:embed="rId69"/>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73" name="Picture"/>
                  <a:graphic>
                    <a:graphicData uri="http://schemas.openxmlformats.org/drawingml/2006/picture">
                      <pic:pic>
                        <pic:nvPicPr>
                          <pic:cNvPr descr="images/Screen%20Shot%202023-04-19%20at%201.37.21%20PM.png" id="74" name="Picture"/>
                          <pic:cNvPicPr>
                            <a:picLocks noChangeArrowheads="1" noChangeAspect="1"/>
                          </pic:cNvPicPr>
                        </pic:nvPicPr>
                        <pic:blipFill>
                          <a:blip r:embed="rId72"/>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performed the best, with mean RMSE values much lower than the Null Model.</w:t>
      </w:r>
    </w:p>
    <w:bookmarkEnd w:id="75"/>
    <w:bookmarkEnd w:id="76"/>
    <w:bookmarkEnd w:id="77"/>
    <w:bookmarkStart w:id="78" w:name="full-analysis"/>
    <w:p>
      <w:pPr>
        <w:pStyle w:val="Heading2"/>
      </w:pPr>
      <w:r>
        <w:t xml:space="preserve">Full analysis</w:t>
      </w:r>
    </w:p>
    <w:p>
      <w:r>
        <w:br w:type="page"/>
      </w:r>
    </w:p>
    <w:bookmarkEnd w:id="78"/>
    <w:bookmarkEnd w:id="79"/>
    <w:bookmarkStart w:id="87" w:name="discussion"/>
    <w:p>
      <w:pPr>
        <w:pStyle w:val="Heading1"/>
      </w:pPr>
      <w:r>
        <w:t xml:space="preserve">Discussion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we found that growth response following dust input varied by site.</w:t>
      </w:r>
    </w:p>
    <w:bookmarkStart w:id="84" w:name="summary-and-interpretation"/>
    <w:p>
      <w:pPr>
        <w:pStyle w:val="Heading2"/>
      </w:pPr>
      <w:r>
        <w:t xml:space="preserve">Summary and Interpretation</w:t>
      </w:r>
    </w:p>
    <w:bookmarkStart w:id="80" w:name="methods-1"/>
    <w:p>
      <w:pPr>
        <w:pStyle w:val="Heading3"/>
      </w:pPr>
      <w:r>
        <w:t xml:space="preserve">Methods</w:t>
      </w:r>
    </w:p>
    <w:p>
      <w:pPr>
        <w:pStyle w:val="FirstParagraph"/>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The Gulf, with relatively constant salinities and low nutrient levels, Blind Oso Bay with high nutrients and fluctuating salinities, and a residential canal system with consistent temperature and salinities and nutrient levels.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(e.g. salinity and temperature) were also collected during this period. The three data sets (Vibrio Enumeration, Environmental parameters, and Dust Concentration) were then processed and cleaned for analysis.</w:t>
      </w:r>
    </w:p>
    <w:bookmarkEnd w:id="80"/>
    <w:bookmarkStart w:id="83" w:name="findingsexplanations"/>
    <w:p>
      <w:pPr>
        <w:pStyle w:val="Heading3"/>
      </w:pPr>
      <w:r>
        <w:t xml:space="preserve">Findings/Explanations</w:t>
      </w:r>
    </w:p>
    <w:bookmarkStart w:id="81" w:name="vibrio-enumeration-1"/>
    <w:p>
      <w:pPr>
        <w:pStyle w:val="Heading4"/>
      </w:pPr>
      <w:r>
        <w:t xml:space="preserve">Vibrio Enumeration</w:t>
      </w:r>
    </w:p>
    <w:p>
      <w:pPr>
        <w:pStyle w:val="FirstParagraph"/>
      </w:pPr>
      <w:r>
        <w:t xml:space="preserve">Overall,</w:t>
      </w:r>
      <w:r>
        <w:t xml:space="preserve"> </w:t>
      </w:r>
      <w:r>
        <w:rPr>
          <w:iCs/>
          <w:i/>
        </w:rPr>
        <w:t xml:space="preserve">Vibrio</w:t>
      </w:r>
      <w:r>
        <w:t xml:space="preserve"> </w:t>
      </w:r>
      <w:r>
        <w:t xml:space="preserve">growth was observed following dust events at both the Gulf and Blind Oso. Similar to previous findings peaks in growth were observed 24-48 hours following dust deposition</w:t>
      </w:r>
      <w:r>
        <w:t xml:space="preserve"> </w:t>
      </w:r>
      <w:r>
        <w:t xml:space="preserve">(Westrich et al. 2018, 2016)</w:t>
      </w:r>
      <w:r>
        <w:t xml:space="preserve">. Linear regression analysis confirmed a correlation between growth and dust input (R2 = 0.49, 0.56, 0.44 for Blind Oso, Canals, and Gulf respectively).</w:t>
      </w:r>
    </w:p>
    <w:bookmarkEnd w:id="81"/>
    <w:bookmarkStart w:id="82" w:name="site-sptecific-dynamics"/>
    <w:p>
      <w:pPr>
        <w:pStyle w:val="Heading4"/>
      </w:pPr>
      <w:r>
        <w:t xml:space="preserve">Site-Sptecific Dynamics</w:t>
      </w:r>
    </w:p>
    <w:p>
      <w:pPr>
        <w:pStyle w:val="FirstParagraph"/>
      </w:pPr>
      <w:r>
        <w:t xml:space="preserve">However, the environmental dynamics of each site most likely contributed the degree of response per site. Multivariate models were tested using specific environmental parameters: dust, DOM (DON, DOC), temperature, salinity, orthophosphate, and nitrate+nitrite. Ultimately, a model that included water chemistry, dust, nutrient, and dissolved organic matter parameters provided the best performance (R2 = 0.73, 0.7, and 0.76 for Blind Oso, Canals, and Gulf respectively), suggesting that while dust may contribute to a growth response in</w:t>
      </w:r>
      <w:r>
        <w:t xml:space="preserve"> </w:t>
      </w:r>
      <w:r>
        <w:rPr>
          <w:iCs/>
          <w:i/>
        </w:rPr>
        <w:t xml:space="preserve">Vibrio</w:t>
      </w:r>
      <w:r>
        <w:t xml:space="preserve"> </w:t>
      </w:r>
      <w:r>
        <w:t xml:space="preserve">following dust input, the site specific dynamics aid in dictating the degree of response observed.</w:t>
      </w:r>
    </w:p>
    <w:p>
      <w:pPr>
        <w:pStyle w:val="BodyText"/>
      </w:pPr>
      <w:r>
        <w:t xml:space="preserve">The Canals may have a heavily dampened growth response due to a high and constant salinity of 40-42. In general, optimal growth occurs at salinities of ~25-35, and less tolerant species will drop as salinities climb</w:t>
      </w:r>
      <w:r>
        <w:t xml:space="preserve"> </w:t>
      </w:r>
      <w:r>
        <w:t xml:space="preserve"> </w:t>
      </w:r>
      <w:r>
        <w:t xml:space="preserve">.</w:t>
      </w:r>
    </w:p>
    <w:p>
      <w:pPr>
        <w:pStyle w:val="BodyText"/>
      </w:pPr>
      <w:r>
        <w:t xml:space="preserve">Additionally, the Gulf exhibited a sharper increase during the second, heavier dust event, while Blind Oso exhibited a smaller increase during the heavy dust event. This difference in response may be attributed to the nutrient dynamics of the sites. In marine waters, nutrients are typically limiting due to tight microbial recycling</w:t>
      </w:r>
      <w:r>
        <w:t xml:space="preserve"> </w:t>
      </w:r>
      <w:r>
        <w:t xml:space="preserve">. Therefore the introduction on nutrients at such a site may result in rapid uptake and utilization. At Blind Oso, these dust constituents may not be as essential for growth, and the dust may have reached a maximum in how much it can support growth.</w:t>
      </w:r>
    </w:p>
    <w:bookmarkEnd w:id="82"/>
    <w:bookmarkEnd w:id="83"/>
    <w:bookmarkEnd w:id="84"/>
    <w:bookmarkStart w:id="85" w:name="strengths-and-limitations"/>
    <w:p>
      <w:pPr>
        <w:pStyle w:val="Heading2"/>
      </w:pPr>
      <w:r>
        <w:t xml:space="preserve">Strengths and Limitations</w:t>
      </w:r>
    </w:p>
    <w:p>
      <w:pPr>
        <w:pStyle w:val="FirstParagraph"/>
      </w:pPr>
      <w:r>
        <w:t xml:space="preserve">At Blind Oso for example, the salinity is observed to drop from 42-20 within an eight day period that coincided with dust input. It is difficult to parse these two variables out as either or both could have contributed to growth at this site.</w:t>
      </w:r>
    </w:p>
    <w:p>
      <w:pPr>
        <w:pStyle w:val="BodyText"/>
      </w:pPr>
      <w:r>
        <w:rPr>
          <w:bCs/>
          <w:b/>
          <w:u w:val="single"/>
        </w:rPr>
        <w:t xml:space="preserve">One important thing to note</w:t>
      </w:r>
      <w:r>
        <w:t xml:space="preserve">: Our data set contains dust data for all of 2022. Our copies_mL data only contains values from 7/7/22 –&gt; 7/19/22. Therefore, these CCA were made with only this time series. This limits our analysis, as we have dust data prior that can explain copies_mL on the earlier dates 7/7 or 7/8. But we cannot incorporate this into the CCA as we have NA for copies_mL for those early days. Below we will run linear models that DO contain these prior dust days. And since we have identified a lag, we can shift the dust data to line up with the copies_mL that it corresponds with directly - and we no longer have NAs. But this ultimately means that the lag identified above. may not be the best fit for our model below, so some additional work is needed that tests other lags in the code.</w:t>
      </w:r>
    </w:p>
    <w:bookmarkEnd w:id="85"/>
    <w:bookmarkStart w:id="86" w:name="conclusionsbroader-impacts"/>
    <w:p>
      <w:pPr>
        <w:pStyle w:val="Heading2"/>
      </w:pPr>
      <w:r>
        <w:t xml:space="preserve">Conclusions/Broader Impacts</w:t>
      </w:r>
    </w:p>
    <w:p>
      <w:r>
        <w:br w:type="page"/>
      </w:r>
    </w:p>
    <w:bookmarkEnd w:id="86"/>
    <w:bookmarkEnd w:id="87"/>
    <w:bookmarkStart w:id="132" w:name="references"/>
    <w:p>
      <w:pPr>
        <w:pStyle w:val="Heading1"/>
      </w:pPr>
      <w:r>
        <w:t xml:space="preserve">References</w:t>
      </w:r>
    </w:p>
    <w:bookmarkStart w:id="131" w:name="refs"/>
    <w:bookmarkStart w:id="89"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88">
        <w:r>
          <w:rPr>
            <w:rStyle w:val="Hyperlink"/>
          </w:rPr>
          <w:t xml:space="preserve">https://doi.org/10.1038/s41572-018-0005-8</w:t>
        </w:r>
      </w:hyperlink>
      <w:r>
        <w:t xml:space="preserve">.</w:t>
      </w:r>
    </w:p>
    <w:bookmarkEnd w:id="89"/>
    <w:bookmarkStart w:id="91"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90">
        <w:r>
          <w:rPr>
            <w:rStyle w:val="Hyperlink"/>
          </w:rPr>
          <w:t xml:space="preserve">https://doi.org/10.1099/ijs.0.02402-0</w:t>
        </w:r>
      </w:hyperlink>
      <w:r>
        <w:t xml:space="preserve">.</w:t>
      </w:r>
    </w:p>
    <w:bookmarkEnd w:id="91"/>
    <w:bookmarkStart w:id="93"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92">
        <w:r>
          <w:rPr>
            <w:rStyle w:val="Hyperlink"/>
          </w:rPr>
          <w:t xml:space="preserve">https://doi.org/10.1002/lno.11291</w:t>
        </w:r>
      </w:hyperlink>
      <w:r>
        <w:t xml:space="preserve">.</w:t>
      </w:r>
    </w:p>
    <w:bookmarkEnd w:id="93"/>
    <w:bookmarkStart w:id="95"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94">
        <w:r>
          <w:rPr>
            <w:rStyle w:val="Hyperlink"/>
          </w:rPr>
          <w:t xml:space="preserve">https://doi.org/10.1175/1520-0450(1986)025&lt;0903:AMFSDT&gt;2.0.CO;2</w:t>
        </w:r>
      </w:hyperlink>
      <w:r>
        <w:t xml:space="preserve">.</w:t>
      </w:r>
    </w:p>
    <w:bookmarkEnd w:id="95"/>
    <w:bookmarkStart w:id="97"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96">
        <w:r>
          <w:rPr>
            <w:rStyle w:val="Hyperlink"/>
          </w:rPr>
          <w:t xml:space="preserve">https://doi.org/10.1128/jb.83.4.736-737.1962</w:t>
        </w:r>
      </w:hyperlink>
      <w:r>
        <w:t xml:space="preserve">.</w:t>
      </w:r>
    </w:p>
    <w:bookmarkEnd w:id="97"/>
    <w:bookmarkStart w:id="98"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98"/>
    <w:bookmarkStart w:id="100"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99">
        <w:r>
          <w:rPr>
            <w:rStyle w:val="Hyperlink"/>
          </w:rPr>
          <w:t xml:space="preserve">https://doi.org/10.1016/j.micres.2009.12.001</w:t>
        </w:r>
      </w:hyperlink>
      <w:r>
        <w:t xml:space="preserve">.</w:t>
      </w:r>
    </w:p>
    <w:bookmarkEnd w:id="100"/>
    <w:bookmarkStart w:id="102"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01">
        <w:r>
          <w:rPr>
            <w:rStyle w:val="Hyperlink"/>
          </w:rPr>
          <w:t xml:space="preserve">https://doi.org/10.1111/j.1574-6968.2009.01567.x</w:t>
        </w:r>
      </w:hyperlink>
      <w:r>
        <w:t xml:space="preserve">.</w:t>
      </w:r>
    </w:p>
    <w:bookmarkEnd w:id="102"/>
    <w:bookmarkStart w:id="104"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03">
        <w:r>
          <w:rPr>
            <w:rStyle w:val="Hyperlink"/>
          </w:rPr>
          <w:t xml:space="preserve">https://doi.org/10.1023/B:AERO.0000032947.88335.bb</w:t>
        </w:r>
      </w:hyperlink>
      <w:r>
        <w:t xml:space="preserve">.</w:t>
      </w:r>
    </w:p>
    <w:bookmarkEnd w:id="104"/>
    <w:bookmarkStart w:id="106"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05">
        <w:r>
          <w:rPr>
            <w:rStyle w:val="Hyperlink"/>
          </w:rPr>
          <w:t xml:space="preserve">https://doi.org/10.1016/j.csr.2008.02.009</w:t>
        </w:r>
      </w:hyperlink>
      <w:r>
        <w:t xml:space="preserve">.</w:t>
      </w:r>
    </w:p>
    <w:bookmarkEnd w:id="106"/>
    <w:bookmarkStart w:id="108"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07">
        <w:r>
          <w:rPr>
            <w:rStyle w:val="Hyperlink"/>
          </w:rPr>
          <w:t xml:space="preserve">https://doi.org/10.1038/nature02550</w:t>
        </w:r>
      </w:hyperlink>
      <w:r>
        <w:t xml:space="preserve">.</w:t>
      </w:r>
    </w:p>
    <w:bookmarkEnd w:id="108"/>
    <w:bookmarkStart w:id="110"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09">
        <w:r>
          <w:rPr>
            <w:rStyle w:val="Hyperlink"/>
          </w:rPr>
          <w:t xml:space="preserve">https://doi.org/10.1128/JB.187.2.752-757.2005</w:t>
        </w:r>
      </w:hyperlink>
      <w:r>
        <w:t xml:space="preserve">.</w:t>
      </w:r>
    </w:p>
    <w:bookmarkEnd w:id="110"/>
    <w:bookmarkStart w:id="112"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11">
        <w:r>
          <w:rPr>
            <w:rStyle w:val="Hyperlink"/>
          </w:rPr>
          <w:t xml:space="preserve">https://doi.org/10.1128/MMBR.00046-15</w:t>
        </w:r>
      </w:hyperlink>
      <w:r>
        <w:t xml:space="preserve">.</w:t>
      </w:r>
    </w:p>
    <w:bookmarkEnd w:id="112"/>
    <w:bookmarkStart w:id="114"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13">
        <w:r>
          <w:rPr>
            <w:rStyle w:val="Hyperlink"/>
          </w:rPr>
          <w:t xml:space="preserve">https://doi.org/10.1007/s10453-022-09752-9</w:t>
        </w:r>
      </w:hyperlink>
      <w:r>
        <w:t xml:space="preserve">.</w:t>
      </w:r>
    </w:p>
    <w:bookmarkEnd w:id="114"/>
    <w:bookmarkStart w:id="116"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15">
        <w:r>
          <w:rPr>
            <w:rStyle w:val="Hyperlink"/>
          </w:rPr>
          <w:t xml:space="preserve">https://doi.org/10.1128/AEM.02930-14</w:t>
        </w:r>
      </w:hyperlink>
      <w:r>
        <w:t xml:space="preserve">.</w:t>
      </w:r>
    </w:p>
    <w:bookmarkEnd w:id="116"/>
    <w:bookmarkStart w:id="118"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17">
        <w:r>
          <w:rPr>
            <w:rStyle w:val="Hyperlink"/>
          </w:rPr>
          <w:t xml:space="preserve">https://doi.org/10.1128/JB.00793-17</w:t>
        </w:r>
      </w:hyperlink>
      <w:r>
        <w:t xml:space="preserve">.</w:t>
      </w:r>
    </w:p>
    <w:bookmarkEnd w:id="118"/>
    <w:bookmarkStart w:id="120"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19">
        <w:r>
          <w:rPr>
            <w:rStyle w:val="Hyperlink"/>
          </w:rPr>
          <w:t xml:space="preserve">https://doi.org/10.1146/annurev.micro.58.030603.123610</w:t>
        </w:r>
      </w:hyperlink>
      <w:r>
        <w:t xml:space="preserve">.</w:t>
      </w:r>
    </w:p>
    <w:bookmarkEnd w:id="120"/>
    <w:bookmarkStart w:id="122"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21">
        <w:r>
          <w:rPr>
            <w:rStyle w:val="Hyperlink"/>
          </w:rPr>
          <w:t xml:space="preserve">https://doi.org/10.3390/d14020097</w:t>
        </w:r>
      </w:hyperlink>
      <w:r>
        <w:t xml:space="preserve">.</w:t>
      </w:r>
    </w:p>
    <w:bookmarkEnd w:id="122"/>
    <w:bookmarkStart w:id="124"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23">
        <w:r>
          <w:rPr>
            <w:rStyle w:val="Hyperlink"/>
          </w:rPr>
          <w:t xml:space="preserve">https://doi.org/10.1029/JD094iD04p05069</w:t>
        </w:r>
      </w:hyperlink>
      <w:r>
        <w:t xml:space="preserve">.</w:t>
      </w:r>
    </w:p>
    <w:bookmarkEnd w:id="124"/>
    <w:bookmarkStart w:id="126"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25">
        <w:r>
          <w:rPr>
            <w:rStyle w:val="Hyperlink"/>
          </w:rPr>
          <w:t xml:space="preserve">https://doi.org/10.3354/dao02621</w:t>
        </w:r>
      </w:hyperlink>
      <w:r>
        <w:t xml:space="preserve">.</w:t>
      </w:r>
    </w:p>
    <w:bookmarkEnd w:id="126"/>
    <w:bookmarkStart w:id="128"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27">
        <w:r>
          <w:rPr>
            <w:rStyle w:val="Hyperlink"/>
          </w:rPr>
          <w:t xml:space="preserve">https://doi.org/10.1073/pnas.1518080113</w:t>
        </w:r>
      </w:hyperlink>
      <w:r>
        <w:t xml:space="preserve">.</w:t>
      </w:r>
    </w:p>
    <w:bookmarkEnd w:id="128"/>
    <w:bookmarkStart w:id="130"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29">
        <w:r>
          <w:rPr>
            <w:rStyle w:val="Hyperlink"/>
          </w:rPr>
          <w:t xml:space="preserve">https://doi.org/10.3389/fmars.2018.00012</w:t>
        </w:r>
      </w:hyperlink>
      <w:r>
        <w:t xml:space="preserve">.</w:t>
      </w:r>
    </w:p>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hyperlink" Id="rId92" Target="https://doi.org/10.1002/lno.11291" TargetMode="External" /><Relationship Type="http://schemas.openxmlformats.org/officeDocument/2006/relationships/hyperlink" Id="rId113" Target="https://doi.org/10.1007/s10453-022-09752-9" TargetMode="External" /><Relationship Type="http://schemas.openxmlformats.org/officeDocument/2006/relationships/hyperlink" Id="rId105" Target="https://doi.org/10.1016/j.csr.2008.02.009" TargetMode="External" /><Relationship Type="http://schemas.openxmlformats.org/officeDocument/2006/relationships/hyperlink" Id="rId99" Target="https://doi.org/10.1016/j.micres.2009.12.001" TargetMode="External" /><Relationship Type="http://schemas.openxmlformats.org/officeDocument/2006/relationships/hyperlink" Id="rId103" Target="https://doi.org/10.1023/B:AERO.0000032947.88335.bb" TargetMode="External" /><Relationship Type="http://schemas.openxmlformats.org/officeDocument/2006/relationships/hyperlink" Id="rId123" Target="https://doi.org/10.1029/JD094iD04p05069" TargetMode="External" /><Relationship Type="http://schemas.openxmlformats.org/officeDocument/2006/relationships/hyperlink" Id="rId107" Target="https://doi.org/10.1038/nature02550" TargetMode="External" /><Relationship Type="http://schemas.openxmlformats.org/officeDocument/2006/relationships/hyperlink" Id="rId88" Target="https://doi.org/10.1038/s41572-018-0005-8" TargetMode="External" /><Relationship Type="http://schemas.openxmlformats.org/officeDocument/2006/relationships/hyperlink" Id="rId127" Target="https://doi.org/10.1073/pnas.1518080113" TargetMode="External" /><Relationship Type="http://schemas.openxmlformats.org/officeDocument/2006/relationships/hyperlink" Id="rId90" Target="https://doi.org/10.1099/ijs.0.02402-0" TargetMode="External" /><Relationship Type="http://schemas.openxmlformats.org/officeDocument/2006/relationships/hyperlink" Id="rId101" Target="https://doi.org/10.1111/j.1574-6968.2009.01567.x" TargetMode="External" /><Relationship Type="http://schemas.openxmlformats.org/officeDocument/2006/relationships/hyperlink" Id="rId115" Target="https://doi.org/10.1128/AEM.02930-14" TargetMode="External" /><Relationship Type="http://schemas.openxmlformats.org/officeDocument/2006/relationships/hyperlink" Id="rId117" Target="https://doi.org/10.1128/JB.00793-17" TargetMode="External" /><Relationship Type="http://schemas.openxmlformats.org/officeDocument/2006/relationships/hyperlink" Id="rId109" Target="https://doi.org/10.1128/JB.187.2.752-757.2005" TargetMode="External" /><Relationship Type="http://schemas.openxmlformats.org/officeDocument/2006/relationships/hyperlink" Id="rId111" Target="https://doi.org/10.1128/MMBR.00046-15" TargetMode="External" /><Relationship Type="http://schemas.openxmlformats.org/officeDocument/2006/relationships/hyperlink" Id="rId96" Target="https://doi.org/10.1128/jb.83.4.736-737.1962" TargetMode="External" /><Relationship Type="http://schemas.openxmlformats.org/officeDocument/2006/relationships/hyperlink" Id="rId119" Target="https://doi.org/10.1146/annurev.micro.58.030603.123610" TargetMode="External" /><Relationship Type="http://schemas.openxmlformats.org/officeDocument/2006/relationships/hyperlink" Id="rId94" Target="https://doi.org/10.1175/1520-0450(1986)025&lt;0903:AMFSDT&gt;2.0.CO;2" TargetMode="External" /><Relationship Type="http://schemas.openxmlformats.org/officeDocument/2006/relationships/hyperlink" Id="rId125" Target="https://doi.org/10.3354/dao02621" TargetMode="External" /><Relationship Type="http://schemas.openxmlformats.org/officeDocument/2006/relationships/hyperlink" Id="rId129" Target="https://doi.org/10.3389/fmars.2018.00012" TargetMode="External" /><Relationship Type="http://schemas.openxmlformats.org/officeDocument/2006/relationships/hyperlink" Id="rId121"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2/lno.11291" TargetMode="External" /><Relationship Type="http://schemas.openxmlformats.org/officeDocument/2006/relationships/hyperlink" Id="rId113" Target="https://doi.org/10.1007/s10453-022-09752-9" TargetMode="External" /><Relationship Type="http://schemas.openxmlformats.org/officeDocument/2006/relationships/hyperlink" Id="rId105" Target="https://doi.org/10.1016/j.csr.2008.02.009" TargetMode="External" /><Relationship Type="http://schemas.openxmlformats.org/officeDocument/2006/relationships/hyperlink" Id="rId99" Target="https://doi.org/10.1016/j.micres.2009.12.001" TargetMode="External" /><Relationship Type="http://schemas.openxmlformats.org/officeDocument/2006/relationships/hyperlink" Id="rId103" Target="https://doi.org/10.1023/B:AERO.0000032947.88335.bb" TargetMode="External" /><Relationship Type="http://schemas.openxmlformats.org/officeDocument/2006/relationships/hyperlink" Id="rId123" Target="https://doi.org/10.1029/JD094iD04p05069" TargetMode="External" /><Relationship Type="http://schemas.openxmlformats.org/officeDocument/2006/relationships/hyperlink" Id="rId107" Target="https://doi.org/10.1038/nature02550" TargetMode="External" /><Relationship Type="http://schemas.openxmlformats.org/officeDocument/2006/relationships/hyperlink" Id="rId88" Target="https://doi.org/10.1038/s41572-018-0005-8" TargetMode="External" /><Relationship Type="http://schemas.openxmlformats.org/officeDocument/2006/relationships/hyperlink" Id="rId127" Target="https://doi.org/10.1073/pnas.1518080113" TargetMode="External" /><Relationship Type="http://schemas.openxmlformats.org/officeDocument/2006/relationships/hyperlink" Id="rId90" Target="https://doi.org/10.1099/ijs.0.02402-0" TargetMode="External" /><Relationship Type="http://schemas.openxmlformats.org/officeDocument/2006/relationships/hyperlink" Id="rId101" Target="https://doi.org/10.1111/j.1574-6968.2009.01567.x" TargetMode="External" /><Relationship Type="http://schemas.openxmlformats.org/officeDocument/2006/relationships/hyperlink" Id="rId115" Target="https://doi.org/10.1128/AEM.02930-14" TargetMode="External" /><Relationship Type="http://schemas.openxmlformats.org/officeDocument/2006/relationships/hyperlink" Id="rId117" Target="https://doi.org/10.1128/JB.00793-17" TargetMode="External" /><Relationship Type="http://schemas.openxmlformats.org/officeDocument/2006/relationships/hyperlink" Id="rId109" Target="https://doi.org/10.1128/JB.187.2.752-757.2005" TargetMode="External" /><Relationship Type="http://schemas.openxmlformats.org/officeDocument/2006/relationships/hyperlink" Id="rId111" Target="https://doi.org/10.1128/MMBR.00046-15" TargetMode="External" /><Relationship Type="http://schemas.openxmlformats.org/officeDocument/2006/relationships/hyperlink" Id="rId96" Target="https://doi.org/10.1128/jb.83.4.736-737.1962" TargetMode="External" /><Relationship Type="http://schemas.openxmlformats.org/officeDocument/2006/relationships/hyperlink" Id="rId119" Target="https://doi.org/10.1146/annurev.micro.58.030603.123610" TargetMode="External" /><Relationship Type="http://schemas.openxmlformats.org/officeDocument/2006/relationships/hyperlink" Id="rId94" Target="https://doi.org/10.1175/1520-0450(1986)025&lt;0903:AMFSDT&gt;2.0.CO;2" TargetMode="External" /><Relationship Type="http://schemas.openxmlformats.org/officeDocument/2006/relationships/hyperlink" Id="rId125" Target="https://doi.org/10.3354/dao02621" TargetMode="External" /><Relationship Type="http://schemas.openxmlformats.org/officeDocument/2006/relationships/hyperlink" Id="rId129" Target="https://doi.org/10.3389/fmars.2018.00012" TargetMode="External" /><Relationship Type="http://schemas.openxmlformats.org/officeDocument/2006/relationships/hyperlink" Id="rId121"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Nathan Greenslit Data Analysis Project</dc:title>
  <dc:creator>Nathan Greenslit</dc:creator>
  <cp:keywords/>
  <dcterms:created xsi:type="dcterms:W3CDTF">2023-04-19T20:18:51Z</dcterms:created>
  <dcterms:modified xsi:type="dcterms:W3CDTF">2023-04-19T20:18:51Z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4/19/23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