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pPr>
      <w:r>
        <w:rPr>
          <w:rFonts w:ascii="Arial" w:cs="Arial" w:eastAsia="Arial" w:hAnsi="Arial"/>
          <w:b/>
          <w:bCs/>
          <w:color w:val="2F5FE0"/>
          <w:spacing w:val="60"/>
          <w:sz w:val="20"/>
          <w:szCs w:val="20"/>
        </w:rPr>
        <w:t xml:space="preserve">NXANCE  ·  INVESTOR DECK</w:t>
      </w:r>
    </w:p>
    <w:p>
      <w:pPr>
        <w:spacing w:after="140"/>
      </w:pPr>
      <w:r>
        <w:rPr>
          <w:rFonts w:ascii="Arial" w:cs="Arial" w:eastAsia="Arial" w:hAnsi="Arial"/>
          <w:b/>
          <w:bCs/>
          <w:color w:val="0F1B33"/>
          <w:sz w:val="52"/>
          <w:szCs w:val="52"/>
        </w:rPr>
        <w:t xml:space="preserve">Founders' Reference</w:t>
      </w:r>
    </w:p>
    <w:p>
      <w:pPr>
        <w:pBdr>
          <w:bottom w:val="single" w:color="2F5FE0" w:sz="12" w:space="8"/>
        </w:pBdr>
        <w:spacing w:after="200"/>
      </w:pPr>
      <w:r>
        <w:rPr>
          <w:rFonts w:ascii="Calibri" w:cs="Calibri" w:eastAsia="Calibri" w:hAnsi="Calibri"/>
          <w:color w:val="3A4657"/>
          <w:sz w:val="26"/>
          <w:szCs w:val="26"/>
        </w:rPr>
        <w:t xml:space="preserve">Every number in the deck — where it came from, how it was calculated, and how to defend it.</w:t>
      </w:r>
    </w:p>
    <w:p>
      <w:pPr>
        <w:spacing w:after="320" w:before="0" w:line="280"/>
      </w:pPr>
      <w:r>
        <w:rPr>
          <w:rFonts w:ascii="Calibri" w:cs="Calibri" w:eastAsia="Calibri" w:hAnsi="Calibri"/>
          <w:b/>
          <w:bCs/>
          <w:color w:val="0F1B33"/>
          <w:sz w:val="21"/>
          <w:szCs w:val="21"/>
        </w:rPr>
        <w:t xml:space="preserve">Ohshn Intelligence LLP</w:t>
      </w:r>
      <w:r>
        <w:rPr>
          <w:rFonts w:ascii="Calibri" w:cs="Calibri" w:eastAsia="Calibri" w:hAnsi="Calibri"/>
          <w:color w:val="3A4657"/>
          <w:sz w:val="21"/>
          <w:szCs w:val="21"/>
        </w:rPr>
        <w:t xml:space="preserve">  ·  September 2026  ·  </w:t>
      </w:r>
      <w:r>
        <w:rPr>
          <w:rFonts w:ascii="Calibri" w:cs="Calibri" w:eastAsia="Calibri" w:hAnsi="Calibri"/>
          <w:i/>
          <w:iCs/>
          <w:color w:val="6B7688"/>
          <w:sz w:val="21"/>
          <w:szCs w:val="21"/>
        </w:rPr>
        <w:t xml:space="preserve">Internal — not for circulation with the deck</w:t>
      </w:r>
    </w:p>
    <w:tbl>
      <w:tblPr>
        <w:tblW w:type="dxa" w:w="9026"/>
        <w:tblBorders>
          <w:top w:val="single" w:color="EAF0FF" w:sz="4"/>
          <w:left w:val="single" w:color="2F5FE0" w:sz="24"/>
          <w:bottom w:val="single" w:color="EAF0FF" w:sz="4"/>
          <w:right w:val="single" w:color="EAF0FF" w:sz="4"/>
          <w:insideH w:val="none" w:color="EAF0FF" w:sz="0"/>
          <w:insideV w:val="none" w:color="EAF0FF" w:sz="0"/>
        </w:tblBorders>
      </w:tblPr>
      <w:tblGrid>
        <w:gridCol w:w="9026"/>
      </w:tblGrid>
      <w:tr>
        <w:tc>
          <w:tcPr>
            <w:tcW w:type="dxa" w:w="9026"/>
            <w:shd w:fill="EAF0FF" w:color="auto" w:val="clear"/>
            <w:tcMar>
              <w:top w:type="dxa" w:w="140"/>
              <w:left w:type="dxa" w:w="200"/>
              <w:bottom w:type="dxa" w:w="140"/>
              <w:right w:type="dxa" w:w="200"/>
            </w:tcMar>
          </w:tcPr>
          <w:p>
            <w:pPr>
              <w:spacing w:after="80" w:line="260"/>
            </w:pPr>
            <w:r>
              <w:rPr>
                <w:rFonts w:ascii="Arial" w:cs="Arial" w:eastAsia="Arial" w:hAnsi="Arial"/>
                <w:b/>
                <w:bCs/>
                <w:color w:val="0F1B33"/>
                <w:sz w:val="20"/>
                <w:szCs w:val="20"/>
              </w:rPr>
              <w:t xml:space="preserve">Read this before your first investor meeting</w:t>
            </w:r>
          </w:p>
          <w:p>
            <w:pPr>
              <w:spacing w:after="60" w:line="260"/>
            </w:pPr>
            <w:r>
              <w:rPr>
                <w:rFonts w:ascii="Calibri" w:cs="Calibri" w:eastAsia="Calibri" w:hAnsi="Calibri"/>
                <w:color w:val="3A4657"/>
                <w:sz w:val="21"/>
                <w:szCs w:val="21"/>
              </w:rPr>
              <w:t xml:space="preserve">The deck carries about forty numbers. Every one of them is in this document, with its source and its arithmetic. If you cannot say where a number came from in one sentence, do not say the number.</w:t>
            </w:r>
          </w:p>
          <w:p>
            <w:pPr>
              <w:spacing w:after="60" w:line="260"/>
            </w:pPr>
            <w:r>
              <w:rPr>
                <w:rFonts w:ascii="Calibri" w:cs="Calibri" w:eastAsia="Calibri" w:hAnsi="Calibri"/>
                <w:b/>
                <w:bCs/>
                <w:color w:val="0F1B33"/>
                <w:sz w:val="21"/>
                <w:szCs w:val="21"/>
              </w:rPr>
              <w:t xml:space="preserve">The one rule: </w:t>
            </w:r>
            <w:r>
              <w:rPr>
                <w:rFonts w:ascii="Calibri" w:cs="Calibri" w:eastAsia="Calibri" w:hAnsi="Calibri"/>
                <w:color w:val="3A4657"/>
                <w:sz w:val="21"/>
                <w:szCs w:val="21"/>
              </w:rPr>
              <w:t xml:space="preserve">never estimate live in a meeting. If you are asked something that is not in here, say "I don't have that to hand — I'll send it across today", and then actually send it. A wrong number said confidently costs more than an honest gap.</w:t>
            </w:r>
          </w:p>
        </w:tc>
      </w:tr>
    </w:tbl>
    <w:p>
      <w:pPr>
        <w:spacing w:after="200"/>
      </w:pPr>
    </w:p>
    <w:p>
      <w:pPr>
        <w:pStyle w:val="Heading3"/>
        <w:keepNext/>
        <w:spacing w:after="90" w:before="220"/>
      </w:pPr>
      <w:r>
        <w:rPr>
          <w:rFonts w:ascii="Arial" w:cs="Arial" w:eastAsia="Arial" w:hAnsi="Arial"/>
          <w:b/>
          <w:bCs/>
          <w:color w:val="0F1B33"/>
          <w:sz w:val="21"/>
          <w:szCs w:val="21"/>
        </w:rPr>
        <w:t xml:space="preserve">What is in here</w:t>
      </w:r>
    </w:p>
    <w:p>
      <w:pPr>
        <w:spacing w:after="60" w:before="0" w:line="280"/>
      </w:pPr>
      <w:r>
        <w:rPr>
          <w:rFonts w:ascii="Calibri" w:cs="Calibri" w:eastAsia="Calibri" w:hAnsi="Calibri"/>
          <w:b/>
          <w:bCs/>
          <w:color w:val="2F5FE0"/>
          <w:sz w:val="21"/>
          <w:szCs w:val="21"/>
        </w:rPr>
        <w:t xml:space="preserve">1.  </w:t>
      </w:r>
      <w:r>
        <w:rPr>
          <w:rFonts w:ascii="Calibri" w:cs="Calibri" w:eastAsia="Calibri" w:hAnsi="Calibri"/>
          <w:color w:val="3A4657"/>
          <w:sz w:val="21"/>
          <w:szCs w:val="21"/>
        </w:rPr>
        <w:t xml:space="preserve">How to read Indian money units — crore, lakh crore, basis points</w:t>
      </w:r>
    </w:p>
    <w:p>
      <w:pPr>
        <w:spacing w:after="60" w:before="0" w:line="280"/>
      </w:pPr>
      <w:r>
        <w:rPr>
          <w:rFonts w:ascii="Calibri" w:cs="Calibri" w:eastAsia="Calibri" w:hAnsi="Calibri"/>
          <w:b/>
          <w:bCs/>
          <w:color w:val="2F5FE0"/>
          <w:sz w:val="21"/>
          <w:szCs w:val="21"/>
        </w:rPr>
        <w:t xml:space="preserve">2.  </w:t>
      </w:r>
      <w:r>
        <w:rPr>
          <w:rFonts w:ascii="Calibri" w:cs="Calibri" w:eastAsia="Calibri" w:hAnsi="Calibri"/>
          <w:color w:val="3A4657"/>
          <w:sz w:val="21"/>
          <w:szCs w:val="21"/>
        </w:rPr>
        <w:t xml:space="preserve">The market slide — the number that gets challenged most</w:t>
      </w:r>
    </w:p>
    <w:p>
      <w:pPr>
        <w:spacing w:after="60" w:before="0" w:line="280"/>
      </w:pPr>
      <w:r>
        <w:rPr>
          <w:rFonts w:ascii="Calibri" w:cs="Calibri" w:eastAsia="Calibri" w:hAnsi="Calibri"/>
          <w:b/>
          <w:bCs/>
          <w:color w:val="2F5FE0"/>
          <w:sz w:val="21"/>
          <w:szCs w:val="21"/>
        </w:rPr>
        <w:t xml:space="preserve">3.  </w:t>
      </w:r>
      <w:r>
        <w:rPr>
          <w:rFonts w:ascii="Calibri" w:cs="Calibri" w:eastAsia="Calibri" w:hAnsi="Calibri"/>
          <w:color w:val="3A4657"/>
          <w:sz w:val="21"/>
          <w:szCs w:val="21"/>
        </w:rPr>
        <w:t xml:space="preserve">The three exclusions, and the four double counts we must never make</w:t>
      </w:r>
    </w:p>
    <w:p>
      <w:pPr>
        <w:spacing w:after="60" w:before="0" w:line="280"/>
      </w:pPr>
      <w:r>
        <w:rPr>
          <w:rFonts w:ascii="Calibri" w:cs="Calibri" w:eastAsia="Calibri" w:hAnsi="Calibri"/>
          <w:b/>
          <w:bCs/>
          <w:color w:val="2F5FE0"/>
          <w:sz w:val="21"/>
          <w:szCs w:val="21"/>
        </w:rPr>
        <w:t xml:space="preserve">4.  </w:t>
      </w:r>
      <w:r>
        <w:rPr>
          <w:rFonts w:ascii="Calibri" w:cs="Calibri" w:eastAsia="Calibri" w:hAnsi="Calibri"/>
          <w:color w:val="3A4657"/>
          <w:sz w:val="21"/>
          <w:szCs w:val="21"/>
        </w:rPr>
        <w:t xml:space="preserve">The ask, the valuation, the burn and the tranches</w:t>
      </w:r>
    </w:p>
    <w:p>
      <w:pPr>
        <w:spacing w:after="60" w:before="0" w:line="280"/>
      </w:pPr>
      <w:r>
        <w:rPr>
          <w:rFonts w:ascii="Calibri" w:cs="Calibri" w:eastAsia="Calibri" w:hAnsi="Calibri"/>
          <w:b/>
          <w:bCs/>
          <w:color w:val="2F5FE0"/>
          <w:sz w:val="21"/>
          <w:szCs w:val="21"/>
        </w:rPr>
        <w:t xml:space="preserve">5.  </w:t>
      </w:r>
      <w:r>
        <w:rPr>
          <w:rFonts w:ascii="Calibri" w:cs="Calibri" w:eastAsia="Calibri" w:hAnsi="Calibri"/>
          <w:color w:val="3A4657"/>
          <w:sz w:val="21"/>
          <w:szCs w:val="21"/>
        </w:rPr>
        <w:t xml:space="preserve">Problem, why-now and traction figures</w:t>
      </w:r>
    </w:p>
    <w:p>
      <w:pPr>
        <w:spacing w:after="60" w:before="0" w:line="280"/>
      </w:pPr>
      <w:r>
        <w:rPr>
          <w:rFonts w:ascii="Calibri" w:cs="Calibri" w:eastAsia="Calibri" w:hAnsi="Calibri"/>
          <w:b/>
          <w:bCs/>
          <w:color w:val="2F5FE0"/>
          <w:sz w:val="21"/>
          <w:szCs w:val="21"/>
        </w:rPr>
        <w:t xml:space="preserve">6.  </w:t>
      </w:r>
      <w:r>
        <w:rPr>
          <w:rFonts w:ascii="Calibri" w:cs="Calibri" w:eastAsia="Calibri" w:hAnsi="Calibri"/>
          <w:color w:val="3A4657"/>
          <w:sz w:val="21"/>
          <w:szCs w:val="21"/>
        </w:rPr>
        <w:t xml:space="preserve">Product, pricing and competitors</w:t>
      </w:r>
    </w:p>
    <w:p>
      <w:pPr>
        <w:spacing w:after="60" w:before="0" w:line="280"/>
      </w:pPr>
      <w:r>
        <w:rPr>
          <w:rFonts w:ascii="Calibri" w:cs="Calibri" w:eastAsia="Calibri" w:hAnsi="Calibri"/>
          <w:b/>
          <w:bCs/>
          <w:color w:val="2F5FE0"/>
          <w:sz w:val="21"/>
          <w:szCs w:val="21"/>
        </w:rPr>
        <w:t xml:space="preserve">7.  </w:t>
      </w:r>
      <w:r>
        <w:rPr>
          <w:rFonts w:ascii="Calibri" w:cs="Calibri" w:eastAsia="Calibri" w:hAnsi="Calibri"/>
          <w:color w:val="3A4657"/>
          <w:sz w:val="21"/>
          <w:szCs w:val="21"/>
        </w:rPr>
        <w:t xml:space="preserve">Exit routes — internal numbers, deliberately not on the slide</w:t>
      </w:r>
    </w:p>
    <w:p>
      <w:pPr>
        <w:spacing w:after="60" w:before="0" w:line="280"/>
      </w:pPr>
      <w:r>
        <w:rPr>
          <w:rFonts w:ascii="Calibri" w:cs="Calibri" w:eastAsia="Calibri" w:hAnsi="Calibri"/>
          <w:b/>
          <w:bCs/>
          <w:color w:val="2F5FE0"/>
          <w:sz w:val="21"/>
          <w:szCs w:val="21"/>
        </w:rPr>
        <w:t xml:space="preserve">8.  </w:t>
      </w:r>
      <w:r>
        <w:rPr>
          <w:rFonts w:ascii="Calibri" w:cs="Calibri" w:eastAsia="Calibri" w:hAnsi="Calibri"/>
          <w:color w:val="3A4657"/>
          <w:sz w:val="21"/>
          <w:szCs w:val="21"/>
        </w:rPr>
        <w:t xml:space="preserve">Three things wrong in our own spreadsheet</w:t>
      </w:r>
    </w:p>
    <w:p>
      <w:pPr>
        <w:spacing w:after="60" w:before="0" w:line="280"/>
      </w:pPr>
      <w:r>
        <w:rPr>
          <w:rFonts w:ascii="Calibri" w:cs="Calibri" w:eastAsia="Calibri" w:hAnsi="Calibri"/>
          <w:b/>
          <w:bCs/>
          <w:color w:val="2F5FE0"/>
          <w:sz w:val="21"/>
          <w:szCs w:val="21"/>
        </w:rPr>
        <w:t xml:space="preserve">9.  </w:t>
      </w:r>
      <w:r>
        <w:rPr>
          <w:rFonts w:ascii="Calibri" w:cs="Calibri" w:eastAsia="Calibri" w:hAnsi="Calibri"/>
          <w:color w:val="3A4657"/>
          <w:sz w:val="21"/>
          <w:szCs w:val="21"/>
        </w:rPr>
        <w:t xml:space="preserve">Crib sheet — if an investor asks X, say Y</w:t>
      </w:r>
    </w:p>
    <w:p>
      <w:pPr>
        <w:spacing w:after="60" w:before="0" w:line="280"/>
      </w:pPr>
      <w:r>
        <w:rPr>
          <w:rFonts w:ascii="Calibri" w:cs="Calibri" w:eastAsia="Calibri" w:hAnsi="Calibri"/>
          <w:b/>
          <w:bCs/>
          <w:color w:val="2F5FE0"/>
          <w:sz w:val="21"/>
          <w:szCs w:val="21"/>
        </w:rPr>
        <w:t xml:space="preserve">10.  </w:t>
      </w:r>
      <w:r>
        <w:rPr>
          <w:rFonts w:ascii="Calibri" w:cs="Calibri" w:eastAsia="Calibri" w:hAnsi="Calibri"/>
          <w:color w:val="3A4657"/>
          <w:sz w:val="21"/>
          <w:szCs w:val="21"/>
        </w:rPr>
        <w:t xml:space="preserve">Full source list with links</w:t>
      </w:r>
    </w:p>
    <w:p>
      <w:r>
        <w:br w:type="page"/>
      </w:r>
    </w:p>
    <w:p>
      <w:pPr>
        <w:pStyle w:val="Heading1"/>
        <w:keepNext/>
        <w:pBdr>
          <w:bottom w:val="single" w:color="2F5FE0" w:sz="12" w:space="6"/>
        </w:pBdr>
        <w:spacing w:after="180" w:before="420"/>
      </w:pPr>
      <w:r>
        <w:rPr>
          <w:rFonts w:ascii="Arial" w:cs="Arial" w:eastAsia="Arial" w:hAnsi="Arial"/>
          <w:b/>
          <w:bCs/>
          <w:color w:val="0F1B33"/>
          <w:sz w:val="30"/>
          <w:szCs w:val="30"/>
        </w:rPr>
        <w:t xml:space="preserve">1.  How to read the units</w:t>
      </w:r>
    </w:p>
    <w:p>
      <w:pPr>
        <w:spacing w:after="140" w:before="0" w:line="280"/>
      </w:pPr>
      <w:r>
        <w:rPr>
          <w:rFonts w:ascii="Calibri" w:cs="Calibri" w:eastAsia="Calibri" w:hAnsi="Calibri"/>
          <w:color w:val="3A4657"/>
          <w:sz w:val="21"/>
          <w:szCs w:val="21"/>
        </w:rPr>
        <w:t xml:space="preserve">Most of our numbers are in Indian units and most foreign investors are not. Get comfortable converting both ways, because you will be asked to.</w:t>
      </w:r>
    </w:p>
    <w:tbl>
      <w:tblPr>
        <w:tblW w:type="dxa" w:w="9026"/>
        <w:tblBorders>
          <w:top w:val="single" w:color="DCE3F0" w:sz="4"/>
          <w:left w:val="single" w:color="DCE3F0" w:sz="4"/>
          <w:bottom w:val="single" w:color="DCE3F0" w:sz="4"/>
          <w:right w:val="single" w:color="DCE3F0" w:sz="4"/>
          <w:insideH w:val="single" w:color="DCE3F0" w:sz="4"/>
          <w:insideV w:val="single" w:color="DCE3F0" w:sz="4"/>
        </w:tblBorders>
      </w:tblPr>
      <w:tblGrid>
        <w:gridCol w:w="1700"/>
        <w:gridCol w:w="3900"/>
        <w:gridCol w:w="3426"/>
      </w:tblGrid>
      <w:tr>
        <w:trPr>
          <w:tblHeader/>
        </w:trPr>
        <w:tc>
          <w:tcPr>
            <w:tcW w:type="dxa" w:w="1700"/>
            <w:shd w:fill="0F1B33" w:color="auto" w:val="clear"/>
            <w:tcMar>
              <w:top w:type="dxa" w:w="90"/>
              <w:left w:type="dxa" w:w="120"/>
              <w:bottom w:type="dxa" w:w="90"/>
              <w:right w:type="dxa" w:w="120"/>
            </w:tcMar>
          </w:tcPr>
          <w:p>
            <w:pPr>
              <w:spacing w:after="0" w:line="260"/>
            </w:pPr>
            <w:r>
              <w:rPr>
                <w:rFonts w:ascii="Arial" w:cs="Arial" w:eastAsia="Arial" w:hAnsi="Arial"/>
                <w:b/>
                <w:bCs/>
                <w:color w:val="FFFFFF"/>
                <w:sz w:val="19"/>
                <w:szCs w:val="19"/>
              </w:rPr>
              <w:t xml:space="preserve">Unit</w:t>
            </w:r>
          </w:p>
        </w:tc>
        <w:tc>
          <w:tcPr>
            <w:tcW w:type="dxa" w:w="3900"/>
            <w:shd w:fill="0F1B33" w:color="auto" w:val="clear"/>
            <w:tcMar>
              <w:top w:type="dxa" w:w="90"/>
              <w:left w:type="dxa" w:w="120"/>
              <w:bottom w:type="dxa" w:w="90"/>
              <w:right w:type="dxa" w:w="120"/>
            </w:tcMar>
          </w:tcPr>
          <w:p>
            <w:pPr>
              <w:spacing w:after="0" w:line="260"/>
            </w:pPr>
            <w:r>
              <w:rPr>
                <w:rFonts w:ascii="Arial" w:cs="Arial" w:eastAsia="Arial" w:hAnsi="Arial"/>
                <w:b/>
                <w:bCs/>
                <w:color w:val="FFFFFF"/>
                <w:sz w:val="19"/>
                <w:szCs w:val="19"/>
              </w:rPr>
              <w:t xml:space="preserve">Means</w:t>
            </w:r>
          </w:p>
        </w:tc>
        <w:tc>
          <w:tcPr>
            <w:tcW w:type="dxa" w:w="3426"/>
            <w:shd w:fill="0F1B33" w:color="auto" w:val="clear"/>
            <w:tcMar>
              <w:top w:type="dxa" w:w="90"/>
              <w:left w:type="dxa" w:w="120"/>
              <w:bottom w:type="dxa" w:w="90"/>
              <w:right w:type="dxa" w:w="120"/>
            </w:tcMar>
          </w:tcPr>
          <w:p>
            <w:pPr>
              <w:spacing w:after="0" w:line="260"/>
            </w:pPr>
            <w:r>
              <w:rPr>
                <w:rFonts w:ascii="Arial" w:cs="Arial" w:eastAsia="Arial" w:hAnsi="Arial"/>
                <w:b/>
                <w:bCs/>
                <w:color w:val="FFFFFF"/>
                <w:sz w:val="19"/>
                <w:szCs w:val="19"/>
              </w:rPr>
              <w:t xml:space="preserve">In US dollars, at ₹96 = $1</w:t>
            </w:r>
          </w:p>
        </w:tc>
      </w:tr>
      <w:tr>
        <w:tc>
          <w:tcPr>
            <w:tcW w:type="dxa" w:w="1700"/>
            <w:shd w:fill="FFFFFF"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1 lakh</w:t>
            </w:r>
          </w:p>
        </w:tc>
        <w:tc>
          <w:tcPr>
            <w:tcW w:type="dxa" w:w="3900"/>
            <w:shd w:fill="FFFFFF"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100,000</w:t>
            </w:r>
          </w:p>
        </w:tc>
        <w:tc>
          <w:tcPr>
            <w:tcW w:type="dxa" w:w="3426"/>
            <w:shd w:fill="FFFFFF"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 $1,040</w:t>
            </w:r>
          </w:p>
        </w:tc>
      </w:tr>
      <w:tr>
        <w:tc>
          <w:tcPr>
            <w:tcW w:type="dxa" w:w="1700"/>
            <w:shd w:fill="F2F5FA"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1 crore (Cr)</w:t>
            </w:r>
          </w:p>
        </w:tc>
        <w:tc>
          <w:tcPr>
            <w:tcW w:type="dxa" w:w="3900"/>
            <w:shd w:fill="F2F5FA"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10 million (100 lakh)</w:t>
            </w:r>
          </w:p>
        </w:tc>
        <w:tc>
          <w:tcPr>
            <w:tcW w:type="dxa" w:w="3426"/>
            <w:shd w:fill="F2F5FA"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 $104,000</w:t>
            </w:r>
          </w:p>
        </w:tc>
      </w:tr>
      <w:tr>
        <w:tc>
          <w:tcPr>
            <w:tcW w:type="dxa" w:w="1700"/>
            <w:shd w:fill="FFFFFF"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1 lakh crore (L Cr)</w:t>
            </w:r>
          </w:p>
        </w:tc>
        <w:tc>
          <w:tcPr>
            <w:tcW w:type="dxa" w:w="3900"/>
            <w:shd w:fill="FFFFFF"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1 trillion rupees (₹1,00,000 Cr)</w:t>
            </w:r>
          </w:p>
        </w:tc>
        <w:tc>
          <w:tcPr>
            <w:tcW w:type="dxa" w:w="3426"/>
            <w:shd w:fill="FFFFFF"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 $10.4 billion</w:t>
            </w:r>
          </w:p>
        </w:tc>
      </w:tr>
      <w:tr>
        <w:tc>
          <w:tcPr>
            <w:tcW w:type="dxa" w:w="1700"/>
            <w:shd w:fill="F2F5FA"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1 basis point (bps)</w:t>
            </w:r>
          </w:p>
        </w:tc>
        <w:tc>
          <w:tcPr>
            <w:tcW w:type="dxa" w:w="3900"/>
            <w:shd w:fill="F2F5FA"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one hundredth of one per cent, 0.01%</w:t>
            </w:r>
          </w:p>
        </w:tc>
        <w:tc>
          <w:tcPr>
            <w:tcW w:type="dxa" w:w="3426"/>
            <w:shd w:fill="F2F5FA"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w:t>
            </w:r>
          </w:p>
        </w:tc>
      </w:tr>
      <w:tr>
        <w:tc>
          <w:tcPr>
            <w:tcW w:type="dxa" w:w="1700"/>
            <w:shd w:fill="FFFFFF"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50 bps</w:t>
            </w:r>
          </w:p>
        </w:tc>
        <w:tc>
          <w:tcPr>
            <w:tcW w:type="dxa" w:w="3900"/>
            <w:shd w:fill="FFFFFF"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0.50% — ₹50 on every ₹10,000</w:t>
            </w:r>
          </w:p>
        </w:tc>
        <w:tc>
          <w:tcPr>
            <w:tcW w:type="dxa" w:w="3426"/>
            <w:shd w:fill="FFFFFF"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w:t>
            </w:r>
          </w:p>
        </w:tc>
      </w:tr>
    </w:tbl>
    <w:p>
      <w:pPr>
        <w:spacing w:after="140" w:before="140" w:line="280"/>
      </w:pPr>
      <w:r>
        <w:rPr>
          <w:rFonts w:ascii="Calibri" w:cs="Calibri" w:eastAsia="Calibri" w:hAnsi="Calibri"/>
          <w:b/>
          <w:bCs/>
          <w:color w:val="0F1B33"/>
          <w:sz w:val="21"/>
          <w:szCs w:val="21"/>
        </w:rPr>
        <w:t xml:space="preserve">Exchange rate used throughout: </w:t>
      </w:r>
      <w:r>
        <w:rPr>
          <w:rFonts w:ascii="Calibri" w:cs="Calibri" w:eastAsia="Calibri" w:hAnsi="Calibri"/>
          <w:color w:val="3A4657"/>
          <w:sz w:val="21"/>
          <w:szCs w:val="21"/>
        </w:rPr>
        <w:t xml:space="preserve">₹95.99 to the dollar, 18 September 2026. We round to ₹96 in speech. The rupee fell 8.95% against the dollar in the year to September 2026, so refresh this before any meeting where you quote dollars.</w:t>
      </w:r>
    </w:p>
    <w:tbl>
      <w:tblPr>
        <w:tblW w:type="dxa" w:w="9026"/>
        <w:tblBorders>
          <w:top w:val="single" w:color="F2F5FA" w:sz="4"/>
          <w:left w:val="single" w:color="8A93A5" w:sz="24"/>
          <w:bottom w:val="single" w:color="F2F5FA" w:sz="4"/>
          <w:right w:val="single" w:color="F2F5FA" w:sz="4"/>
          <w:insideH w:val="none" w:color="F2F5FA" w:sz="0"/>
          <w:insideV w:val="none" w:color="F2F5FA" w:sz="0"/>
        </w:tblBorders>
      </w:tblPr>
      <w:tblGrid>
        <w:gridCol w:w="9026"/>
      </w:tblGrid>
      <w:tr>
        <w:tc>
          <w:tcPr>
            <w:tcW w:type="dxa" w:w="9026"/>
            <w:shd w:fill="F2F5FA" w:color="auto" w:val="clear"/>
            <w:tcMar>
              <w:top w:type="dxa" w:w="140"/>
              <w:left w:type="dxa" w:w="200"/>
              <w:bottom w:type="dxa" w:w="140"/>
              <w:right w:type="dxa" w:w="200"/>
            </w:tcMar>
          </w:tcPr>
          <w:p>
            <w:pPr>
              <w:spacing w:after="80" w:line="260"/>
            </w:pPr>
            <w:r>
              <w:rPr>
                <w:rFonts w:ascii="Arial" w:cs="Arial" w:eastAsia="Arial" w:hAnsi="Arial"/>
                <w:b/>
                <w:bCs/>
                <w:color w:val="0F1B33"/>
                <w:sz w:val="20"/>
                <w:szCs w:val="20"/>
              </w:rPr>
              <w:t xml:space="preserve">The conversion you will need most</w:t>
            </w:r>
          </w:p>
          <w:p>
            <w:pPr>
              <w:spacing w:after="60" w:line="260"/>
            </w:pPr>
            <w:r>
              <w:rPr>
                <w:rFonts w:ascii="Calibri" w:cs="Calibri" w:eastAsia="Calibri" w:hAnsi="Calibri"/>
                <w:color w:val="3A4657"/>
                <w:sz w:val="21"/>
                <w:szCs w:val="21"/>
              </w:rPr>
              <w:t xml:space="preserve">₹68,500 Cr ≈ US$7.1 bn  (TAM)   ·   ₹41,200 Cr ≈ US$4.3 bn  (SAM)   ·   ₹165 Cr ≈ US$17 mn  (SOM)</w:t>
            </w:r>
          </w:p>
          <w:p>
            <w:pPr>
              <w:spacing w:after="60" w:line="260"/>
            </w:pPr>
            <w:r>
              <w:rPr>
                <w:rFonts w:ascii="Calibri" w:cs="Calibri" w:eastAsia="Calibri" w:hAnsi="Calibri"/>
                <w:color w:val="3A4657"/>
                <w:sz w:val="21"/>
                <w:szCs w:val="21"/>
              </w:rPr>
              <w:t xml:space="preserve">₹158 lakh crore of assets ≈ US$1.65 trillion.</w:t>
            </w:r>
          </w:p>
        </w:tc>
      </w:tr>
    </w:tbl>
    <w:p>
      <w:pPr>
        <w:pStyle w:val="Heading1"/>
        <w:keepNext/>
        <w:pBdr>
          <w:bottom w:val="single" w:color="2F5FE0" w:sz="12" w:space="6"/>
        </w:pBdr>
        <w:spacing w:after="180" w:before="420"/>
      </w:pPr>
      <w:r>
        <w:rPr>
          <w:rFonts w:ascii="Arial" w:cs="Arial" w:eastAsia="Arial" w:hAnsi="Arial"/>
          <w:b/>
          <w:bCs/>
          <w:color w:val="0F1B33"/>
          <w:sz w:val="30"/>
          <w:szCs w:val="30"/>
        </w:rPr>
        <w:t xml:space="preserve">2.  The market slide (slide 9)</w:t>
      </w:r>
    </w:p>
    <w:p>
      <w:pPr>
        <w:spacing w:after="140" w:before="0" w:line="280"/>
      </w:pPr>
      <w:r>
        <w:rPr>
          <w:rFonts w:ascii="Calibri" w:cs="Calibri" w:eastAsia="Calibri" w:hAnsi="Calibri"/>
          <w:color w:val="3A4657"/>
          <w:sz w:val="21"/>
          <w:szCs w:val="21"/>
        </w:rPr>
        <w:t xml:space="preserve">This is the slide that gets challenged. The numbers are defensible, but only if you explain the method before you say the figure. Lead with the method.</w:t>
      </w:r>
    </w:p>
    <w:p>
      <w:pPr>
        <w:pStyle w:val="Heading2"/>
        <w:keepNext/>
        <w:spacing w:after="120" w:before="320"/>
      </w:pPr>
      <w:r>
        <w:rPr>
          <w:rFonts w:ascii="Arial" w:cs="Arial" w:eastAsia="Arial" w:hAnsi="Arial"/>
          <w:b/>
          <w:bCs/>
          <w:color w:val="2F5FE0"/>
          <w:sz w:val="24"/>
          <w:szCs w:val="24"/>
        </w:rPr>
        <w:t xml:space="preserve">2.1  Why we size a fee pool and not a pile of assets</w:t>
      </w:r>
    </w:p>
    <w:p>
      <w:pPr>
        <w:spacing w:after="140" w:before="0" w:line="280"/>
      </w:pPr>
      <w:r>
        <w:rPr>
          <w:rFonts w:ascii="Calibri" w:cs="Calibri" w:eastAsia="Calibri" w:hAnsi="Calibri"/>
          <w:color w:val="3A4657"/>
          <w:sz w:val="21"/>
          <w:szCs w:val="21"/>
        </w:rPr>
        <w:t xml:space="preserve">We can charge three different ways, and we probably will charge all three: a flat monthly subscription, a percentage of assets we advise on (AUA), and a licence fee when a distributor or bank runs our engines inside their own product.</w:t>
      </w:r>
    </w:p>
    <w:p>
      <w:pPr>
        <w:spacing w:after="140" w:before="0" w:line="280"/>
      </w:pPr>
      <w:r>
        <w:rPr>
          <w:rFonts w:ascii="Calibri" w:cs="Calibri" w:eastAsia="Calibri" w:hAnsi="Calibri"/>
          <w:color w:val="3A4657"/>
          <w:sz w:val="21"/>
          <w:szCs w:val="21"/>
        </w:rPr>
        <w:t xml:space="preserve">That creates a problem for conventional market sizing. If we sized the market as </w:t>
      </w:r>
      <w:r>
        <w:rPr>
          <w:rFonts w:ascii="Calibri" w:cs="Calibri" w:eastAsia="Calibri" w:hAnsi="Calibri"/>
          <w:i/>
          <w:iCs/>
          <w:color w:val="3A4657"/>
          <w:sz w:val="21"/>
          <w:szCs w:val="21"/>
        </w:rPr>
        <w:t xml:space="preserve">number of investors × our subscription price</w:t>
      </w:r>
      <w:r>
        <w:rPr>
          <w:rFonts w:ascii="Calibri" w:cs="Calibri" w:eastAsia="Calibri" w:hAnsi="Calibri"/>
          <w:color w:val="3A4657"/>
          <w:sz w:val="21"/>
          <w:szCs w:val="21"/>
        </w:rPr>
        <w:t xml:space="preserve">, the "market" would change every time we changed our pricing. A market that moves when your price list moves is not a market — it is a revenue forecast wearing a costume.</w:t>
      </w:r>
    </w:p>
    <w:p>
      <w:pPr>
        <w:spacing w:after="140" w:before="0" w:line="280"/>
      </w:pPr>
      <w:r>
        <w:rPr>
          <w:rFonts w:ascii="Calibri" w:cs="Calibri" w:eastAsia="Calibri" w:hAnsi="Calibri"/>
          <w:b/>
          <w:bCs/>
          <w:color w:val="0F1B33"/>
          <w:sz w:val="21"/>
          <w:szCs w:val="21"/>
        </w:rPr>
        <w:t xml:space="preserve">So we size the fee pool instead:</w:t>
      </w:r>
    </w:p>
    <w:p>
      <w:pPr>
        <w:spacing w:after="160" w:before="100"/>
        <w:jc w:val="center"/>
      </w:pPr>
      <w:r>
        <w:rPr>
          <w:rFonts w:ascii="Arial" w:cs="Arial" w:eastAsia="Arial" w:hAnsi="Arial"/>
          <w:b/>
          <w:bCs/>
          <w:color w:val="0F1B33"/>
          <w:sz w:val="24"/>
          <w:szCs w:val="24"/>
        </w:rPr>
        <w:t xml:space="preserve">TAM  =  the assets we could advise on  ×  the rate at which advice is actually paid for</w:t>
      </w:r>
    </w:p>
    <w:p>
      <w:pPr>
        <w:spacing w:after="140" w:before="0" w:line="280"/>
      </w:pPr>
      <w:r>
        <w:rPr>
          <w:rFonts w:ascii="Calibri" w:cs="Calibri" w:eastAsia="Calibri" w:hAnsi="Calibri"/>
          <w:color w:val="3A4657"/>
          <w:sz w:val="21"/>
          <w:szCs w:val="21"/>
        </w:rPr>
        <w:t xml:space="preserve">Say this out loud in the meeting. It is monetisation-agnostic: whether that rupee of revenue arrives as a subscription, an AUA fee or a licence, it is the same rupee coming out of the same pool. That is the whole argument, and it is a strength, not a hedge.</w:t>
      </w:r>
    </w:p>
    <w:p>
      <w:pPr>
        <w:pStyle w:val="Heading2"/>
        <w:keepNext/>
        <w:spacing w:after="120" w:before="320"/>
      </w:pPr>
      <w:r>
        <w:rPr>
          <w:rFonts w:ascii="Arial" w:cs="Arial" w:eastAsia="Arial" w:hAnsi="Arial"/>
          <w:b/>
          <w:bCs/>
          <w:color w:val="2F5FE0"/>
          <w:sz w:val="24"/>
          <w:szCs w:val="24"/>
        </w:rPr>
        <w:t xml:space="preserve">2.2  The base — ₹158.18 lakh crore of addressable assets</w:t>
      </w:r>
    </w:p>
    <w:p>
      <w:pPr>
        <w:spacing w:after="140" w:before="0" w:line="280"/>
      </w:pPr>
      <w:r>
        <w:rPr>
          <w:rFonts w:ascii="Calibri" w:cs="Calibri" w:eastAsia="Calibri" w:hAnsi="Calibri"/>
          <w:color w:val="3A4657"/>
          <w:sz w:val="21"/>
          <w:szCs w:val="21"/>
        </w:rPr>
        <w:t xml:space="preserve">Everything an Indian can hold digitally, across every type of holder. Directly purchased physical real estate and physical commodities are excluded by design — we cannot see them, connect to them or advise on them.</w:t>
      </w:r>
    </w:p>
    <w:p>
      <w:pPr>
        <w:pStyle w:val="Heading3"/>
        <w:keepNext/>
        <w:spacing w:after="90" w:before="220"/>
      </w:pPr>
      <w:r>
        <w:rPr>
          <w:rFonts w:ascii="Arial" w:cs="Arial" w:eastAsia="Arial" w:hAnsi="Arial"/>
          <w:b/>
          <w:bCs/>
          <w:color w:val="0F1B33"/>
          <w:sz w:val="21"/>
          <w:szCs w:val="21"/>
        </w:rPr>
        <w:t xml:space="preserve">Cut one: by instrument — this is what the chart on slide 9 shows</w:t>
      </w:r>
    </w:p>
    <w:tbl>
      <w:tblPr>
        <w:tblW w:type="dxa" w:w="9026"/>
        <w:tblBorders>
          <w:top w:val="single" w:color="DCE3F0" w:sz="4"/>
          <w:left w:val="single" w:color="DCE3F0" w:sz="4"/>
          <w:bottom w:val="single" w:color="DCE3F0" w:sz="4"/>
          <w:right w:val="single" w:color="DCE3F0" w:sz="4"/>
          <w:insideH w:val="single" w:color="DCE3F0" w:sz="4"/>
          <w:insideV w:val="single" w:color="DCE3F0" w:sz="4"/>
        </w:tblBorders>
      </w:tblPr>
      <w:tblGrid>
        <w:gridCol w:w="3000"/>
        <w:gridCol w:w="1500"/>
        <w:gridCol w:w="4526"/>
      </w:tblGrid>
      <w:tr>
        <w:trPr>
          <w:tblHeader/>
        </w:trPr>
        <w:tc>
          <w:tcPr>
            <w:tcW w:type="dxa" w:w="3000"/>
            <w:shd w:fill="0F1B33" w:color="auto" w:val="clear"/>
            <w:tcMar>
              <w:top w:type="dxa" w:w="90"/>
              <w:left w:type="dxa" w:w="120"/>
              <w:bottom w:type="dxa" w:w="90"/>
              <w:right w:type="dxa" w:w="120"/>
            </w:tcMar>
          </w:tcPr>
          <w:p>
            <w:pPr>
              <w:spacing w:after="0" w:line="260"/>
            </w:pPr>
            <w:r>
              <w:rPr>
                <w:rFonts w:ascii="Arial" w:cs="Arial" w:eastAsia="Arial" w:hAnsi="Arial"/>
                <w:b/>
                <w:bCs/>
                <w:color w:val="FFFFFF"/>
                <w:sz w:val="19"/>
                <w:szCs w:val="19"/>
              </w:rPr>
              <w:t xml:space="preserve">Instrument</w:t>
            </w:r>
          </w:p>
        </w:tc>
        <w:tc>
          <w:tcPr>
            <w:tcW w:type="dxa" w:w="1500"/>
            <w:shd w:fill="0F1B33" w:color="auto" w:val="clear"/>
            <w:tcMar>
              <w:top w:type="dxa" w:w="90"/>
              <w:left w:type="dxa" w:w="120"/>
              <w:bottom w:type="dxa" w:w="90"/>
              <w:right w:type="dxa" w:w="120"/>
            </w:tcMar>
          </w:tcPr>
          <w:p>
            <w:pPr>
              <w:spacing w:after="0" w:line="260"/>
            </w:pPr>
            <w:r>
              <w:rPr>
                <w:rFonts w:ascii="Arial" w:cs="Arial" w:eastAsia="Arial" w:hAnsi="Arial"/>
                <w:b/>
                <w:bCs/>
                <w:color w:val="FFFFFF"/>
                <w:sz w:val="19"/>
                <w:szCs w:val="19"/>
              </w:rPr>
              <w:t xml:space="preserve">₹ lakh crore</w:t>
            </w:r>
          </w:p>
        </w:tc>
        <w:tc>
          <w:tcPr>
            <w:tcW w:type="dxa" w:w="4526"/>
            <w:shd w:fill="0F1B33" w:color="auto" w:val="clear"/>
            <w:tcMar>
              <w:top w:type="dxa" w:w="90"/>
              <w:left w:type="dxa" w:w="120"/>
              <w:bottom w:type="dxa" w:w="90"/>
              <w:right w:type="dxa" w:w="120"/>
            </w:tcMar>
          </w:tcPr>
          <w:p>
            <w:pPr>
              <w:spacing w:after="0" w:line="260"/>
            </w:pPr>
            <w:r>
              <w:rPr>
                <w:rFonts w:ascii="Arial" w:cs="Arial" w:eastAsia="Arial" w:hAnsi="Arial"/>
                <w:b/>
                <w:bCs/>
                <w:color w:val="FFFFFF"/>
                <w:sz w:val="19"/>
                <w:szCs w:val="19"/>
              </w:rPr>
              <w:t xml:space="preserve">Where it comes from</w:t>
            </w:r>
          </w:p>
        </w:tc>
      </w:tr>
      <w:tr>
        <w:tc>
          <w:tcPr>
            <w:tcW w:type="dxa" w:w="3000"/>
            <w:shd w:fill="FFFFFF" w:color="auto" w:val="clear"/>
            <w:tcMar>
              <w:top w:type="dxa" w:w="80"/>
              <w:left w:type="dxa" w:w="120"/>
              <w:bottom w:type="dxa" w:w="80"/>
              <w:right w:type="dxa" w:w="120"/>
            </w:tcMar>
          </w:tcPr>
          <w:p>
            <w:pPr>
              <w:spacing w:after="0" w:before="0" w:line="260"/>
            </w:pPr>
            <w:r>
              <w:rPr>
                <w:rFonts w:ascii="Calibri" w:cs="Calibri" w:eastAsia="Calibri" w:hAnsi="Calibri"/>
                <w:b/>
                <w:bCs/>
                <w:color w:val="0F1B33"/>
                <w:sz w:val="21"/>
                <w:szCs w:val="21"/>
              </w:rPr>
              <w:t xml:space="preserve">Mutual funds, all categories</w:t>
            </w:r>
          </w:p>
        </w:tc>
        <w:tc>
          <w:tcPr>
            <w:tcW w:type="dxa" w:w="1500"/>
            <w:shd w:fill="FFFFFF" w:color="auto" w:val="clear"/>
            <w:tcMar>
              <w:top w:type="dxa" w:w="80"/>
              <w:left w:type="dxa" w:w="120"/>
              <w:bottom w:type="dxa" w:w="80"/>
              <w:right w:type="dxa" w:w="120"/>
            </w:tcMar>
          </w:tcPr>
          <w:p>
            <w:pPr>
              <w:spacing w:after="0" w:before="0" w:line="260"/>
            </w:pPr>
            <w:r>
              <w:rPr>
                <w:rFonts w:ascii="Calibri" w:cs="Calibri" w:eastAsia="Calibri" w:hAnsi="Calibri"/>
                <w:b/>
                <w:bCs/>
                <w:color w:val="0F1B33"/>
                <w:sz w:val="21"/>
                <w:szCs w:val="21"/>
              </w:rPr>
              <w:t xml:space="preserve">80.33</w:t>
            </w:r>
          </w:p>
        </w:tc>
        <w:tc>
          <w:tcPr>
            <w:tcW w:type="dxa" w:w="4526"/>
            <w:shd w:fill="FFFFFF"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AMFI Investor Trends, February 2026 — total industry AUM ₹82.03 L Cr, less ₹1.68 L Cr held by banks and financial institutions</w:t>
            </w:r>
          </w:p>
        </w:tc>
      </w:tr>
      <w:tr>
        <w:tc>
          <w:tcPr>
            <w:tcW w:type="dxa" w:w="3000"/>
            <w:shd w:fill="F2F5FA" w:color="auto" w:val="clear"/>
            <w:tcMar>
              <w:top w:type="dxa" w:w="80"/>
              <w:left w:type="dxa" w:w="120"/>
              <w:bottom w:type="dxa" w:w="80"/>
              <w:right w:type="dxa" w:w="120"/>
            </w:tcMar>
          </w:tcPr>
          <w:p>
            <w:pPr>
              <w:spacing w:after="0" w:before="0" w:line="260"/>
            </w:pPr>
            <w:r>
              <w:rPr>
                <w:rFonts w:ascii="Calibri" w:cs="Calibri" w:eastAsia="Calibri" w:hAnsi="Calibri"/>
                <w:b/>
                <w:bCs/>
                <w:color w:val="0F1B33"/>
                <w:sz w:val="21"/>
                <w:szCs w:val="21"/>
              </w:rPr>
              <w:t xml:space="preserve">Listed equity, held directly</w:t>
            </w:r>
          </w:p>
        </w:tc>
        <w:tc>
          <w:tcPr>
            <w:tcW w:type="dxa" w:w="1500"/>
            <w:shd w:fill="F2F5FA" w:color="auto" w:val="clear"/>
            <w:tcMar>
              <w:top w:type="dxa" w:w="80"/>
              <w:left w:type="dxa" w:w="120"/>
              <w:bottom w:type="dxa" w:w="80"/>
              <w:right w:type="dxa" w:w="120"/>
            </w:tcMar>
          </w:tcPr>
          <w:p>
            <w:pPr>
              <w:spacing w:after="0" w:before="0" w:line="260"/>
            </w:pPr>
            <w:r>
              <w:rPr>
                <w:rFonts w:ascii="Calibri" w:cs="Calibri" w:eastAsia="Calibri" w:hAnsi="Calibri"/>
                <w:b/>
                <w:bCs/>
                <w:color w:val="0F1B33"/>
                <w:sz w:val="21"/>
                <w:szCs w:val="21"/>
              </w:rPr>
              <w:t xml:space="preserve">66.55</w:t>
            </w:r>
          </w:p>
        </w:tc>
        <w:tc>
          <w:tcPr>
            <w:tcW w:type="dxa" w:w="4526"/>
            <w:shd w:fill="F2F5FA"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NSE India Ownership Tracker Q1 FY26 shares, applied to NSE market capitalisation of ₹462.2 L Cr (June 2026)</w:t>
            </w:r>
          </w:p>
        </w:tc>
      </w:tr>
      <w:tr>
        <w:tc>
          <w:tcPr>
            <w:tcW w:type="dxa" w:w="3000"/>
            <w:shd w:fill="FFFFFF" w:color="auto" w:val="clear"/>
            <w:tcMar>
              <w:top w:type="dxa" w:w="80"/>
              <w:left w:type="dxa" w:w="120"/>
              <w:bottom w:type="dxa" w:w="80"/>
              <w:right w:type="dxa" w:w="120"/>
            </w:tcMar>
          </w:tcPr>
          <w:p>
            <w:pPr>
              <w:spacing w:after="0" w:before="0" w:line="260"/>
            </w:pPr>
            <w:r>
              <w:rPr>
                <w:rFonts w:ascii="Calibri" w:cs="Calibri" w:eastAsia="Calibri" w:hAnsi="Calibri"/>
                <w:b/>
                <w:bCs/>
                <w:color w:val="0F1B33"/>
                <w:sz w:val="21"/>
                <w:szCs w:val="21"/>
              </w:rPr>
              <w:t xml:space="preserve">AIFs, Categories I–III</w:t>
            </w:r>
          </w:p>
        </w:tc>
        <w:tc>
          <w:tcPr>
            <w:tcW w:type="dxa" w:w="1500"/>
            <w:shd w:fill="FFFFFF" w:color="auto" w:val="clear"/>
            <w:tcMar>
              <w:top w:type="dxa" w:w="80"/>
              <w:left w:type="dxa" w:w="120"/>
              <w:bottom w:type="dxa" w:w="80"/>
              <w:right w:type="dxa" w:w="120"/>
            </w:tcMar>
          </w:tcPr>
          <w:p>
            <w:pPr>
              <w:spacing w:after="0" w:before="0" w:line="260"/>
            </w:pPr>
            <w:r>
              <w:rPr>
                <w:rFonts w:ascii="Calibri" w:cs="Calibri" w:eastAsia="Calibri" w:hAnsi="Calibri"/>
                <w:b/>
                <w:bCs/>
                <w:color w:val="0F1B33"/>
                <w:sz w:val="21"/>
                <w:szCs w:val="21"/>
              </w:rPr>
              <w:t xml:space="preserve">7.00</w:t>
            </w:r>
          </w:p>
        </w:tc>
        <w:tc>
          <w:tcPr>
            <w:tcW w:type="dxa" w:w="4526"/>
            <w:shd w:fill="FFFFFF"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SEBI, March 2026 — funds actually raised, not funds committed</w:t>
            </w:r>
          </w:p>
        </w:tc>
      </w:tr>
      <w:tr>
        <w:tc>
          <w:tcPr>
            <w:tcW w:type="dxa" w:w="3000"/>
            <w:shd w:fill="F2F5FA" w:color="auto" w:val="clear"/>
            <w:tcMar>
              <w:top w:type="dxa" w:w="80"/>
              <w:left w:type="dxa" w:w="120"/>
              <w:bottom w:type="dxa" w:w="80"/>
              <w:right w:type="dxa" w:w="120"/>
            </w:tcMar>
          </w:tcPr>
          <w:p>
            <w:pPr>
              <w:spacing w:after="0" w:before="0" w:line="260"/>
            </w:pPr>
            <w:r>
              <w:rPr>
                <w:rFonts w:ascii="Calibri" w:cs="Calibri" w:eastAsia="Calibri" w:hAnsi="Calibri"/>
                <w:b/>
                <w:bCs/>
                <w:color w:val="0F1B33"/>
                <w:sz w:val="21"/>
                <w:szCs w:val="21"/>
              </w:rPr>
              <w:t xml:space="preserve">REITs, InvITs and Sovereign Gold Bonds</w:t>
            </w:r>
          </w:p>
        </w:tc>
        <w:tc>
          <w:tcPr>
            <w:tcW w:type="dxa" w:w="1500"/>
            <w:shd w:fill="F2F5FA" w:color="auto" w:val="clear"/>
            <w:tcMar>
              <w:top w:type="dxa" w:w="80"/>
              <w:left w:type="dxa" w:w="120"/>
              <w:bottom w:type="dxa" w:w="80"/>
              <w:right w:type="dxa" w:w="120"/>
            </w:tcMar>
          </w:tcPr>
          <w:p>
            <w:pPr>
              <w:spacing w:after="0" w:before="0" w:line="260"/>
            </w:pPr>
            <w:r>
              <w:rPr>
                <w:rFonts w:ascii="Calibri" w:cs="Calibri" w:eastAsia="Calibri" w:hAnsi="Calibri"/>
                <w:b/>
                <w:bCs/>
                <w:color w:val="0F1B33"/>
                <w:sz w:val="21"/>
                <w:szCs w:val="21"/>
              </w:rPr>
              <w:t xml:space="preserve">4.29</w:t>
            </w:r>
          </w:p>
        </w:tc>
        <w:tc>
          <w:tcPr>
            <w:tcW w:type="dxa" w:w="4526"/>
            <w:shd w:fill="F2F5FA"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REITs ₹2.17 L Cr market cap (Aug 2026), InvITs ₹1.00 L Cr non-institutional share, SGBs ₹1.12 L Cr outstanding (132 tonnes)</w:t>
            </w:r>
          </w:p>
        </w:tc>
      </w:tr>
      <w:tr>
        <w:tc>
          <w:tcPr>
            <w:tcW w:type="dxa" w:w="3000"/>
            <w:shd w:fill="FFFFFF" w:color="auto" w:val="clear"/>
            <w:tcMar>
              <w:top w:type="dxa" w:w="80"/>
              <w:left w:type="dxa" w:w="120"/>
              <w:bottom w:type="dxa" w:w="80"/>
              <w:right w:type="dxa" w:w="120"/>
            </w:tcMar>
          </w:tcPr>
          <w:p>
            <w:pPr>
              <w:spacing w:after="0" w:before="0" w:line="260"/>
            </w:pPr>
            <w:r>
              <w:rPr>
                <w:rFonts w:ascii="Calibri" w:cs="Calibri" w:eastAsia="Calibri" w:hAnsi="Calibri"/>
                <w:b/>
                <w:bCs/>
                <w:color w:val="0F1B33"/>
                <w:sz w:val="21"/>
                <w:szCs w:val="21"/>
              </w:rPr>
              <w:t xml:space="preserve">Total</w:t>
            </w:r>
          </w:p>
        </w:tc>
        <w:tc>
          <w:tcPr>
            <w:tcW w:type="dxa" w:w="1500"/>
            <w:shd w:fill="FFFFFF" w:color="auto" w:val="clear"/>
            <w:tcMar>
              <w:top w:type="dxa" w:w="80"/>
              <w:left w:type="dxa" w:w="120"/>
              <w:bottom w:type="dxa" w:w="80"/>
              <w:right w:type="dxa" w:w="120"/>
            </w:tcMar>
          </w:tcPr>
          <w:p>
            <w:pPr>
              <w:spacing w:after="0" w:before="0" w:line="260"/>
            </w:pPr>
            <w:r>
              <w:rPr>
                <w:rFonts w:ascii="Calibri" w:cs="Calibri" w:eastAsia="Calibri" w:hAnsi="Calibri"/>
                <w:b/>
                <w:bCs/>
                <w:color w:val="0F1B33"/>
                <w:sz w:val="21"/>
                <w:szCs w:val="21"/>
              </w:rPr>
              <w:t xml:space="preserve">158.18</w:t>
            </w:r>
          </w:p>
        </w:tc>
        <w:tc>
          <w:tcPr>
            <w:tcW w:type="dxa" w:w="4526"/>
            <w:shd w:fill="FFFFFF" w:color="auto" w:val="clear"/>
            <w:tcMar>
              <w:top w:type="dxa" w:w="80"/>
              <w:left w:type="dxa" w:w="120"/>
              <w:bottom w:type="dxa" w:w="80"/>
              <w:right w:type="dxa" w:w="120"/>
            </w:tcMar>
          </w:tcPr>
          <w:p>
            <w:pPr>
              <w:spacing w:after="0" w:before="0" w:line="260"/>
            </w:pPr>
            <w:r>
              <w:rPr>
                <w:rFonts w:ascii="Calibri" w:cs="Calibri" w:eastAsia="Calibri" w:hAnsi="Calibri"/>
                <w:i/>
                <w:iCs/>
                <w:color w:val="3A4657"/>
                <w:sz w:val="21"/>
                <w:szCs w:val="21"/>
              </w:rPr>
              <w:t xml:space="preserve">Figures are rounded; the unrounded lines total ₹158.18 L Cr</w:t>
            </w:r>
          </w:p>
        </w:tc>
      </w:tr>
    </w:tbl>
    <w:p>
      <w:pPr>
        <w:pStyle w:val="Heading3"/>
        <w:keepNext/>
        <w:spacing w:after="90" w:before="220"/>
      </w:pPr>
      <w:r>
        <w:rPr>
          <w:rFonts w:ascii="Arial" w:cs="Arial" w:eastAsia="Arial" w:hAnsi="Arial"/>
          <w:b/>
          <w:bCs/>
          <w:color w:val="0F1B33"/>
          <w:sz w:val="21"/>
          <w:szCs w:val="21"/>
        </w:rPr>
        <w:t xml:space="preserve">Cut two: by holder — this is the version to use if someone asks "whose money is that?"</w:t>
      </w:r>
    </w:p>
    <w:tbl>
      <w:tblPr>
        <w:tblW w:type="dxa" w:w="9026"/>
        <w:tblBorders>
          <w:top w:val="single" w:color="DCE3F0" w:sz="4"/>
          <w:left w:val="single" w:color="DCE3F0" w:sz="4"/>
          <w:bottom w:val="single" w:color="DCE3F0" w:sz="4"/>
          <w:right w:val="single" w:color="DCE3F0" w:sz="4"/>
          <w:insideH w:val="single" w:color="DCE3F0" w:sz="4"/>
          <w:insideV w:val="single" w:color="DCE3F0" w:sz="4"/>
        </w:tblBorders>
      </w:tblPr>
      <w:tblGrid>
        <w:gridCol w:w="2200"/>
        <w:gridCol w:w="900"/>
        <w:gridCol w:w="4426"/>
        <w:gridCol w:w="1500"/>
      </w:tblGrid>
      <w:tr>
        <w:trPr>
          <w:tblHeader/>
        </w:trPr>
        <w:tc>
          <w:tcPr>
            <w:tcW w:type="dxa" w:w="2200"/>
            <w:shd w:fill="0F1B33" w:color="auto" w:val="clear"/>
            <w:tcMar>
              <w:top w:type="dxa" w:w="90"/>
              <w:left w:type="dxa" w:w="120"/>
              <w:bottom w:type="dxa" w:w="90"/>
              <w:right w:type="dxa" w:w="120"/>
            </w:tcMar>
          </w:tcPr>
          <w:p>
            <w:pPr>
              <w:spacing w:after="0" w:line="260"/>
            </w:pPr>
            <w:r>
              <w:rPr>
                <w:rFonts w:ascii="Arial" w:cs="Arial" w:eastAsia="Arial" w:hAnsi="Arial"/>
                <w:b/>
                <w:bCs/>
                <w:color w:val="FFFFFF"/>
                <w:sz w:val="19"/>
                <w:szCs w:val="19"/>
              </w:rPr>
              <w:t xml:space="preserve">Holder</w:t>
            </w:r>
          </w:p>
        </w:tc>
        <w:tc>
          <w:tcPr>
            <w:tcW w:type="dxa" w:w="900"/>
            <w:shd w:fill="0F1B33" w:color="auto" w:val="clear"/>
            <w:tcMar>
              <w:top w:type="dxa" w:w="90"/>
              <w:left w:type="dxa" w:w="120"/>
              <w:bottom w:type="dxa" w:w="90"/>
              <w:right w:type="dxa" w:w="120"/>
            </w:tcMar>
          </w:tcPr>
          <w:p>
            <w:pPr>
              <w:spacing w:after="0" w:line="260"/>
            </w:pPr>
            <w:r>
              <w:rPr>
                <w:rFonts w:ascii="Arial" w:cs="Arial" w:eastAsia="Arial" w:hAnsi="Arial"/>
                <w:b/>
                <w:bCs/>
                <w:color w:val="FFFFFF"/>
                <w:sz w:val="19"/>
                <w:szCs w:val="19"/>
              </w:rPr>
              <w:t xml:space="preserve">₹ L Cr</w:t>
            </w:r>
          </w:p>
        </w:tc>
        <w:tc>
          <w:tcPr>
            <w:tcW w:type="dxa" w:w="4426"/>
            <w:shd w:fill="0F1B33" w:color="auto" w:val="clear"/>
            <w:tcMar>
              <w:top w:type="dxa" w:w="90"/>
              <w:left w:type="dxa" w:w="120"/>
              <w:bottom w:type="dxa" w:w="90"/>
              <w:right w:type="dxa" w:w="120"/>
            </w:tcMar>
          </w:tcPr>
          <w:p>
            <w:pPr>
              <w:spacing w:after="0" w:line="260"/>
            </w:pPr>
            <w:r>
              <w:rPr>
                <w:rFonts w:ascii="Arial" w:cs="Arial" w:eastAsia="Arial" w:hAnsi="Arial"/>
                <w:b/>
                <w:bCs/>
                <w:color w:val="FFFFFF"/>
                <w:sz w:val="19"/>
                <w:szCs w:val="19"/>
              </w:rPr>
              <w:t xml:space="preserve">What it is</w:t>
            </w:r>
          </w:p>
        </w:tc>
        <w:tc>
          <w:tcPr>
            <w:tcW w:type="dxa" w:w="1500"/>
            <w:shd w:fill="0F1B33" w:color="auto" w:val="clear"/>
            <w:tcMar>
              <w:top w:type="dxa" w:w="90"/>
              <w:left w:type="dxa" w:w="120"/>
              <w:bottom w:type="dxa" w:w="90"/>
              <w:right w:type="dxa" w:w="120"/>
            </w:tcMar>
          </w:tcPr>
          <w:p>
            <w:pPr>
              <w:spacing w:after="0" w:line="260"/>
            </w:pPr>
            <w:r>
              <w:rPr>
                <w:rFonts w:ascii="Arial" w:cs="Arial" w:eastAsia="Arial" w:hAnsi="Arial"/>
                <w:b/>
                <w:bCs/>
                <w:color w:val="FFFFFF"/>
                <w:sz w:val="19"/>
                <w:szCs w:val="19"/>
              </w:rPr>
              <w:t xml:space="preserve">Fee rate we apply</w:t>
            </w:r>
          </w:p>
        </w:tc>
      </w:tr>
      <w:tr>
        <w:tc>
          <w:tcPr>
            <w:tcW w:type="dxa" w:w="2200"/>
            <w:shd w:fill="FFFFFF"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Individuals and HUFs</w:t>
            </w:r>
          </w:p>
        </w:tc>
        <w:tc>
          <w:tcPr>
            <w:tcW w:type="dxa" w:w="900"/>
            <w:shd w:fill="FFFFFF"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95.66</w:t>
            </w:r>
          </w:p>
        </w:tc>
        <w:tc>
          <w:tcPr>
            <w:tcW w:type="dxa" w:w="4426"/>
            <w:shd w:fill="FFFFFF"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Direct equity ₹44.37 + mutual funds ₹50.17 + SGBs ₹1.12. HUFs sit inside the "individual" category in Indian shareholding patterns.</w:t>
            </w:r>
          </w:p>
        </w:tc>
        <w:tc>
          <w:tcPr>
            <w:tcW w:type="dxa" w:w="1500"/>
            <w:shd w:fill="FFFFFF"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50 bps</w:t>
            </w:r>
          </w:p>
        </w:tc>
      </w:tr>
      <w:tr>
        <w:tc>
          <w:tcPr>
            <w:tcW w:type="dxa" w:w="2200"/>
            <w:shd w:fill="F2F5FA"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Family and corporate investment vehicles</w:t>
            </w:r>
          </w:p>
        </w:tc>
        <w:tc>
          <w:tcPr>
            <w:tcW w:type="dxa" w:w="900"/>
            <w:shd w:fill="F2F5FA"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22.19</w:t>
            </w:r>
          </w:p>
        </w:tc>
        <w:tc>
          <w:tcPr>
            <w:tcW w:type="dxa" w:w="4426"/>
            <w:shd w:fill="F2F5FA"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Non-promoter corporate equity ₹8.78 + private and family trusts, LLPs, partnership firms and NRIs ₹13.40.</w:t>
            </w:r>
          </w:p>
        </w:tc>
        <w:tc>
          <w:tcPr>
            <w:tcW w:type="dxa" w:w="1500"/>
            <w:shd w:fill="F2F5FA"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50 bps</w:t>
            </w:r>
          </w:p>
        </w:tc>
      </w:tr>
      <w:tr>
        <w:tc>
          <w:tcPr>
            <w:tcW w:type="dxa" w:w="2200"/>
            <w:shd w:fill="FFFFFF"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Alternatives</w:t>
            </w:r>
          </w:p>
        </w:tc>
        <w:tc>
          <w:tcPr>
            <w:tcW w:type="dxa" w:w="900"/>
            <w:shd w:fill="FFFFFF"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10.17</w:t>
            </w:r>
          </w:p>
        </w:tc>
        <w:tc>
          <w:tcPr>
            <w:tcW w:type="dxa" w:w="4426"/>
            <w:shd w:fill="FFFFFF"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AIFs ₹7.00 + REITs ₹2.17 + InvITs ₹1.00.</w:t>
            </w:r>
          </w:p>
        </w:tc>
        <w:tc>
          <w:tcPr>
            <w:tcW w:type="dxa" w:w="1500"/>
            <w:shd w:fill="FFFFFF"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50 bps</w:t>
            </w:r>
          </w:p>
        </w:tc>
      </w:tr>
      <w:tr>
        <w:tc>
          <w:tcPr>
            <w:tcW w:type="dxa" w:w="2200"/>
            <w:shd w:fill="F2F5FA"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Corporate treasury</w:t>
            </w:r>
          </w:p>
        </w:tc>
        <w:tc>
          <w:tcPr>
            <w:tcW w:type="dxa" w:w="900"/>
            <w:shd w:fill="F2F5FA"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30.16</w:t>
            </w:r>
          </w:p>
        </w:tc>
        <w:tc>
          <w:tcPr>
            <w:tcW w:type="dxa" w:w="4426"/>
            <w:shd w:fill="F2F5FA"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Company money parked in mutual funds. Banks and financial institutions are excluded — that is true institutional money, not an advisory client.</w:t>
            </w:r>
          </w:p>
        </w:tc>
        <w:tc>
          <w:tcPr>
            <w:tcW w:type="dxa" w:w="1500"/>
            <w:shd w:fill="F2F5FA" w:color="auto" w:val="clear"/>
            <w:tcMar>
              <w:top w:type="dxa" w:w="80"/>
              <w:left w:type="dxa" w:w="120"/>
              <w:bottom w:type="dxa" w:w="80"/>
              <w:right w:type="dxa" w:w="120"/>
            </w:tcMar>
          </w:tcPr>
          <w:p>
            <w:pPr>
              <w:spacing w:after="0" w:before="0" w:line="260"/>
            </w:pPr>
            <w:r>
              <w:rPr>
                <w:rFonts w:ascii="Calibri" w:cs="Calibri" w:eastAsia="Calibri" w:hAnsi="Calibri"/>
                <w:b/>
                <w:bCs/>
                <w:color w:val="0F1B33"/>
                <w:sz w:val="21"/>
                <w:szCs w:val="21"/>
              </w:rPr>
              <w:t xml:space="preserve">15 bps</w:t>
            </w:r>
          </w:p>
        </w:tc>
      </w:tr>
    </w:tbl>
    <w:tbl>
      <w:tblPr>
        <w:tblW w:type="dxa" w:w="9026"/>
        <w:tblBorders>
          <w:top w:val="single" w:color="F2F5FA" w:sz="4"/>
          <w:left w:val="single" w:color="8A93A5" w:sz="24"/>
          <w:bottom w:val="single" w:color="F2F5FA" w:sz="4"/>
          <w:right w:val="single" w:color="F2F5FA" w:sz="4"/>
          <w:insideH w:val="none" w:color="F2F5FA" w:sz="0"/>
          <w:insideV w:val="none" w:color="F2F5FA" w:sz="0"/>
        </w:tblBorders>
      </w:tblPr>
      <w:tblGrid>
        <w:gridCol w:w="9026"/>
      </w:tblGrid>
      <w:tr>
        <w:tc>
          <w:tcPr>
            <w:tcW w:type="dxa" w:w="9026"/>
            <w:shd w:fill="F2F5FA" w:color="auto" w:val="clear"/>
            <w:tcMar>
              <w:top w:type="dxa" w:w="140"/>
              <w:left w:type="dxa" w:w="200"/>
              <w:bottom w:type="dxa" w:w="140"/>
              <w:right w:type="dxa" w:w="200"/>
            </w:tcMar>
          </w:tcPr>
          <w:p>
            <w:pPr>
              <w:spacing w:after="80" w:line="260"/>
            </w:pPr>
            <w:r>
              <w:rPr>
                <w:rFonts w:ascii="Arial" w:cs="Arial" w:eastAsia="Arial" w:hAnsi="Arial"/>
                <w:b/>
                <w:bCs/>
                <w:color w:val="0F1B33"/>
                <w:sz w:val="20"/>
                <w:szCs w:val="20"/>
              </w:rPr>
              <w:t xml:space="preserve">Know this arithmetic cold</w:t>
            </w:r>
          </w:p>
          <w:p>
            <w:pPr>
              <w:spacing w:after="60" w:line="260"/>
            </w:pPr>
            <w:r>
              <w:rPr>
                <w:rFonts w:ascii="Calibri" w:cs="Calibri" w:eastAsia="Calibri" w:hAnsi="Calibri"/>
                <w:color w:val="3A4657"/>
                <w:sz w:val="21"/>
                <w:szCs w:val="21"/>
              </w:rPr>
              <w:t xml:space="preserve">Direct listed equity = 9.6% of ₹462.2 L Cr = ₹44.37 L Cr (individuals and HUFs)</w:t>
            </w:r>
          </w:p>
          <w:p>
            <w:pPr>
              <w:spacing w:after="60" w:line="260"/>
            </w:pPr>
            <w:r>
              <w:rPr>
                <w:rFonts w:ascii="Calibri" w:cs="Calibri" w:eastAsia="Calibri" w:hAnsi="Calibri"/>
                <w:color w:val="3A4657"/>
                <w:sz w:val="21"/>
                <w:szCs w:val="21"/>
              </w:rPr>
              <w:t xml:space="preserve">plus 1.9% = ₹8.78 L Cr (non-promoter investment companies)  ·  plus 2.9% = ₹13.40 L Cr (trusts, LLPs, NRIs)</w:t>
            </w:r>
          </w:p>
          <w:p>
            <w:pPr>
              <w:spacing w:after="60" w:line="260"/>
            </w:pPr>
            <w:r>
              <w:rPr>
                <w:rFonts w:ascii="Calibri" w:cs="Calibri" w:eastAsia="Calibri" w:hAnsi="Calibri"/>
                <w:color w:val="3A4657"/>
                <w:sz w:val="21"/>
                <w:szCs w:val="21"/>
              </w:rPr>
              <w:t xml:space="preserve">Mutual funds: AMFI publishes the split directly — 61.2% individual = ₹50.17 L Cr, corporates ₹30.16 L Cr, banks and FIs ₹1.68 L Cr, on ₹82.03 L Cr total.</w:t>
            </w:r>
          </w:p>
        </w:tc>
      </w:tr>
    </w:tbl>
    <w:p>
      <w:pPr>
        <w:pStyle w:val="Heading2"/>
        <w:keepNext/>
        <w:spacing w:after="120" w:before="320"/>
      </w:pPr>
      <w:r>
        <w:rPr>
          <w:rFonts w:ascii="Arial" w:cs="Arial" w:eastAsia="Arial" w:hAnsi="Arial"/>
          <w:b/>
          <w:bCs/>
          <w:color w:val="2F5FE0"/>
          <w:sz w:val="24"/>
          <w:szCs w:val="24"/>
        </w:rPr>
        <w:t xml:space="preserve">2.3  The rate — 50 basis points, and 15 on treasury</w:t>
      </w:r>
    </w:p>
    <w:p>
      <w:pPr>
        <w:spacing w:after="140" w:before="0" w:line="280"/>
      </w:pPr>
      <w:r>
        <w:rPr>
          <w:rFonts w:ascii="Calibri" w:cs="Calibri" w:eastAsia="Calibri" w:hAnsi="Calibri"/>
          <w:b/>
          <w:bCs/>
          <w:color w:val="0F1B33"/>
          <w:sz w:val="21"/>
          <w:szCs w:val="21"/>
        </w:rPr>
        <w:t xml:space="preserve">Why 50 bps. </w:t>
      </w:r>
      <w:r>
        <w:rPr>
          <w:rFonts w:ascii="Calibri" w:cs="Calibri" w:eastAsia="Calibri" w:hAnsi="Calibri"/>
          <w:color w:val="3A4657"/>
          <w:sz w:val="21"/>
          <w:szCs w:val="21"/>
        </w:rPr>
        <w:t xml:space="preserve">It is the low end of the trail commission paid on a regular-plan mutual fund. That is money Indian investors are already paying, every year, for guidance that comes with a conflict of interest attached. Using it means we are claiming </w:t>
      </w:r>
      <w:r>
        <w:rPr>
          <w:rFonts w:ascii="Calibri" w:cs="Calibri" w:eastAsia="Calibri" w:hAnsi="Calibri"/>
          <w:b/>
          <w:bCs/>
          <w:color w:val="0F1B33"/>
          <w:sz w:val="21"/>
          <w:szCs w:val="21"/>
        </w:rPr>
        <w:t xml:space="preserve">redirected spending, not new spending</w:t>
      </w:r>
      <w:r>
        <w:rPr>
          <w:rFonts w:ascii="Calibri" w:cs="Calibri" w:eastAsia="Calibri" w:hAnsi="Calibri"/>
          <w:color w:val="3A4657"/>
          <w:sz w:val="21"/>
          <w:szCs w:val="21"/>
        </w:rPr>
        <w:t xml:space="preserve"> — a far easier argument than persuading an investor that Indians will start paying for something they have never paid for. It is also one-fifth of SEBI's 2.5% cap on adviser fees, so nobody can call it aggressive.</w:t>
      </w:r>
    </w:p>
    <w:p>
      <w:pPr>
        <w:spacing w:after="140" w:before="0" w:line="280"/>
      </w:pPr>
      <w:r>
        <w:rPr>
          <w:rFonts w:ascii="Calibri" w:cs="Calibri" w:eastAsia="Calibri" w:hAnsi="Calibri"/>
          <w:b/>
          <w:bCs/>
          <w:color w:val="0F1B33"/>
          <w:sz w:val="21"/>
          <w:szCs w:val="21"/>
        </w:rPr>
        <w:t xml:space="preserve">Why only 15 bps on corporate treasury. </w:t>
      </w:r>
      <w:r>
        <w:rPr>
          <w:rFonts w:ascii="Calibri" w:cs="Calibri" w:eastAsia="Calibri" w:hAnsi="Calibri"/>
          <w:color w:val="3A4657"/>
          <w:sz w:val="21"/>
          <w:szCs w:val="21"/>
        </w:rPr>
        <w:t xml:space="preserve">Advising a company on where to park its cash earns a fraction of what advising on a portfolio earns. Liquid-fund total expense ratios themselves run 10–20 bps, so 15 is the honest number. Pricing treasury at the full 50 bps would have added roughly ₹10,000 Cr to TAM for no defensible reason — and an investor who knows the space would have caught it.</w:t>
      </w:r>
    </w:p>
    <w:p>
      <w:pPr>
        <w:pStyle w:val="Heading2"/>
        <w:keepNext/>
        <w:spacing w:after="120" w:before="320"/>
      </w:pPr>
      <w:r>
        <w:rPr>
          <w:rFonts w:ascii="Arial" w:cs="Arial" w:eastAsia="Arial" w:hAnsi="Arial"/>
          <w:b/>
          <w:bCs/>
          <w:color w:val="2F5FE0"/>
          <w:sz w:val="24"/>
          <w:szCs w:val="24"/>
        </w:rPr>
        <w:t xml:space="preserve">2.4  TAM — ₹68,500 Cr a year</w:t>
      </w:r>
    </w:p>
    <w:tbl>
      <w:tblPr>
        <w:tblW w:type="dxa" w:w="9026"/>
        <w:tblBorders>
          <w:top w:val="single" w:color="DCE3F0" w:sz="4"/>
          <w:left w:val="single" w:color="DCE3F0" w:sz="4"/>
          <w:bottom w:val="single" w:color="DCE3F0" w:sz="4"/>
          <w:right w:val="single" w:color="DCE3F0" w:sz="4"/>
          <w:insideH w:val="single" w:color="DCE3F0" w:sz="4"/>
          <w:insideV w:val="single" w:color="DCE3F0" w:sz="4"/>
        </w:tblBorders>
      </w:tblPr>
      <w:tblGrid>
        <w:gridCol w:w="3600"/>
        <w:gridCol w:w="1900"/>
        <w:gridCol w:w="1200"/>
        <w:gridCol w:w="2326"/>
      </w:tblGrid>
      <w:tr>
        <w:trPr>
          <w:tblHeader/>
        </w:trPr>
        <w:tc>
          <w:tcPr>
            <w:tcW w:type="dxa" w:w="3600"/>
            <w:shd w:fill="0F1B33" w:color="auto" w:val="clear"/>
            <w:tcMar>
              <w:top w:type="dxa" w:w="90"/>
              <w:left w:type="dxa" w:w="120"/>
              <w:bottom w:type="dxa" w:w="90"/>
              <w:right w:type="dxa" w:w="120"/>
            </w:tcMar>
          </w:tcPr>
          <w:p>
            <w:pPr>
              <w:spacing w:after="0" w:line="260"/>
            </w:pPr>
            <w:r>
              <w:rPr>
                <w:rFonts w:ascii="Arial" w:cs="Arial" w:eastAsia="Arial" w:hAnsi="Arial"/>
                <w:b/>
                <w:bCs/>
                <w:color w:val="FFFFFF"/>
                <w:sz w:val="19"/>
                <w:szCs w:val="19"/>
              </w:rPr>
              <w:t xml:space="preserve">Pool</w:t>
            </w:r>
          </w:p>
        </w:tc>
        <w:tc>
          <w:tcPr>
            <w:tcW w:type="dxa" w:w="1900"/>
            <w:shd w:fill="0F1B33" w:color="auto" w:val="clear"/>
            <w:tcMar>
              <w:top w:type="dxa" w:w="90"/>
              <w:left w:type="dxa" w:w="120"/>
              <w:bottom w:type="dxa" w:w="90"/>
              <w:right w:type="dxa" w:w="120"/>
            </w:tcMar>
          </w:tcPr>
          <w:p>
            <w:pPr>
              <w:spacing w:after="0" w:line="260"/>
            </w:pPr>
            <w:r>
              <w:rPr>
                <w:rFonts w:ascii="Arial" w:cs="Arial" w:eastAsia="Arial" w:hAnsi="Arial"/>
                <w:b/>
                <w:bCs/>
                <w:color w:val="FFFFFF"/>
                <w:sz w:val="19"/>
                <w:szCs w:val="19"/>
              </w:rPr>
              <w:t xml:space="preserve">Assets</w:t>
            </w:r>
          </w:p>
        </w:tc>
        <w:tc>
          <w:tcPr>
            <w:tcW w:type="dxa" w:w="1200"/>
            <w:shd w:fill="0F1B33" w:color="auto" w:val="clear"/>
            <w:tcMar>
              <w:top w:type="dxa" w:w="90"/>
              <w:left w:type="dxa" w:w="120"/>
              <w:bottom w:type="dxa" w:w="90"/>
              <w:right w:type="dxa" w:w="120"/>
            </w:tcMar>
          </w:tcPr>
          <w:p>
            <w:pPr>
              <w:spacing w:after="0" w:line="260"/>
            </w:pPr>
            <w:r>
              <w:rPr>
                <w:rFonts w:ascii="Arial" w:cs="Arial" w:eastAsia="Arial" w:hAnsi="Arial"/>
                <w:b/>
                <w:bCs/>
                <w:color w:val="FFFFFF"/>
                <w:sz w:val="19"/>
                <w:szCs w:val="19"/>
              </w:rPr>
              <w:t xml:space="preserve">×  rate</w:t>
            </w:r>
          </w:p>
        </w:tc>
        <w:tc>
          <w:tcPr>
            <w:tcW w:type="dxa" w:w="2326"/>
            <w:shd w:fill="0F1B33" w:color="auto" w:val="clear"/>
            <w:tcMar>
              <w:top w:type="dxa" w:w="90"/>
              <w:left w:type="dxa" w:w="120"/>
              <w:bottom w:type="dxa" w:w="90"/>
              <w:right w:type="dxa" w:w="120"/>
            </w:tcMar>
          </w:tcPr>
          <w:p>
            <w:pPr>
              <w:spacing w:after="0" w:line="260"/>
            </w:pPr>
            <w:r>
              <w:rPr>
                <w:rFonts w:ascii="Arial" w:cs="Arial" w:eastAsia="Arial" w:hAnsi="Arial"/>
                <w:b/>
                <w:bCs/>
                <w:color w:val="FFFFFF"/>
                <w:sz w:val="19"/>
                <w:szCs w:val="19"/>
              </w:rPr>
              <w:t xml:space="preserve">=  annual fee pool</w:t>
            </w:r>
          </w:p>
        </w:tc>
      </w:tr>
      <w:tr>
        <w:tc>
          <w:tcPr>
            <w:tcW w:type="dxa" w:w="3600"/>
            <w:shd w:fill="FFFFFF"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Investor assets (individuals, family vehicles, alternatives)</w:t>
            </w:r>
          </w:p>
        </w:tc>
        <w:tc>
          <w:tcPr>
            <w:tcW w:type="dxa" w:w="1900"/>
            <w:shd w:fill="FFFFFF"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₹128.02 L Cr</w:t>
            </w:r>
          </w:p>
        </w:tc>
        <w:tc>
          <w:tcPr>
            <w:tcW w:type="dxa" w:w="1200"/>
            <w:shd w:fill="FFFFFF"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0.50%</w:t>
            </w:r>
          </w:p>
        </w:tc>
        <w:tc>
          <w:tcPr>
            <w:tcW w:type="dxa" w:w="2326"/>
            <w:shd w:fill="FFFFFF"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₹64,000 Cr</w:t>
            </w:r>
          </w:p>
        </w:tc>
      </w:tr>
      <w:tr>
        <w:tc>
          <w:tcPr>
            <w:tcW w:type="dxa" w:w="3600"/>
            <w:shd w:fill="F2F5FA"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Corporate treasury</w:t>
            </w:r>
          </w:p>
        </w:tc>
        <w:tc>
          <w:tcPr>
            <w:tcW w:type="dxa" w:w="1900"/>
            <w:shd w:fill="F2F5FA"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₹30.16 L Cr</w:t>
            </w:r>
          </w:p>
        </w:tc>
        <w:tc>
          <w:tcPr>
            <w:tcW w:type="dxa" w:w="1200"/>
            <w:shd w:fill="F2F5FA"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0.15%</w:t>
            </w:r>
          </w:p>
        </w:tc>
        <w:tc>
          <w:tcPr>
            <w:tcW w:type="dxa" w:w="2326"/>
            <w:shd w:fill="F2F5FA"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₹4,500 Cr</w:t>
            </w:r>
          </w:p>
        </w:tc>
      </w:tr>
      <w:tr>
        <w:tc>
          <w:tcPr>
            <w:tcW w:type="dxa" w:w="3600"/>
            <w:shd w:fill="FFFFFF" w:color="auto" w:val="clear"/>
            <w:tcMar>
              <w:top w:type="dxa" w:w="80"/>
              <w:left w:type="dxa" w:w="120"/>
              <w:bottom w:type="dxa" w:w="80"/>
              <w:right w:type="dxa" w:w="120"/>
            </w:tcMar>
          </w:tcPr>
          <w:p>
            <w:pPr>
              <w:spacing w:after="0" w:before="0" w:line="260"/>
            </w:pPr>
            <w:r>
              <w:rPr>
                <w:rFonts w:ascii="Calibri" w:cs="Calibri" w:eastAsia="Calibri" w:hAnsi="Calibri"/>
                <w:b/>
                <w:bCs/>
                <w:color w:val="0F1B33"/>
                <w:sz w:val="21"/>
                <w:szCs w:val="21"/>
              </w:rPr>
              <w:t xml:space="preserve">TAM</w:t>
            </w:r>
          </w:p>
        </w:tc>
        <w:tc>
          <w:tcPr>
            <w:tcW w:type="dxa" w:w="1900"/>
            <w:shd w:fill="FFFFFF" w:color="auto" w:val="clear"/>
            <w:tcMar>
              <w:top w:type="dxa" w:w="80"/>
              <w:left w:type="dxa" w:w="120"/>
              <w:bottom w:type="dxa" w:w="80"/>
              <w:right w:type="dxa" w:w="120"/>
            </w:tcMar>
          </w:tcPr>
          <w:p>
            <w:pPr>
              <w:spacing w:after="0" w:before="0" w:line="260"/>
            </w:pPr>
            <w:r>
              <w:rPr>
                <w:rFonts w:ascii="Calibri" w:cs="Calibri" w:eastAsia="Calibri" w:hAnsi="Calibri"/>
                <w:b/>
                <w:bCs/>
                <w:color w:val="0F1B33"/>
                <w:sz w:val="21"/>
                <w:szCs w:val="21"/>
              </w:rPr>
              <w:t xml:space="preserve">₹158.18 L Cr</w:t>
            </w:r>
          </w:p>
        </w:tc>
        <w:tc>
          <w:tcPr>
            <w:tcW w:type="dxa" w:w="1200"/>
            <w:shd w:fill="FFFFFF"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w:t>
            </w:r>
          </w:p>
        </w:tc>
        <w:tc>
          <w:tcPr>
            <w:tcW w:type="dxa" w:w="2326"/>
            <w:shd w:fill="FFFFFF" w:color="auto" w:val="clear"/>
            <w:tcMar>
              <w:top w:type="dxa" w:w="80"/>
              <w:left w:type="dxa" w:w="120"/>
              <w:bottom w:type="dxa" w:w="80"/>
              <w:right w:type="dxa" w:w="120"/>
            </w:tcMar>
          </w:tcPr>
          <w:p>
            <w:pPr>
              <w:spacing w:after="0" w:before="0" w:line="260"/>
            </w:pPr>
            <w:r>
              <w:rPr>
                <w:rFonts w:ascii="Calibri" w:cs="Calibri" w:eastAsia="Calibri" w:hAnsi="Calibri"/>
                <w:b/>
                <w:bCs/>
                <w:color w:val="0F1B33"/>
                <w:sz w:val="21"/>
                <w:szCs w:val="21"/>
              </w:rPr>
              <w:t xml:space="preserve">₹68,500 Cr  (~US$7.1 bn)</w:t>
            </w:r>
          </w:p>
        </w:tc>
      </w:tr>
    </w:tbl>
    <w:p>
      <w:pPr>
        <w:spacing w:after="140" w:before="140" w:line="280"/>
      </w:pPr>
      <w:r>
        <w:rPr>
          <w:rFonts w:ascii="Calibri" w:cs="Calibri" w:eastAsia="Calibri" w:hAnsi="Calibri"/>
          <w:b/>
          <w:bCs/>
          <w:color w:val="0F1B33"/>
          <w:sz w:val="21"/>
          <w:szCs w:val="21"/>
        </w:rPr>
        <w:t xml:space="preserve">The sentence: </w:t>
      </w:r>
      <w:r>
        <w:rPr>
          <w:rFonts w:ascii="Calibri" w:cs="Calibri" w:eastAsia="Calibri" w:hAnsi="Calibri"/>
          <w:color w:val="3A4657"/>
          <w:sz w:val="21"/>
          <w:szCs w:val="21"/>
        </w:rPr>
        <w:t xml:space="preserve">"Indians hold about ₹158 lakh crore in instruments we can see and advise on. At the rate India already pays for advice, that is a ₹68,500 crore a year fee pool — roughly seven billion dollars."</w:t>
      </w:r>
    </w:p>
    <w:p>
      <w:pPr>
        <w:pStyle w:val="Heading2"/>
        <w:keepNext/>
        <w:spacing w:after="120" w:before="320"/>
      </w:pPr>
      <w:r>
        <w:rPr>
          <w:rFonts w:ascii="Arial" w:cs="Arial" w:eastAsia="Arial" w:hAnsi="Arial"/>
          <w:b/>
          <w:bCs/>
          <w:color w:val="2F5FE0"/>
          <w:sz w:val="24"/>
          <w:szCs w:val="24"/>
        </w:rPr>
        <w:t xml:space="preserve">2.5  SAM — ₹41,200 Cr a year</w:t>
      </w:r>
    </w:p>
    <w:p>
      <w:pPr>
        <w:spacing w:after="140" w:before="0" w:line="280"/>
      </w:pPr>
      <w:r>
        <w:rPr>
          <w:rFonts w:ascii="Calibri" w:cs="Calibri" w:eastAsia="Calibri" w:hAnsi="Calibri"/>
          <w:color w:val="3A4657"/>
          <w:sz w:val="21"/>
          <w:szCs w:val="21"/>
        </w:rPr>
        <w:t xml:space="preserve">SAM strips out money that is not actually live. India has 13.1 crore unique registered investors but only 4.60 crore who actually transact. Dormant money cannot be sold advice, so it should not sit in a serviceable market.</w:t>
      </w:r>
    </w:p>
    <w:tbl>
      <w:tblPr>
        <w:tblW w:type="dxa" w:w="9026"/>
        <w:tblBorders>
          <w:top w:val="single" w:color="DCE3F0" w:sz="4"/>
          <w:left w:val="single" w:color="DCE3F0" w:sz="4"/>
          <w:bottom w:val="single" w:color="DCE3F0" w:sz="4"/>
          <w:right w:val="single" w:color="DCE3F0" w:sz="4"/>
          <w:insideH w:val="single" w:color="DCE3F0" w:sz="4"/>
          <w:insideV w:val="single" w:color="DCE3F0" w:sz="4"/>
        </w:tblBorders>
      </w:tblPr>
      <w:tblGrid>
        <w:gridCol w:w="2700"/>
        <w:gridCol w:w="900"/>
        <w:gridCol w:w="3400"/>
        <w:gridCol w:w="2026"/>
      </w:tblGrid>
      <w:tr>
        <w:trPr>
          <w:tblHeader/>
        </w:trPr>
        <w:tc>
          <w:tcPr>
            <w:tcW w:type="dxa" w:w="2700"/>
            <w:shd w:fill="0F1B33" w:color="auto" w:val="clear"/>
            <w:tcMar>
              <w:top w:type="dxa" w:w="90"/>
              <w:left w:type="dxa" w:w="120"/>
              <w:bottom w:type="dxa" w:w="90"/>
              <w:right w:type="dxa" w:w="120"/>
            </w:tcMar>
          </w:tcPr>
          <w:p>
            <w:pPr>
              <w:spacing w:after="0" w:line="260"/>
            </w:pPr>
            <w:r>
              <w:rPr>
                <w:rFonts w:ascii="Arial" w:cs="Arial" w:eastAsia="Arial" w:hAnsi="Arial"/>
                <w:b/>
                <w:bCs/>
                <w:color w:val="FFFFFF"/>
                <w:sz w:val="19"/>
                <w:szCs w:val="19"/>
              </w:rPr>
              <w:t xml:space="preserve">Pool</w:t>
            </w:r>
          </w:p>
        </w:tc>
        <w:tc>
          <w:tcPr>
            <w:tcW w:type="dxa" w:w="900"/>
            <w:shd w:fill="0F1B33" w:color="auto" w:val="clear"/>
            <w:tcMar>
              <w:top w:type="dxa" w:w="90"/>
              <w:left w:type="dxa" w:w="120"/>
              <w:bottom w:type="dxa" w:w="90"/>
              <w:right w:type="dxa" w:w="120"/>
            </w:tcMar>
          </w:tcPr>
          <w:p>
            <w:pPr>
              <w:spacing w:after="0" w:line="260"/>
            </w:pPr>
            <w:r>
              <w:rPr>
                <w:rFonts w:ascii="Arial" w:cs="Arial" w:eastAsia="Arial" w:hAnsi="Arial"/>
                <w:b/>
                <w:bCs/>
                <w:color w:val="FFFFFF"/>
                <w:sz w:val="19"/>
                <w:szCs w:val="19"/>
              </w:rPr>
              <w:t xml:space="preserve">We keep</w:t>
            </w:r>
          </w:p>
        </w:tc>
        <w:tc>
          <w:tcPr>
            <w:tcW w:type="dxa" w:w="3400"/>
            <w:shd w:fill="0F1B33" w:color="auto" w:val="clear"/>
            <w:tcMar>
              <w:top w:type="dxa" w:w="90"/>
              <w:left w:type="dxa" w:w="120"/>
              <w:bottom w:type="dxa" w:w="90"/>
              <w:right w:type="dxa" w:w="120"/>
            </w:tcMar>
          </w:tcPr>
          <w:p>
            <w:pPr>
              <w:spacing w:after="0" w:line="260"/>
            </w:pPr>
            <w:r>
              <w:rPr>
                <w:rFonts w:ascii="Arial" w:cs="Arial" w:eastAsia="Arial" w:hAnsi="Arial"/>
                <w:b/>
                <w:bCs/>
                <w:color w:val="FFFFFF"/>
                <w:sz w:val="19"/>
                <w:szCs w:val="19"/>
              </w:rPr>
              <w:t xml:space="preserve">Why</w:t>
            </w:r>
          </w:p>
        </w:tc>
        <w:tc>
          <w:tcPr>
            <w:tcW w:type="dxa" w:w="2026"/>
            <w:shd w:fill="0F1B33" w:color="auto" w:val="clear"/>
            <w:tcMar>
              <w:top w:type="dxa" w:w="90"/>
              <w:left w:type="dxa" w:w="120"/>
              <w:bottom w:type="dxa" w:w="90"/>
              <w:right w:type="dxa" w:w="120"/>
            </w:tcMar>
          </w:tcPr>
          <w:p>
            <w:pPr>
              <w:spacing w:after="0" w:line="260"/>
            </w:pPr>
            <w:r>
              <w:rPr>
                <w:rFonts w:ascii="Arial" w:cs="Arial" w:eastAsia="Arial" w:hAnsi="Arial"/>
                <w:b/>
                <w:bCs/>
                <w:color w:val="FFFFFF"/>
                <w:sz w:val="19"/>
                <w:szCs w:val="19"/>
              </w:rPr>
              <w:t xml:space="preserve">Assets kept</w:t>
            </w:r>
          </w:p>
        </w:tc>
      </w:tr>
      <w:tr>
        <w:tc>
          <w:tcPr>
            <w:tcW w:type="dxa" w:w="2700"/>
            <w:shd w:fill="FFFFFF"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Individual equity and funds (₹94.54 L Cr)</w:t>
            </w:r>
          </w:p>
        </w:tc>
        <w:tc>
          <w:tcPr>
            <w:tcW w:type="dxa" w:w="900"/>
            <w:shd w:fill="FFFFFF"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55%</w:t>
            </w:r>
          </w:p>
        </w:tc>
        <w:tc>
          <w:tcPr>
            <w:tcW w:type="dxa" w:w="3400"/>
            <w:shd w:fill="FFFFFF"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the share belonging to investors who actually transact, not dormant registrants</w:t>
            </w:r>
          </w:p>
        </w:tc>
        <w:tc>
          <w:tcPr>
            <w:tcW w:type="dxa" w:w="2026"/>
            <w:shd w:fill="FFFFFF"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₹52.00 L Cr</w:t>
            </w:r>
          </w:p>
        </w:tc>
      </w:tr>
      <w:tr>
        <w:tc>
          <w:tcPr>
            <w:tcW w:type="dxa" w:w="2700"/>
            <w:shd w:fill="F2F5FA"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Sovereign Gold Bonds (₹1.12 L Cr)</w:t>
            </w:r>
          </w:p>
        </w:tc>
        <w:tc>
          <w:tcPr>
            <w:tcW w:type="dxa" w:w="900"/>
            <w:shd w:fill="F2F5FA"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100%</w:t>
            </w:r>
          </w:p>
        </w:tc>
        <w:tc>
          <w:tcPr>
            <w:tcW w:type="dxa" w:w="3400"/>
            <w:shd w:fill="F2F5FA"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a bought-and-held instrument with a known holder</w:t>
            </w:r>
          </w:p>
        </w:tc>
        <w:tc>
          <w:tcPr>
            <w:tcW w:type="dxa" w:w="2026"/>
            <w:shd w:fill="F2F5FA"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₹1.12 L Cr</w:t>
            </w:r>
          </w:p>
        </w:tc>
      </w:tr>
      <w:tr>
        <w:tc>
          <w:tcPr>
            <w:tcW w:type="dxa" w:w="2700"/>
            <w:shd w:fill="FFFFFF"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Family and corporate vehicles (₹22.19 L Cr)</w:t>
            </w:r>
          </w:p>
        </w:tc>
        <w:tc>
          <w:tcPr>
            <w:tcW w:type="dxa" w:w="900"/>
            <w:shd w:fill="FFFFFF"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70%</w:t>
            </w:r>
          </w:p>
        </w:tc>
        <w:tc>
          <w:tcPr>
            <w:tcW w:type="dxa" w:w="3400"/>
            <w:shd w:fill="FFFFFF"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advice-seekers by construction, but many sit with entrenched wealth managers</w:t>
            </w:r>
          </w:p>
        </w:tc>
        <w:tc>
          <w:tcPr>
            <w:tcW w:type="dxa" w:w="2026"/>
            <w:shd w:fill="FFFFFF"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₹15.53 L Cr</w:t>
            </w:r>
          </w:p>
        </w:tc>
      </w:tr>
      <w:tr>
        <w:tc>
          <w:tcPr>
            <w:tcW w:type="dxa" w:w="2700"/>
            <w:shd w:fill="F2F5FA"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Alternatives (₹10.17 L Cr)</w:t>
            </w:r>
          </w:p>
        </w:tc>
        <w:tc>
          <w:tcPr>
            <w:tcW w:type="dxa" w:w="900"/>
            <w:shd w:fill="F2F5FA"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100%</w:t>
            </w:r>
          </w:p>
        </w:tc>
        <w:tc>
          <w:tcPr>
            <w:tcW w:type="dxa" w:w="3400"/>
            <w:shd w:fill="F2F5FA"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nobody holds an AIF passively</w:t>
            </w:r>
          </w:p>
        </w:tc>
        <w:tc>
          <w:tcPr>
            <w:tcW w:type="dxa" w:w="2026"/>
            <w:shd w:fill="F2F5FA"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₹10.17 L Cr</w:t>
            </w:r>
          </w:p>
        </w:tc>
      </w:tr>
      <w:tr>
        <w:tc>
          <w:tcPr>
            <w:tcW w:type="dxa" w:w="2700"/>
            <w:shd w:fill="FFFFFF"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Corporate treasury (₹30.16 L Cr)</w:t>
            </w:r>
          </w:p>
        </w:tc>
        <w:tc>
          <w:tcPr>
            <w:tcW w:type="dxa" w:w="900"/>
            <w:shd w:fill="FFFFFF"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40%</w:t>
            </w:r>
          </w:p>
        </w:tc>
        <w:tc>
          <w:tcPr>
            <w:tcW w:type="dxa" w:w="3400"/>
            <w:shd w:fill="FFFFFF"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reachable, but needs a B2B motion rather than a consumer one</w:t>
            </w:r>
          </w:p>
        </w:tc>
        <w:tc>
          <w:tcPr>
            <w:tcW w:type="dxa" w:w="2026"/>
            <w:shd w:fill="FFFFFF"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₹12.06 L Cr</w:t>
            </w:r>
          </w:p>
        </w:tc>
      </w:tr>
      <w:tr>
        <w:tc>
          <w:tcPr>
            <w:tcW w:type="dxa" w:w="2700"/>
            <w:shd w:fill="F2F5FA" w:color="auto" w:val="clear"/>
            <w:tcMar>
              <w:top w:type="dxa" w:w="80"/>
              <w:left w:type="dxa" w:w="120"/>
              <w:bottom w:type="dxa" w:w="80"/>
              <w:right w:type="dxa" w:w="120"/>
            </w:tcMar>
          </w:tcPr>
          <w:p>
            <w:pPr>
              <w:spacing w:after="0" w:before="0" w:line="260"/>
            </w:pPr>
            <w:r>
              <w:rPr>
                <w:rFonts w:ascii="Calibri" w:cs="Calibri" w:eastAsia="Calibri" w:hAnsi="Calibri"/>
                <w:b/>
                <w:bCs/>
                <w:color w:val="0F1B33"/>
                <w:sz w:val="21"/>
                <w:szCs w:val="21"/>
              </w:rPr>
              <w:t xml:space="preserve">SAM</w:t>
            </w:r>
          </w:p>
        </w:tc>
        <w:tc>
          <w:tcPr>
            <w:tcW w:type="dxa" w:w="900"/>
            <w:shd w:fill="F2F5FA"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w:t>
            </w:r>
          </w:p>
        </w:tc>
        <w:tc>
          <w:tcPr>
            <w:tcW w:type="dxa" w:w="3400"/>
            <w:shd w:fill="F2F5FA" w:color="auto" w:val="clear"/>
            <w:tcMar>
              <w:top w:type="dxa" w:w="80"/>
              <w:left w:type="dxa" w:w="120"/>
              <w:bottom w:type="dxa" w:w="80"/>
              <w:right w:type="dxa" w:w="120"/>
            </w:tcMar>
          </w:tcPr>
          <w:p>
            <w:pPr>
              <w:spacing w:after="0" w:before="0" w:line="260"/>
            </w:pPr>
            <w:r>
              <w:rPr>
                <w:rFonts w:ascii="Calibri" w:cs="Calibri" w:eastAsia="Calibri" w:hAnsi="Calibri"/>
                <w:i/>
                <w:iCs/>
                <w:color w:val="3A4657"/>
                <w:sz w:val="21"/>
                <w:szCs w:val="21"/>
              </w:rPr>
              <w:t xml:space="preserve">₹78.81 L Cr at 50 bps + ₹12.06 L Cr at 15 bps</w:t>
            </w:r>
          </w:p>
        </w:tc>
        <w:tc>
          <w:tcPr>
            <w:tcW w:type="dxa" w:w="2026"/>
            <w:shd w:fill="F2F5FA" w:color="auto" w:val="clear"/>
            <w:tcMar>
              <w:top w:type="dxa" w:w="80"/>
              <w:left w:type="dxa" w:w="120"/>
              <w:bottom w:type="dxa" w:w="80"/>
              <w:right w:type="dxa" w:w="120"/>
            </w:tcMar>
          </w:tcPr>
          <w:p>
            <w:pPr>
              <w:spacing w:after="0" w:before="0" w:line="260"/>
            </w:pPr>
            <w:r>
              <w:rPr>
                <w:rFonts w:ascii="Calibri" w:cs="Calibri" w:eastAsia="Calibri" w:hAnsi="Calibri"/>
                <w:b/>
                <w:bCs/>
                <w:color w:val="0F1B33"/>
                <w:sz w:val="21"/>
                <w:szCs w:val="21"/>
              </w:rPr>
              <w:t xml:space="preserve">₹90.9 L Cr of assets</w:t>
            </w:r>
          </w:p>
          <w:p>
            <w:pPr>
              <w:spacing w:after="0" w:before="60" w:line="260"/>
            </w:pPr>
            <w:r>
              <w:rPr>
                <w:rFonts w:ascii="Calibri" w:cs="Calibri" w:eastAsia="Calibri" w:hAnsi="Calibri"/>
                <w:b/>
                <w:bCs/>
                <w:color w:val="0F1B33"/>
                <w:sz w:val="21"/>
                <w:szCs w:val="21"/>
              </w:rPr>
              <w:t xml:space="preserve">→ ₹41,200 Cr</w:t>
            </w:r>
          </w:p>
        </w:tc>
      </w:tr>
    </w:tbl>
    <w:p>
      <w:pPr>
        <w:pStyle w:val="Heading2"/>
        <w:keepNext/>
        <w:spacing w:after="120" w:before="320"/>
      </w:pPr>
      <w:r>
        <w:rPr>
          <w:rFonts w:ascii="Arial" w:cs="Arial" w:eastAsia="Arial" w:hAnsi="Arial"/>
          <w:b/>
          <w:bCs/>
          <w:color w:val="2F5FE0"/>
          <w:sz w:val="24"/>
          <w:szCs w:val="24"/>
        </w:rPr>
        <w:t xml:space="preserve">2.6  SOM — ₹165 Cr of annual recurring revenue</w:t>
      </w:r>
    </w:p>
    <w:p>
      <w:pPr>
        <w:spacing w:after="140" w:before="0" w:line="280"/>
      </w:pPr>
      <w:r>
        <w:rPr>
          <w:rFonts w:ascii="Calibri" w:cs="Calibri" w:eastAsia="Calibri" w:hAnsi="Calibri"/>
          <w:color w:val="3A4657"/>
          <w:sz w:val="21"/>
          <w:szCs w:val="21"/>
        </w:rPr>
        <w:t xml:space="preserve">SOM is a </w:t>
      </w:r>
      <w:r>
        <w:rPr>
          <w:rFonts w:ascii="Calibri" w:cs="Calibri" w:eastAsia="Calibri" w:hAnsi="Calibri"/>
          <w:b/>
          <w:bCs/>
          <w:color w:val="0F1B33"/>
          <w:sz w:val="21"/>
          <w:szCs w:val="21"/>
        </w:rPr>
        <w:t xml:space="preserve">coverage</w:t>
      </w:r>
      <w:r>
        <w:rPr>
          <w:rFonts w:ascii="Calibri" w:cs="Calibri" w:eastAsia="Calibri" w:hAnsi="Calibri"/>
          <w:color w:val="3A4657"/>
          <w:sz w:val="21"/>
          <w:szCs w:val="21"/>
        </w:rPr>
        <w:t xml:space="preserve"> number, not an ambition. It is what a team and set of channels funded by this raise can physically serve by year five. It is 0.4% of SAM — and the key point is that it is reachable three separate ways, so our revenue does not depend on one pricing bet landing.</w:t>
      </w:r>
    </w:p>
    <w:tbl>
      <w:tblPr>
        <w:tblW w:type="dxa" w:w="9026"/>
        <w:tblBorders>
          <w:top w:val="single" w:color="DCE3F0" w:sz="4"/>
          <w:left w:val="single" w:color="DCE3F0" w:sz="4"/>
          <w:bottom w:val="single" w:color="DCE3F0" w:sz="4"/>
          <w:right w:val="single" w:color="DCE3F0" w:sz="4"/>
          <w:insideH w:val="single" w:color="DCE3F0" w:sz="4"/>
          <w:insideV w:val="single" w:color="DCE3F0" w:sz="4"/>
        </w:tblBorders>
      </w:tblPr>
      <w:tblGrid>
        <w:gridCol w:w="2000"/>
        <w:gridCol w:w="4500"/>
        <w:gridCol w:w="2526"/>
      </w:tblGrid>
      <w:tr>
        <w:trPr>
          <w:tblHeader/>
        </w:trPr>
        <w:tc>
          <w:tcPr>
            <w:tcW w:type="dxa" w:w="2000"/>
            <w:shd w:fill="0F1B33" w:color="auto" w:val="clear"/>
            <w:tcMar>
              <w:top w:type="dxa" w:w="90"/>
              <w:left w:type="dxa" w:w="120"/>
              <w:bottom w:type="dxa" w:w="90"/>
              <w:right w:type="dxa" w:w="120"/>
            </w:tcMar>
          </w:tcPr>
          <w:p>
            <w:pPr>
              <w:spacing w:after="0" w:line="260"/>
            </w:pPr>
            <w:r>
              <w:rPr>
                <w:rFonts w:ascii="Arial" w:cs="Arial" w:eastAsia="Arial" w:hAnsi="Arial"/>
                <w:b/>
                <w:bCs/>
                <w:color w:val="FFFFFF"/>
                <w:sz w:val="19"/>
                <w:szCs w:val="19"/>
              </w:rPr>
              <w:t xml:space="preserve">Route</w:t>
            </w:r>
          </w:p>
        </w:tc>
        <w:tc>
          <w:tcPr>
            <w:tcW w:type="dxa" w:w="4500"/>
            <w:shd w:fill="0F1B33" w:color="auto" w:val="clear"/>
            <w:tcMar>
              <w:top w:type="dxa" w:w="90"/>
              <w:left w:type="dxa" w:w="120"/>
              <w:bottom w:type="dxa" w:w="90"/>
              <w:right w:type="dxa" w:w="120"/>
            </w:tcMar>
          </w:tcPr>
          <w:p>
            <w:pPr>
              <w:spacing w:after="0" w:line="260"/>
            </w:pPr>
            <w:r>
              <w:rPr>
                <w:rFonts w:ascii="Arial" w:cs="Arial" w:eastAsia="Arial" w:hAnsi="Arial"/>
                <w:b/>
                <w:bCs/>
                <w:color w:val="FFFFFF"/>
                <w:sz w:val="19"/>
                <w:szCs w:val="19"/>
              </w:rPr>
              <w:t xml:space="preserve">The arithmetic</w:t>
            </w:r>
          </w:p>
        </w:tc>
        <w:tc>
          <w:tcPr>
            <w:tcW w:type="dxa" w:w="2526"/>
            <w:shd w:fill="0F1B33" w:color="auto" w:val="clear"/>
            <w:tcMar>
              <w:top w:type="dxa" w:w="90"/>
              <w:left w:type="dxa" w:w="120"/>
              <w:bottom w:type="dxa" w:w="90"/>
              <w:right w:type="dxa" w:w="120"/>
            </w:tcMar>
          </w:tcPr>
          <w:p>
            <w:pPr>
              <w:spacing w:after="0" w:line="260"/>
            </w:pPr>
            <w:r>
              <w:rPr>
                <w:rFonts w:ascii="Arial" w:cs="Arial" w:eastAsia="Arial" w:hAnsi="Arial"/>
                <w:b/>
                <w:bCs/>
                <w:color w:val="FFFFFF"/>
                <w:sz w:val="19"/>
                <w:szCs w:val="19"/>
              </w:rPr>
              <w:t xml:space="preserve">Annual revenue</w:t>
            </w:r>
          </w:p>
        </w:tc>
      </w:tr>
      <w:tr>
        <w:tc>
          <w:tcPr>
            <w:tcW w:type="dxa" w:w="2000"/>
            <w:shd w:fill="FFFFFF"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Subscription</w:t>
            </w:r>
          </w:p>
        </w:tc>
        <w:tc>
          <w:tcPr>
            <w:tcW w:type="dxa" w:w="4500"/>
            <w:shd w:fill="FFFFFF"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2.1 lakh subscribers × ₹7,900 a year</w:t>
            </w:r>
          </w:p>
        </w:tc>
        <w:tc>
          <w:tcPr>
            <w:tcW w:type="dxa" w:w="2526"/>
            <w:shd w:fill="FFFFFF"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₹166 Cr</w:t>
            </w:r>
          </w:p>
        </w:tc>
      </w:tr>
      <w:tr>
        <w:tc>
          <w:tcPr>
            <w:tcW w:type="dxa" w:w="2000"/>
            <w:shd w:fill="F2F5FA"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Assets under advice</w:t>
            </w:r>
          </w:p>
        </w:tc>
        <w:tc>
          <w:tcPr>
            <w:tcW w:type="dxa" w:w="4500"/>
            <w:shd w:fill="F2F5FA"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₹33,000 Cr advised × 0.50%</w:t>
            </w:r>
          </w:p>
        </w:tc>
        <w:tc>
          <w:tcPr>
            <w:tcW w:type="dxa" w:w="2526"/>
            <w:shd w:fill="F2F5FA"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₹165 Cr</w:t>
            </w:r>
          </w:p>
        </w:tc>
      </w:tr>
      <w:tr>
        <w:tc>
          <w:tcPr>
            <w:tcW w:type="dxa" w:w="2000"/>
            <w:shd w:fill="FFFFFF"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Licensing</w:t>
            </w:r>
          </w:p>
        </w:tc>
        <w:tc>
          <w:tcPr>
            <w:tcW w:type="dxa" w:w="4500"/>
            <w:shd w:fill="FFFFFF"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66 institutional licensees × ₹2.5 Cr</w:t>
            </w:r>
          </w:p>
        </w:tc>
        <w:tc>
          <w:tcPr>
            <w:tcW w:type="dxa" w:w="2526"/>
            <w:shd w:fill="FFFFFF"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₹165 Cr</w:t>
            </w:r>
          </w:p>
        </w:tc>
      </w:tr>
    </w:tbl>
    <w:p>
      <w:pPr>
        <w:spacing w:after="140" w:before="140" w:line="280"/>
      </w:pPr>
      <w:r>
        <w:rPr>
          <w:rFonts w:ascii="Calibri" w:cs="Calibri" w:eastAsia="Calibri" w:hAnsi="Calibri"/>
          <w:b/>
          <w:bCs/>
          <w:color w:val="0F1B33"/>
          <w:sz w:val="21"/>
          <w:szCs w:val="21"/>
        </w:rPr>
        <w:t xml:space="preserve">The ₹7,900 comes from our own price list: </w:t>
      </w:r>
      <w:r>
        <w:rPr>
          <w:rFonts w:ascii="Calibri" w:cs="Calibri" w:eastAsia="Calibri" w:hAnsi="Calibri"/>
          <w:color w:val="3A4657"/>
          <w:sz w:val="21"/>
          <w:szCs w:val="21"/>
        </w:rPr>
        <w:t xml:space="preserve">60% of subscribers on Starter (₹399), 30% on Growth (₹899), 10% on Pro (₹1,499). That is (0.6 × 399) + (0.3 × 899) + (0.1 × 1,499) = ₹659 a month = ₹7,908 a year. Our own financial model independently implies about ₹690 a month, so the two cross-check.</w:t>
      </w:r>
    </w:p>
    <w:p>
      <w:pPr>
        <w:pStyle w:val="Heading2"/>
        <w:keepNext/>
        <w:spacing w:after="120" w:before="320"/>
      </w:pPr>
      <w:r>
        <w:rPr>
          <w:rFonts w:ascii="Arial" w:cs="Arial" w:eastAsia="Arial" w:hAnsi="Arial"/>
          <w:b/>
          <w:bCs/>
          <w:color w:val="2F5FE0"/>
          <w:sz w:val="24"/>
          <w:szCs w:val="24"/>
        </w:rPr>
        <w:t xml:space="preserve">2.7  The crossover — ₹15.8 lakh</w:t>
      </w:r>
    </w:p>
    <w:p>
      <w:pPr>
        <w:spacing w:after="140" w:before="0" w:line="280"/>
      </w:pPr>
      <w:r>
        <w:rPr>
          <w:rFonts w:ascii="Calibri" w:cs="Calibri" w:eastAsia="Calibri" w:hAnsi="Calibri"/>
          <w:color w:val="3A4657"/>
          <w:sz w:val="21"/>
          <w:szCs w:val="21"/>
        </w:rPr>
        <w:t xml:space="preserve">A flat ₹7,900 a year equals 50 bps of assets on a portfolio of </w:t>
      </w:r>
      <w:r>
        <w:rPr>
          <w:rFonts w:ascii="Calibri" w:cs="Calibri" w:eastAsia="Calibri" w:hAnsi="Calibri"/>
          <w:b/>
          <w:bCs/>
          <w:color w:val="0F1B33"/>
          <w:sz w:val="21"/>
          <w:szCs w:val="21"/>
        </w:rPr>
        <w:t xml:space="preserve">₹15.8 lakh</w:t>
      </w:r>
      <w:r>
        <w:rPr>
          <w:rFonts w:ascii="Calibri" w:cs="Calibri" w:eastAsia="Calibri" w:hAnsi="Calibri"/>
          <w:color w:val="3A4657"/>
          <w:sz w:val="21"/>
          <w:szCs w:val="21"/>
        </w:rPr>
        <w:t xml:space="preserve"> (₹7,900 ÷ 0.005). Below that, the flat subscription earns us more than an AUA fee would. Above it, AUA earns more. Institutions get SaaS licensing, which is uncapped by portfolio size.</w:t>
      </w:r>
    </w:p>
    <w:p>
      <w:pPr>
        <w:spacing w:after="140" w:before="0" w:line="280"/>
      </w:pPr>
      <w:r>
        <w:rPr>
          <w:rFonts w:ascii="Calibri" w:cs="Calibri" w:eastAsia="Calibri" w:hAnsi="Calibri"/>
          <w:b/>
          <w:bCs/>
          <w:color w:val="0F1B33"/>
          <w:sz w:val="21"/>
          <w:szCs w:val="21"/>
        </w:rPr>
        <w:t xml:space="preserve">Why this matters in the room: </w:t>
      </w:r>
      <w:r>
        <w:rPr>
          <w:rFonts w:ascii="Calibri" w:cs="Calibri" w:eastAsia="Calibri" w:hAnsi="Calibri"/>
          <w:color w:val="3A4657"/>
          <w:sz w:val="21"/>
          <w:szCs w:val="21"/>
        </w:rPr>
        <w:t xml:space="preserve">it turns "your pricing model is unproven" into "we have three ways to monetise the same pool, and we know exactly where each one wins". If an investor pushes on subscription fatigue, this is your answer.</w:t>
      </w:r>
    </w:p>
    <w:p>
      <w:r>
        <w:br w:type="page"/>
      </w:r>
    </w:p>
    <w:p>
      <w:pPr>
        <w:pStyle w:val="Heading1"/>
        <w:keepNext/>
        <w:pBdr>
          <w:bottom w:val="single" w:color="2F5FE0" w:sz="12" w:space="6"/>
        </w:pBdr>
        <w:spacing w:after="180" w:before="420"/>
      </w:pPr>
      <w:r>
        <w:rPr>
          <w:rFonts w:ascii="Arial" w:cs="Arial" w:eastAsia="Arial" w:hAnsi="Arial"/>
          <w:b/>
          <w:bCs/>
          <w:color w:val="0F1B33"/>
          <w:sz w:val="30"/>
          <w:szCs w:val="30"/>
        </w:rPr>
        <w:t xml:space="preserve">3.  What we left out, and why</w:t>
      </w:r>
    </w:p>
    <w:p>
      <w:pPr>
        <w:spacing w:after="140" w:before="0" w:line="280"/>
      </w:pPr>
      <w:r>
        <w:rPr>
          <w:rFonts w:ascii="Calibri" w:cs="Calibri" w:eastAsia="Calibri" w:hAnsi="Calibri"/>
          <w:color w:val="3A4657"/>
          <w:sz w:val="21"/>
          <w:szCs w:val="21"/>
        </w:rPr>
        <w:t xml:space="preserve">The footnote on slide 9 reads "Promoter stakes, institutions and PMS excluded." Each of those three is a deliberate deduction, and each one makes our number smaller. Being able to explain them is what makes the rest of the slide credible.</w:t>
      </w:r>
    </w:p>
    <w:p>
      <w:pPr>
        <w:pStyle w:val="Heading2"/>
        <w:keepNext/>
        <w:spacing w:after="120" w:before="320"/>
      </w:pPr>
      <w:r>
        <w:rPr>
          <w:rFonts w:ascii="Arial" w:cs="Arial" w:eastAsia="Arial" w:hAnsi="Arial"/>
          <w:b/>
          <w:bCs/>
          <w:color w:val="2F5FE0"/>
          <w:sz w:val="24"/>
          <w:szCs w:val="24"/>
        </w:rPr>
        <w:t xml:space="preserve">3.1  Promoter stakes — 50.0% of the market, gone</w:t>
      </w:r>
    </w:p>
    <w:p>
      <w:pPr>
        <w:spacing w:after="140" w:before="0" w:line="280"/>
      </w:pPr>
      <w:r>
        <w:rPr>
          <w:rFonts w:ascii="Calibri" w:cs="Calibri" w:eastAsia="Calibri" w:hAnsi="Calibri"/>
          <w:color w:val="3A4657"/>
          <w:sz w:val="21"/>
          <w:szCs w:val="21"/>
        </w:rPr>
        <w:t xml:space="preserve">Half of the value of every company listed on the NSE is held by its founders, their families or its parent company. Those are control blocks. They are not traded, not rebalanced, and never the subject of portfolio advice — a promoter who sold down would be making a corporate decision, not an investment one.</w:t>
      </w:r>
    </w:p>
    <w:p>
      <w:pPr>
        <w:spacing w:after="140" w:before="0" w:line="280"/>
      </w:pPr>
      <w:r>
        <w:rPr>
          <w:rFonts w:ascii="Calibri" w:cs="Calibri" w:eastAsia="Calibri" w:hAnsi="Calibri"/>
          <w:b/>
          <w:bCs/>
          <w:color w:val="0F1B33"/>
          <w:sz w:val="21"/>
          <w:szCs w:val="21"/>
        </w:rPr>
        <w:t xml:space="preserve">So: </w:t>
      </w:r>
      <w:r>
        <w:rPr>
          <w:rFonts w:ascii="Calibri" w:cs="Calibri" w:eastAsia="Calibri" w:hAnsi="Calibri"/>
          <w:color w:val="3A4657"/>
          <w:sz w:val="21"/>
          <w:szCs w:val="21"/>
        </w:rPr>
        <w:t xml:space="preserve">we count 9.6% + 1.9% + 2.9% = 14.4% of NSE market cap as addressable, and leave the remaining 85.6% out. That removes about ₹231 lakh crore of promoter holdings alone.</w:t>
      </w:r>
    </w:p>
    <w:p>
      <w:pPr>
        <w:pStyle w:val="Heading2"/>
        <w:keepNext/>
        <w:spacing w:after="120" w:before="320"/>
      </w:pPr>
      <w:r>
        <w:rPr>
          <w:rFonts w:ascii="Arial" w:cs="Arial" w:eastAsia="Arial" w:hAnsi="Arial"/>
          <w:b/>
          <w:bCs/>
          <w:color w:val="2F5FE0"/>
          <w:sz w:val="24"/>
          <w:szCs w:val="24"/>
        </w:rPr>
        <w:t xml:space="preserve">3.2  Institutions — foreign funds, banks and insurers</w:t>
      </w:r>
    </w:p>
    <w:p>
      <w:pPr>
        <w:spacing w:after="140" w:before="0" w:line="280"/>
      </w:pPr>
      <w:r>
        <w:rPr>
          <w:rFonts w:ascii="Calibri" w:cs="Calibri" w:eastAsia="Calibri" w:hAnsi="Calibri"/>
          <w:color w:val="3A4657"/>
          <w:sz w:val="21"/>
          <w:szCs w:val="21"/>
        </w:rPr>
        <w:t xml:space="preserve">Foreign portfolio investors hold 17.3% of the market; domestic banks, insurers and other institutions hold another 5.5%. EPFO is excluded too. These are organisations with in-house research desks, Bloomberg terminals and sell-side coverage. They are not going to buy a ₹1,499-a-month diagnosis, and pretending otherwise would be obvious.</w:t>
      </w:r>
    </w:p>
    <w:p>
      <w:pPr>
        <w:spacing w:after="140" w:before="0" w:line="280"/>
      </w:pPr>
      <w:r>
        <w:rPr>
          <w:rFonts w:ascii="Calibri" w:cs="Calibri" w:eastAsia="Calibri" w:hAnsi="Calibri"/>
          <w:color w:val="3A4657"/>
          <w:sz w:val="21"/>
          <w:szCs w:val="21"/>
        </w:rPr>
        <w:t xml:space="preserve">The one institutional-looking pool we do keep is corporate treasury — ordinary companies parking cash in mutual funds — and we discount it heavily, both in rate (15 bps) and in reach (40% in SAM).</w:t>
      </w:r>
    </w:p>
    <w:p>
      <w:pPr>
        <w:pStyle w:val="Heading2"/>
        <w:keepNext/>
        <w:spacing w:after="120" w:before="320"/>
      </w:pPr>
      <w:r>
        <w:rPr>
          <w:rFonts w:ascii="Arial" w:cs="Arial" w:eastAsia="Arial" w:hAnsi="Arial"/>
          <w:b/>
          <w:bCs/>
          <w:color w:val="2F5FE0"/>
          <w:sz w:val="24"/>
          <w:szCs w:val="24"/>
        </w:rPr>
        <w:t xml:space="preserve">3.3  PMS — the one that looks like a mistake but is not</w:t>
      </w:r>
    </w:p>
    <w:p>
      <w:pPr>
        <w:spacing w:after="140" w:before="0" w:line="280"/>
      </w:pPr>
      <w:r>
        <w:rPr>
          <w:rFonts w:ascii="Calibri" w:cs="Calibri" w:eastAsia="Calibri" w:hAnsi="Calibri"/>
          <w:color w:val="3A4657"/>
          <w:sz w:val="21"/>
          <w:szCs w:val="21"/>
        </w:rPr>
        <w:t xml:space="preserve">SEBI reports ₹44.1 lakh crore under portfolio managers, of which ₹31.9 lakh crore is EPFO. The remaining ₹9.03 lakh crore looks like a large addressable pool sitting right there in the statistics — and we removed all of it.</w:t>
      </w:r>
    </w:p>
    <w:p>
      <w:pPr>
        <w:spacing w:after="140" w:before="0" w:line="280"/>
      </w:pPr>
      <w:r>
        <w:rPr>
          <w:rFonts w:ascii="Calibri" w:cs="Calibri" w:eastAsia="Calibri" w:hAnsi="Calibri"/>
          <w:b/>
          <w:bCs/>
          <w:color w:val="0F1B33"/>
          <w:sz w:val="21"/>
          <w:szCs w:val="21"/>
        </w:rPr>
        <w:t xml:space="preserve">The reason: </w:t>
      </w:r>
      <w:r>
        <w:rPr>
          <w:rFonts w:ascii="Calibri" w:cs="Calibri" w:eastAsia="Calibri" w:hAnsi="Calibri"/>
          <w:color w:val="3A4657"/>
          <w:sz w:val="21"/>
          <w:szCs w:val="21"/>
        </w:rPr>
        <w:t xml:space="preserve">in India, a PMS does not hold your shares. Your shares sit in </w:t>
      </w:r>
      <w:r>
        <w:rPr>
          <w:rFonts w:ascii="Calibri" w:cs="Calibri" w:eastAsia="Calibri" w:hAnsi="Calibri"/>
          <w:b/>
          <w:bCs/>
          <w:color w:val="0F1B33"/>
          <w:sz w:val="21"/>
          <w:szCs w:val="21"/>
        </w:rPr>
        <w:t xml:space="preserve">your own demat account</w:t>
      </w:r>
      <w:r>
        <w:rPr>
          <w:rFonts w:ascii="Calibri" w:cs="Calibri" w:eastAsia="Calibri" w:hAnsi="Calibri"/>
          <w:color w:val="3A4657"/>
          <w:sz w:val="21"/>
          <w:szCs w:val="21"/>
        </w:rPr>
        <w:t xml:space="preserve"> and the portfolio manager has a power of attorney to trade them. So every rupee of PMS assets is already counted in our direct-equity line. Adding PMS would count the same shares twice.</w:t>
      </w:r>
    </w:p>
    <w:p>
      <w:pPr>
        <w:spacing w:after="140" w:before="0" w:line="280"/>
      </w:pPr>
      <w:r>
        <w:rPr>
          <w:rFonts w:ascii="Calibri" w:cs="Calibri" w:eastAsia="Calibri" w:hAnsi="Calibri"/>
          <w:color w:val="3A4657"/>
          <w:sz w:val="21"/>
          <w:szCs w:val="21"/>
        </w:rPr>
        <w:t xml:space="preserve">The identical logic removes registered investment adviser AUA and distributor AUA. These are all wrappers over assets we have already counted, not additional assets.</w:t>
      </w:r>
    </w:p>
    <w:tbl>
      <w:tblPr>
        <w:tblW w:type="dxa" w:w="9026"/>
        <w:tblBorders>
          <w:top w:val="single" w:color="EAF0FF" w:sz="4"/>
          <w:left w:val="single" w:color="2F5FE0" w:sz="24"/>
          <w:bottom w:val="single" w:color="EAF0FF" w:sz="4"/>
          <w:right w:val="single" w:color="EAF0FF" w:sz="4"/>
          <w:insideH w:val="none" w:color="EAF0FF" w:sz="0"/>
          <w:insideV w:val="none" w:color="EAF0FF" w:sz="0"/>
        </w:tblBorders>
      </w:tblPr>
      <w:tblGrid>
        <w:gridCol w:w="9026"/>
      </w:tblGrid>
      <w:tr>
        <w:tc>
          <w:tcPr>
            <w:tcW w:type="dxa" w:w="9026"/>
            <w:shd w:fill="EAF0FF" w:color="auto" w:val="clear"/>
            <w:tcMar>
              <w:top w:type="dxa" w:w="140"/>
              <w:left w:type="dxa" w:w="200"/>
              <w:bottom w:type="dxa" w:w="140"/>
              <w:right w:type="dxa" w:w="200"/>
            </w:tcMar>
          </w:tcPr>
          <w:p>
            <w:pPr>
              <w:spacing w:after="80" w:line="260"/>
            </w:pPr>
            <w:r>
              <w:rPr>
                <w:rFonts w:ascii="Arial" w:cs="Arial" w:eastAsia="Arial" w:hAnsi="Arial"/>
                <w:b/>
                <w:bCs/>
                <w:color w:val="0F1B33"/>
                <w:sz w:val="20"/>
                <w:szCs w:val="20"/>
              </w:rPr>
              <w:t xml:space="preserve">If an investor says "your market looks small for India"</w:t>
            </w:r>
          </w:p>
          <w:p>
            <w:pPr>
              <w:spacing w:after="60" w:line="260"/>
            </w:pPr>
            <w:r>
              <w:rPr>
                <w:rFonts w:ascii="Calibri" w:cs="Calibri" w:eastAsia="Calibri" w:hAnsi="Calibri"/>
                <w:color w:val="3A4657"/>
                <w:sz w:val="21"/>
                <w:szCs w:val="21"/>
              </w:rPr>
              <w:t xml:space="preserve">That is the right response to get. Answer: "It is smaller than the headline numbers because we took out promoter control blocks, institutional money and every advisory wrapper that double-counts the underlying assets. What is left is money that can actually be advised. We would rather defend a small honest number than a large one."</w:t>
            </w:r>
          </w:p>
        </w:tc>
      </w:tr>
    </w:tbl>
    <w:p>
      <w:pPr>
        <w:pStyle w:val="Heading2"/>
        <w:keepNext/>
        <w:spacing w:after="120" w:before="320"/>
      </w:pPr>
      <w:r>
        <w:rPr>
          <w:rFonts w:ascii="Arial" w:cs="Arial" w:eastAsia="Arial" w:hAnsi="Arial"/>
          <w:b/>
          <w:bCs/>
          <w:color w:val="2F5FE0"/>
          <w:sz w:val="24"/>
          <w:szCs w:val="24"/>
        </w:rPr>
        <w:t xml:space="preserve">3.4  The four double counts we must never make</w:t>
      </w:r>
    </w:p>
    <w:p>
      <w:pPr>
        <w:spacing w:after="140" w:before="0" w:line="280"/>
      </w:pPr>
      <w:r>
        <w:rPr>
          <w:rFonts w:ascii="Calibri" w:cs="Calibri" w:eastAsia="Calibri" w:hAnsi="Calibri"/>
          <w:color w:val="3A4657"/>
          <w:sz w:val="21"/>
          <w:szCs w:val="21"/>
        </w:rPr>
        <w:t xml:space="preserve">Each of these is a mistake we made and corrected while building the model. If any of them reappears in a spreadsheet, a follow-up email or an answer given live, it will be caught.</w:t>
      </w:r>
    </w:p>
    <w:tbl>
      <w:tblPr>
        <w:tblW w:type="dxa" w:w="9026"/>
        <w:tblBorders>
          <w:top w:val="single" w:color="DCE3F0" w:sz="4"/>
          <w:left w:val="single" w:color="DCE3F0" w:sz="4"/>
          <w:bottom w:val="single" w:color="DCE3F0" w:sz="4"/>
          <w:right w:val="single" w:color="DCE3F0" w:sz="4"/>
          <w:insideH w:val="single" w:color="DCE3F0" w:sz="4"/>
          <w:insideV w:val="single" w:color="DCE3F0" w:sz="4"/>
        </w:tblBorders>
      </w:tblPr>
      <w:tblGrid>
        <w:gridCol w:w="2300"/>
        <w:gridCol w:w="3600"/>
        <w:gridCol w:w="3126"/>
      </w:tblGrid>
      <w:tr>
        <w:trPr>
          <w:tblHeader/>
        </w:trPr>
        <w:tc>
          <w:tcPr>
            <w:tcW w:type="dxa" w:w="2300"/>
            <w:shd w:fill="0F1B33" w:color="auto" w:val="clear"/>
            <w:tcMar>
              <w:top w:type="dxa" w:w="90"/>
              <w:left w:type="dxa" w:w="120"/>
              <w:bottom w:type="dxa" w:w="90"/>
              <w:right w:type="dxa" w:w="120"/>
            </w:tcMar>
          </w:tcPr>
          <w:p>
            <w:pPr>
              <w:spacing w:after="0" w:line="260"/>
            </w:pPr>
            <w:r>
              <w:rPr>
                <w:rFonts w:ascii="Arial" w:cs="Arial" w:eastAsia="Arial" w:hAnsi="Arial"/>
                <w:b/>
                <w:bCs/>
                <w:color w:val="FFFFFF"/>
                <w:sz w:val="19"/>
                <w:szCs w:val="19"/>
              </w:rPr>
              <w:t xml:space="preserve">The trap</w:t>
            </w:r>
          </w:p>
        </w:tc>
        <w:tc>
          <w:tcPr>
            <w:tcW w:type="dxa" w:w="3600"/>
            <w:shd w:fill="0F1B33" w:color="auto" w:val="clear"/>
            <w:tcMar>
              <w:top w:type="dxa" w:w="90"/>
              <w:left w:type="dxa" w:w="120"/>
              <w:bottom w:type="dxa" w:w="90"/>
              <w:right w:type="dxa" w:w="120"/>
            </w:tcMar>
          </w:tcPr>
          <w:p>
            <w:pPr>
              <w:spacing w:after="0" w:line="260"/>
            </w:pPr>
            <w:r>
              <w:rPr>
                <w:rFonts w:ascii="Arial" w:cs="Arial" w:eastAsia="Arial" w:hAnsi="Arial"/>
                <w:b/>
                <w:bCs/>
                <w:color w:val="FFFFFF"/>
                <w:sz w:val="19"/>
                <w:szCs w:val="19"/>
              </w:rPr>
              <w:t xml:space="preserve">Why it is wrong</w:t>
            </w:r>
          </w:p>
        </w:tc>
        <w:tc>
          <w:tcPr>
            <w:tcW w:type="dxa" w:w="3126"/>
            <w:shd w:fill="0F1B33" w:color="auto" w:val="clear"/>
            <w:tcMar>
              <w:top w:type="dxa" w:w="90"/>
              <w:left w:type="dxa" w:w="120"/>
              <w:bottom w:type="dxa" w:w="90"/>
              <w:right w:type="dxa" w:w="120"/>
            </w:tcMar>
          </w:tcPr>
          <w:p>
            <w:pPr>
              <w:spacing w:after="0" w:line="260"/>
            </w:pPr>
            <w:r>
              <w:rPr>
                <w:rFonts w:ascii="Arial" w:cs="Arial" w:eastAsia="Arial" w:hAnsi="Arial"/>
                <w:b/>
                <w:bCs/>
                <w:color w:val="FFFFFF"/>
                <w:sz w:val="19"/>
                <w:szCs w:val="19"/>
              </w:rPr>
              <w:t xml:space="preserve">What we use instead</w:t>
            </w:r>
          </w:p>
        </w:tc>
      </w:tr>
      <w:tr>
        <w:tc>
          <w:tcPr>
            <w:tcW w:type="dxa" w:w="2300"/>
            <w:shd w:fill="FFFFFF" w:color="auto" w:val="clear"/>
            <w:tcMar>
              <w:top w:type="dxa" w:w="80"/>
              <w:left w:type="dxa" w:w="120"/>
              <w:bottom w:type="dxa" w:w="80"/>
              <w:right w:type="dxa" w:w="120"/>
            </w:tcMar>
          </w:tcPr>
          <w:p>
            <w:pPr>
              <w:spacing w:after="0" w:before="0" w:line="260"/>
            </w:pPr>
            <w:r>
              <w:rPr>
                <w:rFonts w:ascii="Calibri" w:cs="Calibri" w:eastAsia="Calibri" w:hAnsi="Calibri"/>
                <w:b/>
                <w:bCs/>
                <w:color w:val="0F1B33"/>
                <w:sz w:val="21"/>
                <w:szCs w:val="21"/>
              </w:rPr>
              <w:t xml:space="preserve">Using 18.5% of market cap as individual equity holdings</w:t>
            </w:r>
          </w:p>
        </w:tc>
        <w:tc>
          <w:tcPr>
            <w:tcW w:type="dxa" w:w="3600"/>
            <w:shd w:fill="FFFFFF"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That widely quoted figure is individuals' holdings direct AND through mutual funds. About ₹40 lakh crore of it is their mutual fund holdings — which we already count on a separate line.</w:t>
            </w:r>
          </w:p>
        </w:tc>
        <w:tc>
          <w:tcPr>
            <w:tcW w:type="dxa" w:w="3126"/>
            <w:shd w:fill="FFFFFF"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NSE's 9.6% direct figure. The ₹40.7 L Cr gap is exactly 84% of domestic mutual fund equity, which is how we confirmed it.</w:t>
            </w:r>
          </w:p>
        </w:tc>
      </w:tr>
      <w:tr>
        <w:tc>
          <w:tcPr>
            <w:tcW w:type="dxa" w:w="2300"/>
            <w:shd w:fill="F2F5FA" w:color="auto" w:val="clear"/>
            <w:tcMar>
              <w:top w:type="dxa" w:w="80"/>
              <w:left w:type="dxa" w:w="120"/>
              <w:bottom w:type="dxa" w:w="80"/>
              <w:right w:type="dxa" w:w="120"/>
            </w:tcMar>
          </w:tcPr>
          <w:p>
            <w:pPr>
              <w:spacing w:after="0" w:before="0" w:line="260"/>
            </w:pPr>
            <w:r>
              <w:rPr>
                <w:rFonts w:ascii="Calibri" w:cs="Calibri" w:eastAsia="Calibri" w:hAnsi="Calibri"/>
                <w:b/>
                <w:bCs/>
                <w:color w:val="0F1B33"/>
                <w:sz w:val="21"/>
                <w:szCs w:val="21"/>
              </w:rPr>
              <w:t xml:space="preserve">Adding PMS AUM</w:t>
            </w:r>
          </w:p>
        </w:tc>
        <w:tc>
          <w:tcPr>
            <w:tcW w:type="dxa" w:w="3600"/>
            <w:shd w:fill="F2F5FA"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Indian PMS holds securities in the client's own demat account — the same shares, counted a second time.</w:t>
            </w:r>
          </w:p>
        </w:tc>
        <w:tc>
          <w:tcPr>
            <w:tcW w:type="dxa" w:w="3126"/>
            <w:shd w:fill="F2F5FA"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Excluded entirely. Same for RIA and distributor AUA.</w:t>
            </w:r>
          </w:p>
        </w:tc>
      </w:tr>
      <w:tr>
        <w:tc>
          <w:tcPr>
            <w:tcW w:type="dxa" w:w="2300"/>
            <w:shd w:fill="FFFFFF" w:color="auto" w:val="clear"/>
            <w:tcMar>
              <w:top w:type="dxa" w:w="80"/>
              <w:left w:type="dxa" w:w="120"/>
              <w:bottom w:type="dxa" w:w="80"/>
              <w:right w:type="dxa" w:w="120"/>
            </w:tcMar>
          </w:tcPr>
          <w:p>
            <w:pPr>
              <w:spacing w:after="0" w:before="0" w:line="260"/>
            </w:pPr>
            <w:r>
              <w:rPr>
                <w:rFonts w:ascii="Calibri" w:cs="Calibri" w:eastAsia="Calibri" w:hAnsi="Calibri"/>
                <w:b/>
                <w:bCs/>
                <w:color w:val="0F1B33"/>
                <w:sz w:val="21"/>
                <w:szCs w:val="21"/>
              </w:rPr>
              <w:t xml:space="preserve">Using AIF committed capital</w:t>
            </w:r>
          </w:p>
        </w:tc>
        <w:tc>
          <w:tcPr>
            <w:tcW w:type="dxa" w:w="3600"/>
            <w:shd w:fill="FFFFFF"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SEBI reports ₹16.94 lakh crore committed. Committed money is a promise, not an asset that exists to be advised on.</w:t>
            </w:r>
          </w:p>
        </w:tc>
        <w:tc>
          <w:tcPr>
            <w:tcW w:type="dxa" w:w="3126"/>
            <w:shd w:fill="FFFFFF"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₹7.00 lakh crore actually raised.</w:t>
            </w:r>
          </w:p>
        </w:tc>
      </w:tr>
      <w:tr>
        <w:tc>
          <w:tcPr>
            <w:tcW w:type="dxa" w:w="2300"/>
            <w:shd w:fill="F2F5FA" w:color="auto" w:val="clear"/>
            <w:tcMar>
              <w:top w:type="dxa" w:w="80"/>
              <w:left w:type="dxa" w:w="120"/>
              <w:bottom w:type="dxa" w:w="80"/>
              <w:right w:type="dxa" w:w="120"/>
            </w:tcMar>
          </w:tcPr>
          <w:p>
            <w:pPr>
              <w:spacing w:after="0" w:before="0" w:line="260"/>
            </w:pPr>
            <w:r>
              <w:rPr>
                <w:rFonts w:ascii="Calibri" w:cs="Calibri" w:eastAsia="Calibri" w:hAnsi="Calibri"/>
                <w:b/>
                <w:bCs/>
                <w:color w:val="0F1B33"/>
                <w:sz w:val="21"/>
                <w:szCs w:val="21"/>
              </w:rPr>
              <w:t xml:space="preserve">Counting bank and FI money in mutual funds</w:t>
            </w:r>
          </w:p>
        </w:tc>
        <w:tc>
          <w:tcPr>
            <w:tcW w:type="dxa" w:w="3600"/>
            <w:shd w:fill="F2F5FA"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₹1.68 lakh crore of the AMFI total belongs to banks and financial institutions — institutional money, not an advisory client.</w:t>
            </w:r>
          </w:p>
        </w:tc>
        <w:tc>
          <w:tcPr>
            <w:tcW w:type="dxa" w:w="3126"/>
            <w:shd w:fill="F2F5FA"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Deducted from the ₹82.03 L Cr industry AUM before use.</w:t>
            </w:r>
          </w:p>
        </w:tc>
      </w:tr>
    </w:tbl>
    <w:tbl>
      <w:tblPr>
        <w:tblW w:type="dxa" w:w="9026"/>
        <w:tblBorders>
          <w:top w:val="single" w:color="F2F5FA" w:sz="4"/>
          <w:left w:val="single" w:color="8A93A5" w:sz="24"/>
          <w:bottom w:val="single" w:color="F2F5FA" w:sz="4"/>
          <w:right w:val="single" w:color="F2F5FA" w:sz="4"/>
          <w:insideH w:val="none" w:color="F2F5FA" w:sz="0"/>
          <w:insideV w:val="none" w:color="F2F5FA" w:sz="0"/>
        </w:tblBorders>
      </w:tblPr>
      <w:tblGrid>
        <w:gridCol w:w="9026"/>
      </w:tblGrid>
      <w:tr>
        <w:tc>
          <w:tcPr>
            <w:tcW w:type="dxa" w:w="9026"/>
            <w:shd w:fill="F2F5FA" w:color="auto" w:val="clear"/>
            <w:tcMar>
              <w:top w:type="dxa" w:w="140"/>
              <w:left w:type="dxa" w:w="200"/>
              <w:bottom w:type="dxa" w:w="140"/>
              <w:right w:type="dxa" w:w="200"/>
            </w:tcMar>
          </w:tcPr>
          <w:p>
            <w:pPr>
              <w:spacing w:after="80" w:line="260"/>
            </w:pPr>
            <w:r>
              <w:rPr>
                <w:rFonts w:ascii="Arial" w:cs="Arial" w:eastAsia="Arial" w:hAnsi="Arial"/>
                <w:b/>
                <w:bCs/>
                <w:color w:val="0F1B33"/>
                <w:sz w:val="20"/>
                <w:szCs w:val="20"/>
              </w:rPr>
              <w:t xml:space="preserve">How the biggest one was caught</w:t>
            </w:r>
          </w:p>
          <w:p>
            <w:pPr>
              <w:spacing w:after="60" w:line="260"/>
            </w:pPr>
            <w:r>
              <w:rPr>
                <w:rFonts w:ascii="Calibri" w:cs="Calibri" w:eastAsia="Calibri" w:hAnsi="Calibri"/>
                <w:color w:val="3A4657"/>
                <w:sz w:val="21"/>
                <w:szCs w:val="21"/>
              </w:rPr>
              <w:t xml:space="preserve">The 18.5%-versus-9.6% error was worth about ₹40 lakh crore of phantom assets and survived several passes of the model. It only surfaced when someone asked a question nobody had asked before — "have you included assets held by entities other than individuals?" — which forced a rebuild of the base by holder type rather than by instrument.</w:t>
            </w:r>
          </w:p>
          <w:p>
            <w:pPr>
              <w:spacing w:after="60" w:line="260"/>
            </w:pPr>
            <w:r>
              <w:rPr>
                <w:rFonts w:ascii="Calibri" w:cs="Calibri" w:eastAsia="Calibri" w:hAnsi="Calibri"/>
                <w:b/>
                <w:bCs/>
                <w:color w:val="0F1B33"/>
                <w:sz w:val="21"/>
                <w:szCs w:val="21"/>
              </w:rPr>
              <w:t xml:space="preserve">The lesson worth keeping: </w:t>
            </w:r>
            <w:r>
              <w:rPr>
                <w:rFonts w:ascii="Calibri" w:cs="Calibri" w:eastAsia="Calibri" w:hAnsi="Calibri"/>
                <w:color w:val="3A4657"/>
                <w:sz w:val="21"/>
                <w:szCs w:val="21"/>
              </w:rPr>
              <w:t xml:space="preserve">when a number will not reconcile two different ways, it is wrong. Build every important figure twice, from different angles, and make them agree.</w:t>
            </w:r>
          </w:p>
        </w:tc>
      </w:tr>
    </w:tbl>
    <w:p>
      <w:r>
        <w:br w:type="page"/>
      </w:r>
    </w:p>
    <w:p>
      <w:pPr>
        <w:pStyle w:val="Heading1"/>
        <w:keepNext/>
        <w:pBdr>
          <w:bottom w:val="single" w:color="2F5FE0" w:sz="12" w:space="6"/>
        </w:pBdr>
        <w:spacing w:after="180" w:before="420"/>
      </w:pPr>
      <w:r>
        <w:rPr>
          <w:rFonts w:ascii="Arial" w:cs="Arial" w:eastAsia="Arial" w:hAnsi="Arial"/>
          <w:b/>
          <w:bCs/>
          <w:color w:val="0F1B33"/>
          <w:sz w:val="30"/>
          <w:szCs w:val="30"/>
        </w:rPr>
        <w:t xml:space="preserve">4.  The ask, the valuation and the burn</w:t>
      </w:r>
    </w:p>
    <w:p>
      <w:pPr>
        <w:pStyle w:val="Heading2"/>
        <w:keepNext/>
        <w:spacing w:after="120" w:before="320"/>
      </w:pPr>
      <w:r>
        <w:rPr>
          <w:rFonts w:ascii="Arial" w:cs="Arial" w:eastAsia="Arial" w:hAnsi="Arial"/>
          <w:b/>
          <w:bCs/>
          <w:color w:val="2F5FE0"/>
          <w:sz w:val="24"/>
          <w:szCs w:val="24"/>
        </w:rPr>
        <w:t xml:space="preserve">4.1  Where ₹12.49 Cr comes from</w:t>
      </w:r>
    </w:p>
    <w:p>
      <w:pPr>
        <w:spacing w:after="140" w:before="0" w:line="280"/>
      </w:pPr>
      <w:r>
        <w:rPr>
          <w:rFonts w:ascii="Calibri" w:cs="Calibri" w:eastAsia="Calibri" w:hAnsi="Calibri"/>
          <w:color w:val="3A4657"/>
          <w:sz w:val="21"/>
          <w:szCs w:val="21"/>
        </w:rPr>
        <w:t xml:space="preserve">The ask is not a round number chosen for effect. It is three lines added together, and you should be able to recite them.</w:t>
      </w:r>
    </w:p>
    <w:tbl>
      <w:tblPr>
        <w:tblW w:type="dxa" w:w="9026"/>
        <w:tblBorders>
          <w:top w:val="single" w:color="DCE3F0" w:sz="4"/>
          <w:left w:val="single" w:color="DCE3F0" w:sz="4"/>
          <w:bottom w:val="single" w:color="DCE3F0" w:sz="4"/>
          <w:right w:val="single" w:color="DCE3F0" w:sz="4"/>
          <w:insideH w:val="single" w:color="DCE3F0" w:sz="4"/>
          <w:insideV w:val="single" w:color="DCE3F0" w:sz="4"/>
        </w:tblBorders>
      </w:tblPr>
      <w:tblGrid>
        <w:gridCol w:w="2600"/>
        <w:gridCol w:w="1500"/>
        <w:gridCol w:w="4926"/>
      </w:tblGrid>
      <w:tr>
        <w:trPr>
          <w:tblHeader/>
        </w:trPr>
        <w:tc>
          <w:tcPr>
            <w:tcW w:type="dxa" w:w="2600"/>
            <w:shd w:fill="0F1B33" w:color="auto" w:val="clear"/>
            <w:tcMar>
              <w:top w:type="dxa" w:w="90"/>
              <w:left w:type="dxa" w:w="120"/>
              <w:bottom w:type="dxa" w:w="90"/>
              <w:right w:type="dxa" w:w="120"/>
            </w:tcMar>
          </w:tcPr>
          <w:p>
            <w:pPr>
              <w:spacing w:after="0" w:line="260"/>
            </w:pPr>
            <w:r>
              <w:rPr>
                <w:rFonts w:ascii="Arial" w:cs="Arial" w:eastAsia="Arial" w:hAnsi="Arial"/>
                <w:b/>
                <w:bCs/>
                <w:color w:val="FFFFFF"/>
                <w:sz w:val="19"/>
                <w:szCs w:val="19"/>
              </w:rPr>
              <w:t xml:space="preserve">Line</w:t>
            </w:r>
          </w:p>
        </w:tc>
        <w:tc>
          <w:tcPr>
            <w:tcW w:type="dxa" w:w="1500"/>
            <w:shd w:fill="0F1B33" w:color="auto" w:val="clear"/>
            <w:tcMar>
              <w:top w:type="dxa" w:w="90"/>
              <w:left w:type="dxa" w:w="120"/>
              <w:bottom w:type="dxa" w:w="90"/>
              <w:right w:type="dxa" w:w="120"/>
            </w:tcMar>
          </w:tcPr>
          <w:p>
            <w:pPr>
              <w:spacing w:after="0" w:line="260"/>
            </w:pPr>
            <w:r>
              <w:rPr>
                <w:rFonts w:ascii="Arial" w:cs="Arial" w:eastAsia="Arial" w:hAnsi="Arial"/>
                <w:b/>
                <w:bCs/>
                <w:color w:val="FFFFFF"/>
                <w:sz w:val="19"/>
                <w:szCs w:val="19"/>
              </w:rPr>
              <w:t xml:space="preserve">Amount</w:t>
            </w:r>
          </w:p>
        </w:tc>
        <w:tc>
          <w:tcPr>
            <w:tcW w:type="dxa" w:w="4926"/>
            <w:shd w:fill="0F1B33" w:color="auto" w:val="clear"/>
            <w:tcMar>
              <w:top w:type="dxa" w:w="90"/>
              <w:left w:type="dxa" w:w="120"/>
              <w:bottom w:type="dxa" w:w="90"/>
              <w:right w:type="dxa" w:w="120"/>
            </w:tcMar>
          </w:tcPr>
          <w:p>
            <w:pPr>
              <w:spacing w:after="0" w:line="260"/>
            </w:pPr>
            <w:r>
              <w:rPr>
                <w:rFonts w:ascii="Arial" w:cs="Arial" w:eastAsia="Arial" w:hAnsi="Arial"/>
                <w:b/>
                <w:bCs/>
                <w:color w:val="FFFFFF"/>
                <w:sz w:val="19"/>
                <w:szCs w:val="19"/>
              </w:rPr>
              <w:t xml:space="preserve">What it is</w:t>
            </w:r>
          </w:p>
        </w:tc>
      </w:tr>
      <w:tr>
        <w:tc>
          <w:tcPr>
            <w:tcW w:type="dxa" w:w="2600"/>
            <w:shd w:fill="FFFFFF"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Operating burn, 18 months</w:t>
            </w:r>
          </w:p>
        </w:tc>
        <w:tc>
          <w:tcPr>
            <w:tcW w:type="dxa" w:w="1500"/>
            <w:shd w:fill="FFFFFF"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₹11.10 Cr</w:t>
            </w:r>
          </w:p>
        </w:tc>
        <w:tc>
          <w:tcPr>
            <w:tcW w:type="dxa" w:w="4926"/>
            <w:shd w:fill="FFFFFF"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Everything it costs to run the company for 18 months — people, technology, marketing, office, compliance.</w:t>
            </w:r>
          </w:p>
        </w:tc>
      </w:tr>
      <w:tr>
        <w:tc>
          <w:tcPr>
            <w:tcW w:type="dxa" w:w="2600"/>
            <w:shd w:fill="F2F5FA"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Contingency reserve</w:t>
            </w:r>
          </w:p>
        </w:tc>
        <w:tc>
          <w:tcPr>
            <w:tcW w:type="dxa" w:w="1500"/>
            <w:shd w:fill="F2F5FA"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₹1.33 Cr</w:t>
            </w:r>
          </w:p>
        </w:tc>
        <w:tc>
          <w:tcPr>
            <w:tcW w:type="dxa" w:w="4926"/>
            <w:shd w:fill="F2F5FA"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10.7% of the round, held back. We intend to close the round with it intact.</w:t>
            </w:r>
          </w:p>
        </w:tc>
      </w:tr>
      <w:tr>
        <w:tc>
          <w:tcPr>
            <w:tcW w:type="dxa" w:w="2600"/>
            <w:shd w:fill="FFFFFF"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SEBI-RIA deposit</w:t>
            </w:r>
          </w:p>
        </w:tc>
        <w:tc>
          <w:tcPr>
            <w:tcW w:type="dxa" w:w="1500"/>
            <w:shd w:fill="FFFFFF"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₹0.05 Cr</w:t>
            </w:r>
          </w:p>
        </w:tc>
        <w:tc>
          <w:tcPr>
            <w:tcW w:type="dxa" w:w="4926"/>
            <w:shd w:fill="FFFFFF"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A ₹5 lakh refundable deposit required for registered investment adviser registration. It comes back.</w:t>
            </w:r>
          </w:p>
        </w:tc>
      </w:tr>
      <w:tr>
        <w:tc>
          <w:tcPr>
            <w:tcW w:type="dxa" w:w="2600"/>
            <w:shd w:fill="F2F5FA" w:color="auto" w:val="clear"/>
            <w:tcMar>
              <w:top w:type="dxa" w:w="80"/>
              <w:left w:type="dxa" w:w="120"/>
              <w:bottom w:type="dxa" w:w="80"/>
              <w:right w:type="dxa" w:w="120"/>
            </w:tcMar>
          </w:tcPr>
          <w:p>
            <w:pPr>
              <w:spacing w:after="0" w:before="0" w:line="260"/>
            </w:pPr>
            <w:r>
              <w:rPr>
                <w:rFonts w:ascii="Calibri" w:cs="Calibri" w:eastAsia="Calibri" w:hAnsi="Calibri"/>
                <w:b/>
                <w:bCs/>
                <w:color w:val="0F1B33"/>
                <w:sz w:val="21"/>
                <w:szCs w:val="21"/>
              </w:rPr>
              <w:t xml:space="preserve">Total ask</w:t>
            </w:r>
          </w:p>
        </w:tc>
        <w:tc>
          <w:tcPr>
            <w:tcW w:type="dxa" w:w="1500"/>
            <w:shd w:fill="F2F5FA" w:color="auto" w:val="clear"/>
            <w:tcMar>
              <w:top w:type="dxa" w:w="80"/>
              <w:left w:type="dxa" w:w="120"/>
              <w:bottom w:type="dxa" w:w="80"/>
              <w:right w:type="dxa" w:w="120"/>
            </w:tcMar>
          </w:tcPr>
          <w:p>
            <w:pPr>
              <w:spacing w:after="0" w:before="0" w:line="260"/>
            </w:pPr>
            <w:r>
              <w:rPr>
                <w:rFonts w:ascii="Calibri" w:cs="Calibri" w:eastAsia="Calibri" w:hAnsi="Calibri"/>
                <w:b/>
                <w:bCs/>
                <w:color w:val="0F1B33"/>
                <w:sz w:val="21"/>
                <w:szCs w:val="21"/>
              </w:rPr>
              <w:t xml:space="preserve">₹12.49 Cr</w:t>
            </w:r>
          </w:p>
        </w:tc>
        <w:tc>
          <w:tcPr>
            <w:tcW w:type="dxa" w:w="4926"/>
            <w:shd w:fill="F2F5FA" w:color="auto" w:val="clear"/>
            <w:tcMar>
              <w:top w:type="dxa" w:w="80"/>
              <w:left w:type="dxa" w:w="120"/>
              <w:bottom w:type="dxa" w:w="80"/>
              <w:right w:type="dxa" w:w="120"/>
            </w:tcMar>
          </w:tcPr>
          <w:p>
            <w:pPr>
              <w:spacing w:after="0" w:before="0" w:line="260"/>
            </w:pPr>
            <w:r>
              <w:rPr>
                <w:rFonts w:ascii="Calibri" w:cs="Calibri" w:eastAsia="Calibri" w:hAnsi="Calibri"/>
                <w:i/>
                <w:iCs/>
                <w:color w:val="3A4657"/>
                <w:sz w:val="21"/>
                <w:szCs w:val="21"/>
              </w:rPr>
              <w:t xml:space="preserve">Lines are rounded to two decimals; the unrounded lines total exactly ₹12.49 Cr.</w:t>
            </w:r>
          </w:p>
        </w:tc>
      </w:tr>
    </w:tbl>
    <w:p>
      <w:pPr>
        <w:pStyle w:val="Heading2"/>
        <w:keepNext/>
        <w:spacing w:after="120" w:before="320"/>
      </w:pPr>
      <w:r>
        <w:rPr>
          <w:rFonts w:ascii="Arial" w:cs="Arial" w:eastAsia="Arial" w:hAnsi="Arial"/>
          <w:b/>
          <w:bCs/>
          <w:color w:val="2F5FE0"/>
          <w:sz w:val="24"/>
          <w:szCs w:val="24"/>
        </w:rPr>
        <w:t xml:space="preserve">4.2  The valuation — and which way the arithmetic runs</w:t>
      </w:r>
    </w:p>
    <w:p>
      <w:pPr>
        <w:spacing w:after="140" w:before="0" w:line="280"/>
      </w:pPr>
      <w:r>
        <w:rPr>
          <w:rFonts w:ascii="Calibri" w:cs="Calibri" w:eastAsia="Calibri" w:hAnsi="Calibri"/>
          <w:color w:val="3A4657"/>
          <w:sz w:val="21"/>
          <w:szCs w:val="21"/>
        </w:rPr>
        <w:t xml:space="preserve">This is the single most common place a founder trips up. The pre-money valuation is not something we picked and then worked backwards from. It falls out of the two things we actually negotiated: how much we are raising, and how much of the company we are giving up.</w:t>
      </w:r>
    </w:p>
    <w:tbl>
      <w:tblPr>
        <w:tblW w:type="dxa" w:w="9026"/>
        <w:tblBorders>
          <w:top w:val="single" w:color="DCE3F0" w:sz="4"/>
          <w:left w:val="single" w:color="DCE3F0" w:sz="4"/>
          <w:bottom w:val="single" w:color="DCE3F0" w:sz="4"/>
          <w:right w:val="single" w:color="DCE3F0" w:sz="4"/>
          <w:insideH w:val="single" w:color="DCE3F0" w:sz="4"/>
          <w:insideV w:val="single" w:color="DCE3F0" w:sz="4"/>
        </w:tblBorders>
      </w:tblPr>
      <w:tblGrid>
        <w:gridCol w:w="2400"/>
        <w:gridCol w:w="3200"/>
        <w:gridCol w:w="3426"/>
      </w:tblGrid>
      <w:tr>
        <w:trPr>
          <w:tblHeader/>
        </w:trPr>
        <w:tc>
          <w:tcPr>
            <w:tcW w:type="dxa" w:w="2400"/>
            <w:shd w:fill="0F1B33" w:color="auto" w:val="clear"/>
            <w:tcMar>
              <w:top w:type="dxa" w:w="90"/>
              <w:left w:type="dxa" w:w="120"/>
              <w:bottom w:type="dxa" w:w="90"/>
              <w:right w:type="dxa" w:w="120"/>
            </w:tcMar>
          </w:tcPr>
          <w:p>
            <w:pPr>
              <w:spacing w:after="0" w:line="260"/>
            </w:pPr>
            <w:r>
              <w:rPr>
                <w:rFonts w:ascii="Arial" w:cs="Arial" w:eastAsia="Arial" w:hAnsi="Arial"/>
                <w:b/>
                <w:bCs/>
                <w:color w:val="FFFFFF"/>
                <w:sz w:val="19"/>
                <w:szCs w:val="19"/>
              </w:rPr>
              <w:t xml:space="preserve">Step</w:t>
            </w:r>
          </w:p>
        </w:tc>
        <w:tc>
          <w:tcPr>
            <w:tcW w:type="dxa" w:w="3200"/>
            <w:shd w:fill="0F1B33" w:color="auto" w:val="clear"/>
            <w:tcMar>
              <w:top w:type="dxa" w:w="90"/>
              <w:left w:type="dxa" w:w="120"/>
              <w:bottom w:type="dxa" w:w="90"/>
              <w:right w:type="dxa" w:w="120"/>
            </w:tcMar>
          </w:tcPr>
          <w:p>
            <w:pPr>
              <w:spacing w:after="0" w:line="260"/>
            </w:pPr>
            <w:r>
              <w:rPr>
                <w:rFonts w:ascii="Arial" w:cs="Arial" w:eastAsia="Arial" w:hAnsi="Arial"/>
                <w:b/>
                <w:bCs/>
                <w:color w:val="FFFFFF"/>
                <w:sz w:val="19"/>
                <w:szCs w:val="19"/>
              </w:rPr>
              <w:t xml:space="preserve">Arithmetic</w:t>
            </w:r>
          </w:p>
        </w:tc>
        <w:tc>
          <w:tcPr>
            <w:tcW w:type="dxa" w:w="3426"/>
            <w:shd w:fill="0F1B33" w:color="auto" w:val="clear"/>
            <w:tcMar>
              <w:top w:type="dxa" w:w="90"/>
              <w:left w:type="dxa" w:w="120"/>
              <w:bottom w:type="dxa" w:w="90"/>
              <w:right w:type="dxa" w:w="120"/>
            </w:tcMar>
          </w:tcPr>
          <w:p>
            <w:pPr>
              <w:spacing w:after="0" w:line="260"/>
            </w:pPr>
            <w:r>
              <w:rPr>
                <w:rFonts w:ascii="Arial" w:cs="Arial" w:eastAsia="Arial" w:hAnsi="Arial"/>
                <w:b/>
                <w:bCs/>
                <w:color w:val="FFFFFF"/>
                <w:sz w:val="19"/>
                <w:szCs w:val="19"/>
              </w:rPr>
              <w:t xml:space="preserve">Result</w:t>
            </w:r>
          </w:p>
        </w:tc>
      </w:tr>
      <w:tr>
        <w:tc>
          <w:tcPr>
            <w:tcW w:type="dxa" w:w="2400"/>
            <w:shd w:fill="FFFFFF"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1. Agree the ask</w:t>
            </w:r>
          </w:p>
        </w:tc>
        <w:tc>
          <w:tcPr>
            <w:tcW w:type="dxa" w:w="3200"/>
            <w:shd w:fill="FFFFFF"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w:t>
            </w:r>
          </w:p>
        </w:tc>
        <w:tc>
          <w:tcPr>
            <w:tcW w:type="dxa" w:w="3426"/>
            <w:shd w:fill="FFFFFF"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₹12.49 Cr</w:t>
            </w:r>
          </w:p>
        </w:tc>
      </w:tr>
      <w:tr>
        <w:tc>
          <w:tcPr>
            <w:tcW w:type="dxa" w:w="2400"/>
            <w:shd w:fill="F2F5FA"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2. Agree the dilution</w:t>
            </w:r>
          </w:p>
        </w:tc>
        <w:tc>
          <w:tcPr>
            <w:tcW w:type="dxa" w:w="3200"/>
            <w:shd w:fill="F2F5FA"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w:t>
            </w:r>
          </w:p>
        </w:tc>
        <w:tc>
          <w:tcPr>
            <w:tcW w:type="dxa" w:w="3426"/>
            <w:shd w:fill="F2F5FA"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20.0%</w:t>
            </w:r>
          </w:p>
        </w:tc>
      </w:tr>
      <w:tr>
        <w:tc>
          <w:tcPr>
            <w:tcW w:type="dxa" w:w="2400"/>
            <w:shd w:fill="FFFFFF"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3. Post-money follows</w:t>
            </w:r>
          </w:p>
        </w:tc>
        <w:tc>
          <w:tcPr>
            <w:tcW w:type="dxa" w:w="3200"/>
            <w:shd w:fill="FFFFFF"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₹12.49 Cr ÷ 0.20</w:t>
            </w:r>
          </w:p>
        </w:tc>
        <w:tc>
          <w:tcPr>
            <w:tcW w:type="dxa" w:w="3426"/>
            <w:shd w:fill="FFFFFF"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₹62.44 Cr</w:t>
            </w:r>
          </w:p>
        </w:tc>
      </w:tr>
      <w:tr>
        <w:tc>
          <w:tcPr>
            <w:tcW w:type="dxa" w:w="2400"/>
            <w:shd w:fill="F2F5FA"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4. Pre-money follows</w:t>
            </w:r>
          </w:p>
        </w:tc>
        <w:tc>
          <w:tcPr>
            <w:tcW w:type="dxa" w:w="3200"/>
            <w:shd w:fill="F2F5FA"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₹62.44 Cr − ₹12.49 Cr</w:t>
            </w:r>
          </w:p>
        </w:tc>
        <w:tc>
          <w:tcPr>
            <w:tcW w:type="dxa" w:w="3426"/>
            <w:shd w:fill="F2F5FA"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₹49.95 Cr</w:t>
            </w:r>
          </w:p>
        </w:tc>
      </w:tr>
    </w:tbl>
    <w:p>
      <w:pPr>
        <w:spacing w:after="140" w:before="140" w:line="280"/>
      </w:pPr>
      <w:r>
        <w:rPr>
          <w:rFonts w:ascii="Calibri" w:cs="Calibri" w:eastAsia="Calibri" w:hAnsi="Calibri"/>
          <w:b/>
          <w:bCs/>
          <w:color w:val="0F1B33"/>
          <w:sz w:val="21"/>
          <w:szCs w:val="21"/>
        </w:rPr>
        <w:t xml:space="preserve">Say it in this order. </w:t>
      </w:r>
      <w:r>
        <w:rPr>
          <w:rFonts w:ascii="Calibri" w:cs="Calibri" w:eastAsia="Calibri" w:hAnsi="Calibri"/>
          <w:color w:val="3A4657"/>
          <w:sz w:val="21"/>
          <w:szCs w:val="21"/>
        </w:rPr>
        <w:t xml:space="preserve">"We are raising ₹12.49 crore for 20%, which puts the post-money at ₹62.44 crore and the pre-money at ₹49.95 crore." If you lead with the pre-money you invite a negotiation about a number that was never independently set.</w:t>
      </w:r>
    </w:p>
    <w:p>
      <w:pPr>
        <w:pStyle w:val="Heading2"/>
        <w:keepNext/>
        <w:spacing w:after="120" w:before="320"/>
      </w:pPr>
      <w:r>
        <w:rPr>
          <w:rFonts w:ascii="Arial" w:cs="Arial" w:eastAsia="Arial" w:hAnsi="Arial"/>
          <w:b/>
          <w:bCs/>
          <w:color w:val="2F5FE0"/>
          <w:sz w:val="24"/>
          <w:szCs w:val="24"/>
        </w:rPr>
        <w:t xml:space="preserve">4.3  The three tranches</w:t>
      </w:r>
    </w:p>
    <w:p>
      <w:pPr>
        <w:spacing w:after="140" w:before="0" w:line="280"/>
      </w:pPr>
      <w:r>
        <w:rPr>
          <w:rFonts w:ascii="Calibri" w:cs="Calibri" w:eastAsia="Calibri" w:hAnsi="Calibri"/>
          <w:color w:val="3A4657"/>
          <w:sz w:val="21"/>
          <w:szCs w:val="21"/>
        </w:rPr>
        <w:t xml:space="preserve">Capital and equity release together, in three six-month tranches, and only once the previous tranche's deliverables have been evidenced. An investor is not funding a phase — they are funding a checkpoint.</w:t>
      </w:r>
    </w:p>
    <w:tbl>
      <w:tblPr>
        <w:tblW w:type="dxa" w:w="9026"/>
        <w:tblBorders>
          <w:top w:val="single" w:color="DCE3F0" w:sz="4"/>
          <w:left w:val="single" w:color="DCE3F0" w:sz="4"/>
          <w:bottom w:val="single" w:color="DCE3F0" w:sz="4"/>
          <w:right w:val="single" w:color="DCE3F0" w:sz="4"/>
          <w:insideH w:val="single" w:color="DCE3F0" w:sz="4"/>
          <w:insideV w:val="single" w:color="DCE3F0" w:sz="4"/>
        </w:tblBorders>
      </w:tblPr>
      <w:tblGrid>
        <w:gridCol w:w="1000"/>
        <w:gridCol w:w="1100"/>
        <w:gridCol w:w="1300"/>
        <w:gridCol w:w="1300"/>
        <w:gridCol w:w="1000"/>
        <w:gridCol w:w="1866"/>
        <w:gridCol w:w="1460"/>
      </w:tblGrid>
      <w:tr>
        <w:trPr>
          <w:tblHeader/>
        </w:trPr>
        <w:tc>
          <w:tcPr>
            <w:tcW w:type="dxa" w:w="1000"/>
            <w:shd w:fill="0F1B33" w:color="auto" w:val="clear"/>
            <w:tcMar>
              <w:top w:type="dxa" w:w="90"/>
              <w:left w:type="dxa" w:w="120"/>
              <w:bottom w:type="dxa" w:w="90"/>
              <w:right w:type="dxa" w:w="120"/>
            </w:tcMar>
          </w:tcPr>
          <w:p>
            <w:pPr>
              <w:spacing w:after="0" w:line="260"/>
            </w:pPr>
            <w:r>
              <w:rPr>
                <w:rFonts w:ascii="Arial" w:cs="Arial" w:eastAsia="Arial" w:hAnsi="Arial"/>
                <w:b/>
                <w:bCs/>
                <w:color w:val="FFFFFF"/>
                <w:sz w:val="19"/>
                <w:szCs w:val="19"/>
              </w:rPr>
              <w:t xml:space="preserve">Tranche</w:t>
            </w:r>
          </w:p>
        </w:tc>
        <w:tc>
          <w:tcPr>
            <w:tcW w:type="dxa" w:w="1100"/>
            <w:shd w:fill="0F1B33" w:color="auto" w:val="clear"/>
            <w:tcMar>
              <w:top w:type="dxa" w:w="90"/>
              <w:left w:type="dxa" w:w="120"/>
              <w:bottom w:type="dxa" w:w="90"/>
              <w:right w:type="dxa" w:w="120"/>
            </w:tcMar>
          </w:tcPr>
          <w:p>
            <w:pPr>
              <w:spacing w:after="0" w:line="260"/>
            </w:pPr>
            <w:r>
              <w:rPr>
                <w:rFonts w:ascii="Arial" w:cs="Arial" w:eastAsia="Arial" w:hAnsi="Arial"/>
                <w:b/>
                <w:bCs/>
                <w:color w:val="FFFFFF"/>
                <w:sz w:val="19"/>
                <w:szCs w:val="19"/>
              </w:rPr>
              <w:t xml:space="preserve">Period</w:t>
            </w:r>
          </w:p>
        </w:tc>
        <w:tc>
          <w:tcPr>
            <w:tcW w:type="dxa" w:w="1300"/>
            <w:shd w:fill="0F1B33" w:color="auto" w:val="clear"/>
            <w:tcMar>
              <w:top w:type="dxa" w:w="90"/>
              <w:left w:type="dxa" w:w="120"/>
              <w:bottom w:type="dxa" w:w="90"/>
              <w:right w:type="dxa" w:w="120"/>
            </w:tcMar>
          </w:tcPr>
          <w:p>
            <w:pPr>
              <w:spacing w:after="0" w:line="260"/>
            </w:pPr>
            <w:r>
              <w:rPr>
                <w:rFonts w:ascii="Arial" w:cs="Arial" w:eastAsia="Arial" w:hAnsi="Arial"/>
                <w:b/>
                <w:bCs/>
                <w:color w:val="FFFFFF"/>
                <w:sz w:val="19"/>
                <w:szCs w:val="19"/>
              </w:rPr>
              <w:t xml:space="preserve">Capital</w:t>
            </w:r>
          </w:p>
        </w:tc>
        <w:tc>
          <w:tcPr>
            <w:tcW w:type="dxa" w:w="1300"/>
            <w:shd w:fill="0F1B33" w:color="auto" w:val="clear"/>
            <w:tcMar>
              <w:top w:type="dxa" w:w="90"/>
              <w:left w:type="dxa" w:w="120"/>
              <w:bottom w:type="dxa" w:w="90"/>
              <w:right w:type="dxa" w:w="120"/>
            </w:tcMar>
          </w:tcPr>
          <w:p>
            <w:pPr>
              <w:spacing w:after="0" w:line="260"/>
            </w:pPr>
            <w:r>
              <w:rPr>
                <w:rFonts w:ascii="Arial" w:cs="Arial" w:eastAsia="Arial" w:hAnsi="Arial"/>
                <w:b/>
                <w:bCs/>
                <w:color w:val="FFFFFF"/>
                <w:sz w:val="19"/>
                <w:szCs w:val="19"/>
              </w:rPr>
              <w:t xml:space="preserve">Per month</w:t>
            </w:r>
          </w:p>
        </w:tc>
        <w:tc>
          <w:tcPr>
            <w:tcW w:type="dxa" w:w="1000"/>
            <w:shd w:fill="0F1B33" w:color="auto" w:val="clear"/>
            <w:tcMar>
              <w:top w:type="dxa" w:w="90"/>
              <w:left w:type="dxa" w:w="120"/>
              <w:bottom w:type="dxa" w:w="90"/>
              <w:right w:type="dxa" w:w="120"/>
            </w:tcMar>
          </w:tcPr>
          <w:p>
            <w:pPr>
              <w:spacing w:after="0" w:line="260"/>
            </w:pPr>
            <w:r>
              <w:rPr>
                <w:rFonts w:ascii="Arial" w:cs="Arial" w:eastAsia="Arial" w:hAnsi="Arial"/>
                <w:b/>
                <w:bCs/>
                <w:color w:val="FFFFFF"/>
                <w:sz w:val="19"/>
                <w:szCs w:val="19"/>
              </w:rPr>
              <w:t xml:space="preserve">Equity</w:t>
            </w:r>
          </w:p>
        </w:tc>
        <w:tc>
          <w:tcPr>
            <w:tcW w:type="dxa" w:w="1866"/>
            <w:shd w:fill="0F1B33" w:color="auto" w:val="clear"/>
            <w:tcMar>
              <w:top w:type="dxa" w:w="90"/>
              <w:left w:type="dxa" w:w="120"/>
              <w:bottom w:type="dxa" w:w="90"/>
              <w:right w:type="dxa" w:w="120"/>
            </w:tcMar>
          </w:tcPr>
          <w:p>
            <w:pPr>
              <w:spacing w:after="0" w:line="260"/>
            </w:pPr>
            <w:r>
              <w:rPr>
                <w:rFonts w:ascii="Arial" w:cs="Arial" w:eastAsia="Arial" w:hAnsi="Arial"/>
                <w:b/>
                <w:bCs/>
                <w:color w:val="FFFFFF"/>
                <w:sz w:val="19"/>
                <w:szCs w:val="19"/>
              </w:rPr>
              <w:t xml:space="preserve">Cumulative capital</w:t>
            </w:r>
          </w:p>
        </w:tc>
        <w:tc>
          <w:tcPr>
            <w:tcW w:type="dxa" w:w="1460"/>
            <w:shd w:fill="0F1B33" w:color="auto" w:val="clear"/>
            <w:tcMar>
              <w:top w:type="dxa" w:w="90"/>
              <w:left w:type="dxa" w:w="120"/>
              <w:bottom w:type="dxa" w:w="90"/>
              <w:right w:type="dxa" w:w="120"/>
            </w:tcMar>
          </w:tcPr>
          <w:p>
            <w:pPr>
              <w:spacing w:after="0" w:line="260"/>
            </w:pPr>
            <w:r>
              <w:rPr>
                <w:rFonts w:ascii="Arial" w:cs="Arial" w:eastAsia="Arial" w:hAnsi="Arial"/>
                <w:b/>
                <w:bCs/>
                <w:color w:val="FFFFFF"/>
                <w:sz w:val="19"/>
                <w:szCs w:val="19"/>
              </w:rPr>
              <w:t xml:space="preserve">Cumulative equity</w:t>
            </w:r>
          </w:p>
        </w:tc>
      </w:tr>
      <w:tr>
        <w:tc>
          <w:tcPr>
            <w:tcW w:type="dxa" w:w="1000"/>
            <w:shd w:fill="FFFFFF"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1</w:t>
            </w:r>
          </w:p>
        </w:tc>
        <w:tc>
          <w:tcPr>
            <w:tcW w:type="dxa" w:w="1100"/>
            <w:shd w:fill="FFFFFF"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M1–6</w:t>
            </w:r>
          </w:p>
        </w:tc>
        <w:tc>
          <w:tcPr>
            <w:tcW w:type="dxa" w:w="1300"/>
            <w:shd w:fill="FFFFFF"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₹2.74 Cr</w:t>
            </w:r>
          </w:p>
        </w:tc>
        <w:tc>
          <w:tcPr>
            <w:tcW w:type="dxa" w:w="1300"/>
            <w:shd w:fill="FFFFFF"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₹45.69 L</w:t>
            </w:r>
          </w:p>
        </w:tc>
        <w:tc>
          <w:tcPr>
            <w:tcW w:type="dxa" w:w="1000"/>
            <w:shd w:fill="FFFFFF"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6%</w:t>
            </w:r>
          </w:p>
        </w:tc>
        <w:tc>
          <w:tcPr>
            <w:tcW w:type="dxa" w:w="1866"/>
            <w:shd w:fill="FFFFFF"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₹2.74 Cr</w:t>
            </w:r>
          </w:p>
        </w:tc>
        <w:tc>
          <w:tcPr>
            <w:tcW w:type="dxa" w:w="1460"/>
            <w:shd w:fill="FFFFFF"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6%</w:t>
            </w:r>
          </w:p>
        </w:tc>
      </w:tr>
      <w:tr>
        <w:tc>
          <w:tcPr>
            <w:tcW w:type="dxa" w:w="1000"/>
            <w:shd w:fill="F2F5FA"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2</w:t>
            </w:r>
          </w:p>
        </w:tc>
        <w:tc>
          <w:tcPr>
            <w:tcW w:type="dxa" w:w="1100"/>
            <w:shd w:fill="F2F5FA"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M7–12</w:t>
            </w:r>
          </w:p>
        </w:tc>
        <w:tc>
          <w:tcPr>
            <w:tcW w:type="dxa" w:w="1300"/>
            <w:shd w:fill="F2F5FA"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₹5.27 Cr</w:t>
            </w:r>
          </w:p>
        </w:tc>
        <w:tc>
          <w:tcPr>
            <w:tcW w:type="dxa" w:w="1300"/>
            <w:shd w:fill="F2F5FA"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₹87.87 L</w:t>
            </w:r>
          </w:p>
        </w:tc>
        <w:tc>
          <w:tcPr>
            <w:tcW w:type="dxa" w:w="1000"/>
            <w:shd w:fill="F2F5FA"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7%</w:t>
            </w:r>
          </w:p>
        </w:tc>
        <w:tc>
          <w:tcPr>
            <w:tcW w:type="dxa" w:w="1866"/>
            <w:shd w:fill="F2F5FA"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₹8.01 Cr</w:t>
            </w:r>
          </w:p>
        </w:tc>
        <w:tc>
          <w:tcPr>
            <w:tcW w:type="dxa" w:w="1460"/>
            <w:shd w:fill="F2F5FA"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13%</w:t>
            </w:r>
          </w:p>
        </w:tc>
      </w:tr>
      <w:tr>
        <w:tc>
          <w:tcPr>
            <w:tcW w:type="dxa" w:w="1000"/>
            <w:shd w:fill="FFFFFF"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3</w:t>
            </w:r>
          </w:p>
        </w:tc>
        <w:tc>
          <w:tcPr>
            <w:tcW w:type="dxa" w:w="1100"/>
            <w:shd w:fill="FFFFFF"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M13–18</w:t>
            </w:r>
          </w:p>
        </w:tc>
        <w:tc>
          <w:tcPr>
            <w:tcW w:type="dxa" w:w="1300"/>
            <w:shd w:fill="FFFFFF"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₹4.48 Cr</w:t>
            </w:r>
          </w:p>
        </w:tc>
        <w:tc>
          <w:tcPr>
            <w:tcW w:type="dxa" w:w="1300"/>
            <w:shd w:fill="FFFFFF"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₹74.60 L</w:t>
            </w:r>
          </w:p>
        </w:tc>
        <w:tc>
          <w:tcPr>
            <w:tcW w:type="dxa" w:w="1000"/>
            <w:shd w:fill="FFFFFF"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7%</w:t>
            </w:r>
          </w:p>
        </w:tc>
        <w:tc>
          <w:tcPr>
            <w:tcW w:type="dxa" w:w="1866"/>
            <w:shd w:fill="FFFFFF"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₹12.49 Cr</w:t>
            </w:r>
          </w:p>
        </w:tc>
        <w:tc>
          <w:tcPr>
            <w:tcW w:type="dxa" w:w="1460"/>
            <w:shd w:fill="FFFFFF"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20%</w:t>
            </w:r>
          </w:p>
        </w:tc>
      </w:tr>
    </w:tbl>
    <w:p>
      <w:pPr>
        <w:spacing w:after="140" w:before="140" w:line="280"/>
      </w:pPr>
      <w:r>
        <w:rPr>
          <w:rFonts w:ascii="Calibri" w:cs="Calibri" w:eastAsia="Calibri" w:hAnsi="Calibri"/>
          <w:b/>
          <w:bCs/>
          <w:color w:val="0F1B33"/>
          <w:sz w:val="21"/>
          <w:szCs w:val="21"/>
        </w:rPr>
        <w:t xml:space="preserve">Checks that must hold: </w:t>
      </w:r>
      <w:r>
        <w:rPr>
          <w:rFonts w:ascii="Calibri" w:cs="Calibri" w:eastAsia="Calibri" w:hAnsi="Calibri"/>
          <w:color w:val="3A4657"/>
          <w:sz w:val="21"/>
          <w:szCs w:val="21"/>
        </w:rPr>
        <w:t xml:space="preserve">274.14 + 527.24 + 447.62 = ₹1,249.00 lakh = ₹12.49 Cr. 6 + 7 + 7 = 20%. Each per-month figure is the tranche divided by six.</w:t>
      </w:r>
    </w:p>
    <w:p>
      <w:pPr>
        <w:pStyle w:val="Heading3"/>
        <w:keepNext/>
        <w:spacing w:after="90" w:before="220"/>
      </w:pPr>
      <w:r>
        <w:rPr>
          <w:rFonts w:ascii="Arial" w:cs="Arial" w:eastAsia="Arial" w:hAnsi="Arial"/>
          <w:b/>
          <w:bCs/>
          <w:color w:val="0F1B33"/>
          <w:sz w:val="21"/>
          <w:szCs w:val="21"/>
        </w:rPr>
        <w:t xml:space="preserve">Why tranche 2 is the biggest</w:t>
      </w:r>
    </w:p>
    <w:tbl>
      <w:tblPr>
        <w:tblW w:type="dxa" w:w="9026"/>
        <w:tblBorders>
          <w:top w:val="single" w:color="DCE3F0" w:sz="4"/>
          <w:left w:val="single" w:color="DCE3F0" w:sz="4"/>
          <w:bottom w:val="single" w:color="DCE3F0" w:sz="4"/>
          <w:right w:val="single" w:color="DCE3F0" w:sz="4"/>
          <w:insideH w:val="single" w:color="DCE3F0" w:sz="4"/>
          <w:insideV w:val="single" w:color="DCE3F0" w:sz="4"/>
        </w:tblBorders>
      </w:tblPr>
      <w:tblGrid>
        <w:gridCol w:w="1500"/>
        <w:gridCol w:w="1800"/>
        <w:gridCol w:w="1800"/>
        <w:gridCol w:w="3926"/>
      </w:tblGrid>
      <w:tr>
        <w:trPr>
          <w:tblHeader/>
        </w:trPr>
        <w:tc>
          <w:tcPr>
            <w:tcW w:type="dxa" w:w="1500"/>
            <w:shd w:fill="0F1B33" w:color="auto" w:val="clear"/>
            <w:tcMar>
              <w:top w:type="dxa" w:w="90"/>
              <w:left w:type="dxa" w:w="120"/>
              <w:bottom w:type="dxa" w:w="90"/>
              <w:right w:type="dxa" w:w="120"/>
            </w:tcMar>
          </w:tcPr>
          <w:p>
            <w:pPr>
              <w:spacing w:after="0" w:line="260"/>
            </w:pPr>
            <w:r>
              <w:rPr>
                <w:rFonts w:ascii="Arial" w:cs="Arial" w:eastAsia="Arial" w:hAnsi="Arial"/>
                <w:b/>
                <w:bCs/>
                <w:color w:val="FFFFFF"/>
                <w:sz w:val="19"/>
                <w:szCs w:val="19"/>
              </w:rPr>
              <w:t xml:space="preserve">Tranche</w:t>
            </w:r>
          </w:p>
        </w:tc>
        <w:tc>
          <w:tcPr>
            <w:tcW w:type="dxa" w:w="1800"/>
            <w:shd w:fill="0F1B33" w:color="auto" w:val="clear"/>
            <w:tcMar>
              <w:top w:type="dxa" w:w="90"/>
              <w:left w:type="dxa" w:w="120"/>
              <w:bottom w:type="dxa" w:w="90"/>
              <w:right w:type="dxa" w:w="120"/>
            </w:tcMar>
          </w:tcPr>
          <w:p>
            <w:pPr>
              <w:spacing w:after="0" w:line="260"/>
            </w:pPr>
            <w:r>
              <w:rPr>
                <w:rFonts w:ascii="Arial" w:cs="Arial" w:eastAsia="Arial" w:hAnsi="Arial"/>
                <w:b/>
                <w:bCs/>
                <w:color w:val="FFFFFF"/>
                <w:sz w:val="19"/>
                <w:szCs w:val="19"/>
              </w:rPr>
              <w:t xml:space="preserve">Capital released</w:t>
            </w:r>
          </w:p>
        </w:tc>
        <w:tc>
          <w:tcPr>
            <w:tcW w:type="dxa" w:w="1800"/>
            <w:shd w:fill="0F1B33" w:color="auto" w:val="clear"/>
            <w:tcMar>
              <w:top w:type="dxa" w:w="90"/>
              <w:left w:type="dxa" w:w="120"/>
              <w:bottom w:type="dxa" w:w="90"/>
              <w:right w:type="dxa" w:w="120"/>
            </w:tcMar>
          </w:tcPr>
          <w:p>
            <w:pPr>
              <w:spacing w:after="0" w:line="260"/>
            </w:pPr>
            <w:r>
              <w:rPr>
                <w:rFonts w:ascii="Arial" w:cs="Arial" w:eastAsia="Arial" w:hAnsi="Arial"/>
                <w:b/>
                <w:bCs/>
                <w:color w:val="FFFFFF"/>
                <w:sz w:val="19"/>
                <w:szCs w:val="19"/>
              </w:rPr>
              <w:t xml:space="preserve">Burn it covers</w:t>
            </w:r>
          </w:p>
        </w:tc>
        <w:tc>
          <w:tcPr>
            <w:tcW w:type="dxa" w:w="3926"/>
            <w:shd w:fill="0F1B33" w:color="auto" w:val="clear"/>
            <w:tcMar>
              <w:top w:type="dxa" w:w="90"/>
              <w:left w:type="dxa" w:w="120"/>
              <w:bottom w:type="dxa" w:w="90"/>
              <w:right w:type="dxa" w:w="120"/>
            </w:tcMar>
          </w:tcPr>
          <w:p>
            <w:pPr>
              <w:spacing w:after="0" w:line="260"/>
            </w:pPr>
            <w:r>
              <w:rPr>
                <w:rFonts w:ascii="Arial" w:cs="Arial" w:eastAsia="Arial" w:hAnsi="Arial"/>
                <w:b/>
                <w:bCs/>
                <w:color w:val="FFFFFF"/>
                <w:sz w:val="19"/>
                <w:szCs w:val="19"/>
              </w:rPr>
              <w:t xml:space="preserve">What explains the gap</w:t>
            </w:r>
          </w:p>
        </w:tc>
      </w:tr>
      <w:tr>
        <w:tc>
          <w:tcPr>
            <w:tcW w:type="dxa" w:w="1500"/>
            <w:shd w:fill="FFFFFF"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1 (M1–6)</w:t>
            </w:r>
          </w:p>
        </w:tc>
        <w:tc>
          <w:tcPr>
            <w:tcW w:type="dxa" w:w="1800"/>
            <w:shd w:fill="FFFFFF"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₹274.14 L</w:t>
            </w:r>
          </w:p>
        </w:tc>
        <w:tc>
          <w:tcPr>
            <w:tcW w:type="dxa" w:w="1800"/>
            <w:shd w:fill="FFFFFF"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₹274.14 L</w:t>
            </w:r>
          </w:p>
        </w:tc>
        <w:tc>
          <w:tcPr>
            <w:tcW w:type="dxa" w:w="3926"/>
            <w:shd w:fill="FFFFFF"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Funds its six months exactly. No buffer.</w:t>
            </w:r>
          </w:p>
        </w:tc>
      </w:tr>
      <w:tr>
        <w:tc>
          <w:tcPr>
            <w:tcW w:type="dxa" w:w="1500"/>
            <w:shd w:fill="F2F5FA"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2 (M7–12)</w:t>
            </w:r>
          </w:p>
        </w:tc>
        <w:tc>
          <w:tcPr>
            <w:tcW w:type="dxa" w:w="1800"/>
            <w:shd w:fill="F2F5FA"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₹527.24 L</w:t>
            </w:r>
          </w:p>
        </w:tc>
        <w:tc>
          <w:tcPr>
            <w:tcW w:type="dxa" w:w="1800"/>
            <w:shd w:fill="F2F5FA"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₹388.70 L</w:t>
            </w:r>
          </w:p>
        </w:tc>
        <w:tc>
          <w:tcPr>
            <w:tcW w:type="dxa" w:w="3926"/>
            <w:shd w:fill="F2F5FA"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Carries the ₹5 lakh SEBI deposit and the entire ₹1.33 Cr contingency.</w:t>
            </w:r>
          </w:p>
        </w:tc>
      </w:tr>
      <w:tr>
        <w:tc>
          <w:tcPr>
            <w:tcW w:type="dxa" w:w="1500"/>
            <w:shd w:fill="FFFFFF"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3 (M13–18)</w:t>
            </w:r>
          </w:p>
        </w:tc>
        <w:tc>
          <w:tcPr>
            <w:tcW w:type="dxa" w:w="1800"/>
            <w:shd w:fill="FFFFFF"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₹447.62 L</w:t>
            </w:r>
          </w:p>
        </w:tc>
        <w:tc>
          <w:tcPr>
            <w:tcW w:type="dxa" w:w="1800"/>
            <w:shd w:fill="FFFFFF"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₹447.61 L</w:t>
            </w:r>
          </w:p>
        </w:tc>
        <w:tc>
          <w:tcPr>
            <w:tcW w:type="dxa" w:w="3926"/>
            <w:shd w:fill="FFFFFF"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Funds its six months exactly — the buffer is already in hand.</w:t>
            </w:r>
          </w:p>
        </w:tc>
      </w:tr>
    </w:tbl>
    <w:p>
      <w:pPr>
        <w:spacing w:after="140" w:before="140" w:line="280"/>
      </w:pPr>
      <w:r>
        <w:rPr>
          <w:rFonts w:ascii="Calibri" w:cs="Calibri" w:eastAsia="Calibri" w:hAnsi="Calibri"/>
          <w:b/>
          <w:bCs/>
          <w:color w:val="0F1B33"/>
          <w:sz w:val="21"/>
          <w:szCs w:val="21"/>
        </w:rPr>
        <w:t xml:space="preserve">Closing cash balance: </w:t>
      </w:r>
      <w:r>
        <w:rPr>
          <w:rFonts w:ascii="Calibri" w:cs="Calibri" w:eastAsia="Calibri" w:hAnsi="Calibri"/>
          <w:color w:val="3A4657"/>
          <w:sz w:val="21"/>
          <w:szCs w:val="21"/>
        </w:rPr>
        <w:t xml:space="preserve">₹0.00 Cr at end of month 6  ·  ₹1.34 Cr at end of month 12  ·  ₹1.34 Cr at end of month 18.</w:t>
      </w:r>
    </w:p>
    <w:tbl>
      <w:tblPr>
        <w:tblW w:type="dxa" w:w="9026"/>
        <w:tblBorders>
          <w:top w:val="single" w:color="FFF1F1" w:sz="4"/>
          <w:left w:val="single" w:color="C0392B" w:sz="24"/>
          <w:bottom w:val="single" w:color="FFF1F1" w:sz="4"/>
          <w:right w:val="single" w:color="FFF1F1" w:sz="4"/>
          <w:insideH w:val="none" w:color="FFF1F1" w:sz="0"/>
          <w:insideV w:val="none" w:color="FFF1F1" w:sz="0"/>
        </w:tblBorders>
      </w:tblPr>
      <w:tblGrid>
        <w:gridCol w:w="9026"/>
      </w:tblGrid>
      <w:tr>
        <w:tc>
          <w:tcPr>
            <w:tcW w:type="dxa" w:w="9026"/>
            <w:shd w:fill="FFF1F1" w:color="auto" w:val="clear"/>
            <w:tcMar>
              <w:top w:type="dxa" w:w="140"/>
              <w:left w:type="dxa" w:w="200"/>
              <w:bottom w:type="dxa" w:w="140"/>
              <w:right w:type="dxa" w:w="200"/>
            </w:tcMar>
          </w:tcPr>
          <w:p>
            <w:pPr>
              <w:spacing w:after="80" w:line="260"/>
            </w:pPr>
            <w:r>
              <w:rPr>
                <w:rFonts w:ascii="Arial" w:cs="Arial" w:eastAsia="Arial" w:hAnsi="Arial"/>
                <w:b/>
                <w:bCs/>
                <w:color w:val="0F1B33"/>
                <w:sz w:val="20"/>
                <w:szCs w:val="20"/>
              </w:rPr>
              <w:t xml:space="preserve">A real risk — raise it yourselves before an investor raises it</w:t>
            </w:r>
          </w:p>
          <w:p>
            <w:pPr>
              <w:spacing w:after="60" w:line="260"/>
            </w:pPr>
            <w:r>
              <w:rPr>
                <w:rFonts w:ascii="Calibri" w:cs="Calibri" w:eastAsia="Calibri" w:hAnsi="Calibri"/>
                <w:color w:val="3A4657"/>
                <w:sz w:val="21"/>
                <w:szCs w:val="21"/>
              </w:rPr>
              <w:t xml:space="preserve">Tranche 1 equals the first six months of burn to the rupee, so the balance at end of month 6 is exactly nil and the whole contingency sits inside tranche 2. Any slip in the tranche-2 gate, or in the mechanics of wiring the money, leaves the company with no runway at all.</w:t>
            </w:r>
          </w:p>
          <w:p>
            <w:pPr>
              <w:spacing w:after="60" w:line="260"/>
            </w:pPr>
            <w:r>
              <w:rPr>
                <w:rFonts w:ascii="Calibri" w:cs="Calibri" w:eastAsia="Calibri" w:hAnsi="Calibri"/>
                <w:b/>
                <w:bCs/>
                <w:color w:val="0F1B33"/>
                <w:sz w:val="21"/>
                <w:szCs w:val="21"/>
              </w:rPr>
              <w:t xml:space="preserve">Two ways to fix it: </w:t>
            </w:r>
            <w:r>
              <w:rPr>
                <w:rFonts w:ascii="Calibri" w:cs="Calibri" w:eastAsia="Calibri" w:hAnsi="Calibri"/>
                <w:color w:val="3A4657"/>
                <w:sz w:val="21"/>
                <w:szCs w:val="21"/>
              </w:rPr>
              <w:t xml:space="preserve">move part of the contingency into tranche 1, or agree a funding-date buffer in the term sheet so tranche 2 is committed to land before tranche 1 runs out. Decide which before the first term-sheet conversation.</w:t>
            </w:r>
          </w:p>
        </w:tc>
      </w:tr>
    </w:tbl>
    <w:p>
      <w:pPr>
        <w:pStyle w:val="Heading3"/>
        <w:keepNext/>
        <w:spacing w:after="90" w:before="220"/>
      </w:pPr>
      <w:r>
        <w:rPr>
          <w:rFonts w:ascii="Arial" w:cs="Arial" w:eastAsia="Arial" w:hAnsi="Arial"/>
          <w:b/>
          <w:bCs/>
          <w:color w:val="0F1B33"/>
          <w:sz w:val="21"/>
          <w:szCs w:val="21"/>
        </w:rPr>
        <w:t xml:space="preserve">What each tranche delivers</w:t>
      </w:r>
    </w:p>
    <w:tbl>
      <w:tblPr>
        <w:tblW w:type="dxa" w:w="9026"/>
        <w:tblBorders>
          <w:top w:val="single" w:color="DCE3F0" w:sz="4"/>
          <w:left w:val="single" w:color="DCE3F0" w:sz="4"/>
          <w:bottom w:val="single" w:color="DCE3F0" w:sz="4"/>
          <w:right w:val="single" w:color="DCE3F0" w:sz="4"/>
          <w:insideH w:val="single" w:color="DCE3F0" w:sz="4"/>
          <w:insideV w:val="single" w:color="DCE3F0" w:sz="4"/>
        </w:tblBorders>
      </w:tblPr>
      <w:tblGrid>
        <w:gridCol w:w="1600"/>
        <w:gridCol w:w="7426"/>
      </w:tblGrid>
      <w:tr>
        <w:trPr>
          <w:tblHeader/>
        </w:trPr>
        <w:tc>
          <w:tcPr>
            <w:tcW w:type="dxa" w:w="1600"/>
            <w:shd w:fill="0F1B33" w:color="auto" w:val="clear"/>
            <w:tcMar>
              <w:top w:type="dxa" w:w="90"/>
              <w:left w:type="dxa" w:w="120"/>
              <w:bottom w:type="dxa" w:w="90"/>
              <w:right w:type="dxa" w:w="120"/>
            </w:tcMar>
          </w:tcPr>
          <w:p>
            <w:pPr>
              <w:spacing w:after="0" w:line="260"/>
            </w:pPr>
            <w:r>
              <w:rPr>
                <w:rFonts w:ascii="Arial" w:cs="Arial" w:eastAsia="Arial" w:hAnsi="Arial"/>
                <w:b/>
                <w:bCs/>
                <w:color w:val="FFFFFF"/>
                <w:sz w:val="19"/>
                <w:szCs w:val="19"/>
              </w:rPr>
              <w:t xml:space="preserve">Tranche</w:t>
            </w:r>
          </w:p>
        </w:tc>
        <w:tc>
          <w:tcPr>
            <w:tcW w:type="dxa" w:w="7426"/>
            <w:shd w:fill="0F1B33" w:color="auto" w:val="clear"/>
            <w:tcMar>
              <w:top w:type="dxa" w:w="90"/>
              <w:left w:type="dxa" w:w="120"/>
              <w:bottom w:type="dxa" w:w="90"/>
              <w:right w:type="dxa" w:w="120"/>
            </w:tcMar>
          </w:tcPr>
          <w:p>
            <w:pPr>
              <w:spacing w:after="0" w:line="260"/>
            </w:pPr>
            <w:r>
              <w:rPr>
                <w:rFonts w:ascii="Arial" w:cs="Arial" w:eastAsia="Arial" w:hAnsi="Arial"/>
                <w:b/>
                <w:bCs/>
                <w:color w:val="FFFFFF"/>
                <w:sz w:val="19"/>
                <w:szCs w:val="19"/>
              </w:rPr>
              <w:t xml:space="preserve">Delivers</w:t>
            </w:r>
          </w:p>
        </w:tc>
      </w:tr>
      <w:tr>
        <w:tc>
          <w:tcPr>
            <w:tcW w:type="dxa" w:w="1600"/>
            <w:shd w:fill="FFFFFF"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1  ·  M1–6</w:t>
            </w:r>
          </w:p>
        </w:tc>
        <w:tc>
          <w:tcPr>
            <w:tcW w:type="dxa" w:w="7426"/>
            <w:shd w:fill="FFFFFF"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Private Limited registration and ESOP pool · founder and core payroll active · minimum buildable product feature-complete across all three engines · Number Guard live from day one · core team hired</w:t>
            </w:r>
          </w:p>
        </w:tc>
      </w:tr>
      <w:tr>
        <w:tc>
          <w:tcPr>
            <w:tcW w:type="dxa" w:w="1600"/>
            <w:shd w:fill="F2F5FA"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2  ·  M7–12</w:t>
            </w:r>
          </w:p>
        </w:tc>
        <w:tc>
          <w:tcPr>
            <w:tcW w:type="dxa" w:w="7426"/>
            <w:shd w:fill="F2F5FA"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Open beta live · SEBI-RIA application filed · legal and compliance consultant onboard · VAPT and data-security plan executed · Construction engine hardened</w:t>
            </w:r>
          </w:p>
        </w:tc>
      </w:tr>
      <w:tr>
        <w:tc>
          <w:tcPr>
            <w:tcW w:type="dxa" w:w="1600"/>
            <w:shd w:fill="FFFFFF"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3  ·  M13–18</w:t>
            </w:r>
          </w:p>
        </w:tc>
        <w:tc>
          <w:tcPr>
            <w:tcW w:type="dxa" w:w="7426"/>
            <w:shd w:fill="FFFFFF"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SEBI-RIA registration secured · paid conversion and repeat-use data validated · ML/AI and cybersecurity engineers onboard · Phase-1 roadmap (Gold, ETF) underway · growth channels, statutory audit and next-financing path prepared</w:t>
            </w:r>
          </w:p>
        </w:tc>
      </w:tr>
    </w:tbl>
    <w:p>
      <w:pPr>
        <w:pStyle w:val="Heading2"/>
        <w:keepNext/>
        <w:spacing w:after="120" w:before="320"/>
      </w:pPr>
      <w:r>
        <w:rPr>
          <w:rFonts w:ascii="Arial" w:cs="Arial" w:eastAsia="Arial" w:hAnsi="Arial"/>
          <w:b/>
          <w:bCs/>
          <w:color w:val="2F5FE0"/>
          <w:sz w:val="24"/>
          <w:szCs w:val="24"/>
        </w:rPr>
        <w:t xml:space="preserve">4.4  The burn curve (slide 16)</w:t>
      </w:r>
    </w:p>
    <w:tbl>
      <w:tblPr>
        <w:tblW w:type="dxa" w:w="9026"/>
        <w:tblBorders>
          <w:top w:val="single" w:color="DCE3F0" w:sz="4"/>
          <w:left w:val="single" w:color="DCE3F0" w:sz="4"/>
          <w:bottom w:val="single" w:color="DCE3F0" w:sz="4"/>
          <w:right w:val="single" w:color="DCE3F0" w:sz="4"/>
          <w:insideH w:val="single" w:color="DCE3F0" w:sz="4"/>
          <w:insideV w:val="single" w:color="DCE3F0" w:sz="4"/>
        </w:tblBorders>
      </w:tblPr>
      <w:tblGrid>
        <w:gridCol w:w="2600"/>
        <w:gridCol w:w="1500"/>
        <w:gridCol w:w="4926"/>
      </w:tblGrid>
      <w:tr>
        <w:trPr>
          <w:tblHeader/>
        </w:trPr>
        <w:tc>
          <w:tcPr>
            <w:tcW w:type="dxa" w:w="2600"/>
            <w:shd w:fill="0F1B33" w:color="auto" w:val="clear"/>
            <w:tcMar>
              <w:top w:type="dxa" w:w="90"/>
              <w:left w:type="dxa" w:w="120"/>
              <w:bottom w:type="dxa" w:w="90"/>
              <w:right w:type="dxa" w:w="120"/>
            </w:tcMar>
          </w:tcPr>
          <w:p>
            <w:pPr>
              <w:spacing w:after="0" w:line="260"/>
            </w:pPr>
            <w:r>
              <w:rPr>
                <w:rFonts w:ascii="Arial" w:cs="Arial" w:eastAsia="Arial" w:hAnsi="Arial"/>
                <w:b/>
                <w:bCs/>
                <w:color w:val="FFFFFF"/>
                <w:sz w:val="19"/>
                <w:szCs w:val="19"/>
              </w:rPr>
              <w:t xml:space="preserve">Figure</w:t>
            </w:r>
          </w:p>
        </w:tc>
        <w:tc>
          <w:tcPr>
            <w:tcW w:type="dxa" w:w="1500"/>
            <w:shd w:fill="0F1B33" w:color="auto" w:val="clear"/>
            <w:tcMar>
              <w:top w:type="dxa" w:w="90"/>
              <w:left w:type="dxa" w:w="120"/>
              <w:bottom w:type="dxa" w:w="90"/>
              <w:right w:type="dxa" w:w="120"/>
            </w:tcMar>
          </w:tcPr>
          <w:p>
            <w:pPr>
              <w:spacing w:after="0" w:line="260"/>
            </w:pPr>
            <w:r>
              <w:rPr>
                <w:rFonts w:ascii="Arial" w:cs="Arial" w:eastAsia="Arial" w:hAnsi="Arial"/>
                <w:b/>
                <w:bCs/>
                <w:color w:val="FFFFFF"/>
                <w:sz w:val="19"/>
                <w:szCs w:val="19"/>
              </w:rPr>
              <w:t xml:space="preserve">Value</w:t>
            </w:r>
          </w:p>
        </w:tc>
        <w:tc>
          <w:tcPr>
            <w:tcW w:type="dxa" w:w="4926"/>
            <w:shd w:fill="0F1B33" w:color="auto" w:val="clear"/>
            <w:tcMar>
              <w:top w:type="dxa" w:w="90"/>
              <w:left w:type="dxa" w:w="120"/>
              <w:bottom w:type="dxa" w:w="90"/>
              <w:right w:type="dxa" w:w="120"/>
            </w:tcMar>
          </w:tcPr>
          <w:p>
            <w:pPr>
              <w:spacing w:after="0" w:line="260"/>
            </w:pPr>
            <w:r>
              <w:rPr>
                <w:rFonts w:ascii="Arial" w:cs="Arial" w:eastAsia="Arial" w:hAnsi="Arial"/>
                <w:b/>
                <w:bCs/>
                <w:color w:val="FFFFFF"/>
                <w:sz w:val="19"/>
                <w:szCs w:val="19"/>
              </w:rPr>
              <w:t xml:space="preserve">What it means</w:t>
            </w:r>
          </w:p>
        </w:tc>
      </w:tr>
      <w:tr>
        <w:tc>
          <w:tcPr>
            <w:tcW w:type="dxa" w:w="2600"/>
            <w:shd w:fill="FFFFFF"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Month 1 burn</w:t>
            </w:r>
          </w:p>
        </w:tc>
        <w:tc>
          <w:tcPr>
            <w:tcW w:type="dxa" w:w="1500"/>
            <w:shd w:fill="FFFFFF"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₹27.6 L</w:t>
            </w:r>
          </w:p>
        </w:tc>
        <w:tc>
          <w:tcPr>
            <w:tcW w:type="dxa" w:w="4926"/>
            <w:shd w:fill="FFFFFF"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Before the team scales. This is the number an investor checks against the headcount plan.</w:t>
            </w:r>
          </w:p>
        </w:tc>
      </w:tr>
      <w:tr>
        <w:tc>
          <w:tcPr>
            <w:tcW w:type="dxa" w:w="2600"/>
            <w:shd w:fill="F2F5FA"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Average monthly burn</w:t>
            </w:r>
          </w:p>
        </w:tc>
        <w:tc>
          <w:tcPr>
            <w:tcW w:type="dxa" w:w="1500"/>
            <w:shd w:fill="F2F5FA"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₹61.97 L</w:t>
            </w:r>
          </w:p>
        </w:tc>
        <w:tc>
          <w:tcPr>
            <w:tcW w:type="dxa" w:w="4926"/>
            <w:shd w:fill="F2F5FA"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Across all 18 months.</w:t>
            </w:r>
          </w:p>
        </w:tc>
      </w:tr>
      <w:tr>
        <w:tc>
          <w:tcPr>
            <w:tcW w:type="dxa" w:w="2600"/>
            <w:shd w:fill="FFFFFF"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Peak monthly burn</w:t>
            </w:r>
          </w:p>
        </w:tc>
        <w:tc>
          <w:tcPr>
            <w:tcW w:type="dxa" w:w="1500"/>
            <w:shd w:fill="FFFFFF"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₹76.91 L</w:t>
            </w:r>
          </w:p>
        </w:tc>
        <w:tc>
          <w:tcPr>
            <w:tcW w:type="dxa" w:w="4926"/>
            <w:shd w:fill="FFFFFF"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Month 18, at full headcount.</w:t>
            </w:r>
          </w:p>
        </w:tc>
      </w:tr>
      <w:tr>
        <w:tc>
          <w:tcPr>
            <w:tcW w:type="dxa" w:w="2600"/>
            <w:shd w:fill="F2F5FA"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Total operating requirement</w:t>
            </w:r>
          </w:p>
        </w:tc>
        <w:tc>
          <w:tcPr>
            <w:tcW w:type="dxa" w:w="1500"/>
            <w:shd w:fill="F2F5FA"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₹11.10 Cr</w:t>
            </w:r>
          </w:p>
        </w:tc>
        <w:tc>
          <w:tcPr>
            <w:tcW w:type="dxa" w:w="4926"/>
            <w:shd w:fill="F2F5FA"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The sum of all 18 months — the first line of the ask.</w:t>
            </w:r>
          </w:p>
        </w:tc>
      </w:tr>
    </w:tbl>
    <w:p>
      <w:pPr>
        <w:spacing w:after="140" w:before="140" w:line="280"/>
      </w:pPr>
      <w:r>
        <w:rPr>
          <w:rFonts w:ascii="Calibri" w:cs="Calibri" w:eastAsia="Calibri" w:hAnsi="Calibri"/>
          <w:b/>
          <w:bCs/>
          <w:color w:val="0F1B33"/>
          <w:sz w:val="21"/>
          <w:szCs w:val="21"/>
        </w:rPr>
        <w:t xml:space="preserve">The point the chart makes: </w:t>
      </w:r>
      <w:r>
        <w:rPr>
          <w:rFonts w:ascii="Calibri" w:cs="Calibri" w:eastAsia="Calibri" w:hAnsi="Calibri"/>
          <w:color w:val="3A4657"/>
          <w:sz w:val="21"/>
          <w:szCs w:val="21"/>
        </w:rPr>
        <w:t xml:space="preserve">burn ramps with the build, not ahead of it. We do not hire the full team on day one and hope. Source: the Monthly Burn sheet of the Nxance Financial Sheet.</w:t>
      </w:r>
    </w:p>
    <w:p>
      <w:pPr>
        <w:pStyle w:val="Heading2"/>
        <w:keepNext/>
        <w:spacing w:after="120" w:before="320"/>
      </w:pPr>
      <w:r>
        <w:rPr>
          <w:rFonts w:ascii="Arial" w:cs="Arial" w:eastAsia="Arial" w:hAnsi="Arial"/>
          <w:b/>
          <w:bCs/>
          <w:color w:val="2F5FE0"/>
          <w:sz w:val="24"/>
          <w:szCs w:val="24"/>
        </w:rPr>
        <w:t xml:space="preserve">4.5  Where the money goes (slide 15)</w:t>
      </w:r>
    </w:p>
    <w:tbl>
      <w:tblPr>
        <w:tblW w:type="dxa" w:w="9026"/>
        <w:tblBorders>
          <w:top w:val="single" w:color="DCE3F0" w:sz="4"/>
          <w:left w:val="single" w:color="DCE3F0" w:sz="4"/>
          <w:bottom w:val="single" w:color="DCE3F0" w:sz="4"/>
          <w:right w:val="single" w:color="DCE3F0" w:sz="4"/>
          <w:insideH w:val="single" w:color="DCE3F0" w:sz="4"/>
          <w:insideV w:val="single" w:color="DCE3F0" w:sz="4"/>
        </w:tblBorders>
      </w:tblPr>
      <w:tblGrid>
        <w:gridCol w:w="4626"/>
        <w:gridCol w:w="2200"/>
        <w:gridCol w:w="2200"/>
      </w:tblGrid>
      <w:tr>
        <w:trPr>
          <w:tblHeader/>
        </w:trPr>
        <w:tc>
          <w:tcPr>
            <w:tcW w:type="dxa" w:w="4626"/>
            <w:shd w:fill="0F1B33" w:color="auto" w:val="clear"/>
            <w:tcMar>
              <w:top w:type="dxa" w:w="90"/>
              <w:left w:type="dxa" w:w="120"/>
              <w:bottom w:type="dxa" w:w="90"/>
              <w:right w:type="dxa" w:w="120"/>
            </w:tcMar>
          </w:tcPr>
          <w:p>
            <w:pPr>
              <w:spacing w:after="0" w:line="260"/>
            </w:pPr>
            <w:r>
              <w:rPr>
                <w:rFonts w:ascii="Arial" w:cs="Arial" w:eastAsia="Arial" w:hAnsi="Arial"/>
                <w:b/>
                <w:bCs/>
                <w:color w:val="FFFFFF"/>
                <w:sz w:val="19"/>
                <w:szCs w:val="19"/>
              </w:rPr>
              <w:t xml:space="preserve">Category</w:t>
            </w:r>
          </w:p>
        </w:tc>
        <w:tc>
          <w:tcPr>
            <w:tcW w:type="dxa" w:w="2200"/>
            <w:shd w:fill="0F1B33" w:color="auto" w:val="clear"/>
            <w:tcMar>
              <w:top w:type="dxa" w:w="90"/>
              <w:left w:type="dxa" w:w="120"/>
              <w:bottom w:type="dxa" w:w="90"/>
              <w:right w:type="dxa" w:w="120"/>
            </w:tcMar>
          </w:tcPr>
          <w:p>
            <w:pPr>
              <w:spacing w:after="0" w:line="260"/>
            </w:pPr>
            <w:r>
              <w:rPr>
                <w:rFonts w:ascii="Arial" w:cs="Arial" w:eastAsia="Arial" w:hAnsi="Arial"/>
                <w:b/>
                <w:bCs/>
                <w:color w:val="FFFFFF"/>
                <w:sz w:val="19"/>
                <w:szCs w:val="19"/>
              </w:rPr>
              <w:t xml:space="preserve">Share</w:t>
            </w:r>
          </w:p>
        </w:tc>
        <w:tc>
          <w:tcPr>
            <w:tcW w:type="dxa" w:w="2200"/>
            <w:shd w:fill="0F1B33" w:color="auto" w:val="clear"/>
            <w:tcMar>
              <w:top w:type="dxa" w:w="90"/>
              <w:left w:type="dxa" w:w="120"/>
              <w:bottom w:type="dxa" w:w="90"/>
              <w:right w:type="dxa" w:w="120"/>
            </w:tcMar>
          </w:tcPr>
          <w:p>
            <w:pPr>
              <w:spacing w:after="0" w:line="260"/>
            </w:pPr>
            <w:r>
              <w:rPr>
                <w:rFonts w:ascii="Arial" w:cs="Arial" w:eastAsia="Arial" w:hAnsi="Arial"/>
                <w:b/>
                <w:bCs/>
                <w:color w:val="FFFFFF"/>
                <w:sz w:val="19"/>
                <w:szCs w:val="19"/>
              </w:rPr>
              <w:t xml:space="preserve">Amount</w:t>
            </w:r>
          </w:p>
        </w:tc>
      </w:tr>
      <w:tr>
        <w:tc>
          <w:tcPr>
            <w:tcW w:type="dxa" w:w="4626"/>
            <w:shd w:fill="FFFFFF" w:color="auto" w:val="clear"/>
            <w:tcMar>
              <w:top w:type="dxa" w:w="80"/>
              <w:left w:type="dxa" w:w="120"/>
              <w:bottom w:type="dxa" w:w="80"/>
              <w:right w:type="dxa" w:w="120"/>
            </w:tcMar>
          </w:tcPr>
          <w:p>
            <w:pPr>
              <w:spacing w:after="0" w:before="0" w:line="260"/>
            </w:pPr>
            <w:r>
              <w:rPr>
                <w:rFonts w:ascii="Calibri" w:cs="Calibri" w:eastAsia="Calibri" w:hAnsi="Calibri"/>
                <w:b/>
                <w:bCs/>
                <w:color w:val="0F1B33"/>
                <w:sz w:val="21"/>
                <w:szCs w:val="21"/>
              </w:rPr>
              <w:t xml:space="preserve">Building and growing</w:t>
            </w:r>
          </w:p>
        </w:tc>
        <w:tc>
          <w:tcPr>
            <w:tcW w:type="dxa" w:w="2200"/>
            <w:shd w:fill="FFFFFF" w:color="auto" w:val="clear"/>
            <w:tcMar>
              <w:top w:type="dxa" w:w="80"/>
              <w:left w:type="dxa" w:w="120"/>
              <w:bottom w:type="dxa" w:w="80"/>
              <w:right w:type="dxa" w:w="120"/>
            </w:tcMar>
          </w:tcPr>
          <w:p>
            <w:pPr>
              <w:spacing w:after="0" w:before="0" w:line="260"/>
            </w:pPr>
            <w:r>
              <w:rPr>
                <w:rFonts w:ascii="Calibri" w:cs="Calibri" w:eastAsia="Calibri" w:hAnsi="Calibri"/>
                <w:b/>
                <w:bCs/>
                <w:color w:val="0F1B33"/>
                <w:sz w:val="21"/>
                <w:szCs w:val="21"/>
              </w:rPr>
              <w:t xml:space="preserve">72.6%</w:t>
            </w:r>
          </w:p>
        </w:tc>
        <w:tc>
          <w:tcPr>
            <w:tcW w:type="dxa" w:w="2200"/>
            <w:shd w:fill="FFFFFF" w:color="auto" w:val="clear"/>
            <w:tcMar>
              <w:top w:type="dxa" w:w="80"/>
              <w:left w:type="dxa" w:w="120"/>
              <w:bottom w:type="dxa" w:w="80"/>
              <w:right w:type="dxa" w:w="120"/>
            </w:tcMar>
          </w:tcPr>
          <w:p>
            <w:pPr>
              <w:spacing w:after="0" w:before="0" w:line="260"/>
            </w:pPr>
            <w:r>
              <w:rPr>
                <w:rFonts w:ascii="Calibri" w:cs="Calibri" w:eastAsia="Calibri" w:hAnsi="Calibri"/>
                <w:b/>
                <w:bCs/>
                <w:color w:val="0F1B33"/>
                <w:sz w:val="21"/>
                <w:szCs w:val="21"/>
              </w:rPr>
              <w:t xml:space="preserve">₹9.06 Cr</w:t>
            </w:r>
          </w:p>
        </w:tc>
      </w:tr>
      <w:tr>
        <w:tc>
          <w:tcPr>
            <w:tcW w:type="dxa" w:w="4626"/>
            <w:shd w:fill="F2F5FA"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      Technology &amp; AI</w:t>
            </w:r>
          </w:p>
        </w:tc>
        <w:tc>
          <w:tcPr>
            <w:tcW w:type="dxa" w:w="2200"/>
            <w:shd w:fill="F2F5FA"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27.7%</w:t>
            </w:r>
          </w:p>
        </w:tc>
        <w:tc>
          <w:tcPr>
            <w:tcW w:type="dxa" w:w="2200"/>
            <w:shd w:fill="F2F5FA"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₹3.45 Cr</w:t>
            </w:r>
          </w:p>
        </w:tc>
      </w:tr>
      <w:tr>
        <w:tc>
          <w:tcPr>
            <w:tcW w:type="dxa" w:w="4626"/>
            <w:shd w:fill="FFFFFF"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      Investment &amp; research</w:t>
            </w:r>
          </w:p>
        </w:tc>
        <w:tc>
          <w:tcPr>
            <w:tcW w:type="dxa" w:w="2200"/>
            <w:shd w:fill="FFFFFF"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23.6%</w:t>
            </w:r>
          </w:p>
        </w:tc>
        <w:tc>
          <w:tcPr>
            <w:tcW w:type="dxa" w:w="2200"/>
            <w:shd w:fill="FFFFFF"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₹2.95 Cr</w:t>
            </w:r>
          </w:p>
        </w:tc>
      </w:tr>
      <w:tr>
        <w:tc>
          <w:tcPr>
            <w:tcW w:type="dxa" w:w="4626"/>
            <w:shd w:fill="F2F5FA"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      Marketing &amp; brand</w:t>
            </w:r>
          </w:p>
        </w:tc>
        <w:tc>
          <w:tcPr>
            <w:tcW w:type="dxa" w:w="2200"/>
            <w:shd w:fill="F2F5FA"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17.1%</w:t>
            </w:r>
          </w:p>
        </w:tc>
        <w:tc>
          <w:tcPr>
            <w:tcW w:type="dxa" w:w="2200"/>
            <w:shd w:fill="F2F5FA"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₹2.14 Cr</w:t>
            </w:r>
          </w:p>
        </w:tc>
      </w:tr>
      <w:tr>
        <w:tc>
          <w:tcPr>
            <w:tcW w:type="dxa" w:w="4626"/>
            <w:shd w:fill="FFFFFF"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      Sales &amp; support</w:t>
            </w:r>
          </w:p>
        </w:tc>
        <w:tc>
          <w:tcPr>
            <w:tcW w:type="dxa" w:w="2200"/>
            <w:shd w:fill="FFFFFF"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4.2%</w:t>
            </w:r>
          </w:p>
        </w:tc>
        <w:tc>
          <w:tcPr>
            <w:tcW w:type="dxa" w:w="2200"/>
            <w:shd w:fill="FFFFFF"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₹0.52 Cr</w:t>
            </w:r>
          </w:p>
        </w:tc>
      </w:tr>
      <w:tr>
        <w:tc>
          <w:tcPr>
            <w:tcW w:type="dxa" w:w="4626"/>
            <w:shd w:fill="F2F5FA" w:color="auto" w:val="clear"/>
            <w:tcMar>
              <w:top w:type="dxa" w:w="80"/>
              <w:left w:type="dxa" w:w="120"/>
              <w:bottom w:type="dxa" w:w="80"/>
              <w:right w:type="dxa" w:w="120"/>
            </w:tcMar>
          </w:tcPr>
          <w:p>
            <w:pPr>
              <w:spacing w:after="0" w:before="0" w:line="260"/>
            </w:pPr>
            <w:r>
              <w:rPr>
                <w:rFonts w:ascii="Calibri" w:cs="Calibri" w:eastAsia="Calibri" w:hAnsi="Calibri"/>
                <w:b/>
                <w:bCs/>
                <w:color w:val="0F1B33"/>
                <w:sz w:val="21"/>
                <w:szCs w:val="21"/>
              </w:rPr>
              <w:t xml:space="preserve">Running and protecting</w:t>
            </w:r>
          </w:p>
        </w:tc>
        <w:tc>
          <w:tcPr>
            <w:tcW w:type="dxa" w:w="2200"/>
            <w:shd w:fill="F2F5FA" w:color="auto" w:val="clear"/>
            <w:tcMar>
              <w:top w:type="dxa" w:w="80"/>
              <w:left w:type="dxa" w:w="120"/>
              <w:bottom w:type="dxa" w:w="80"/>
              <w:right w:type="dxa" w:w="120"/>
            </w:tcMar>
          </w:tcPr>
          <w:p>
            <w:pPr>
              <w:spacing w:after="0" w:before="0" w:line="260"/>
            </w:pPr>
            <w:r>
              <w:rPr>
                <w:rFonts w:ascii="Calibri" w:cs="Calibri" w:eastAsia="Calibri" w:hAnsi="Calibri"/>
                <w:b/>
                <w:bCs/>
                <w:color w:val="0F1B33"/>
                <w:sz w:val="21"/>
                <w:szCs w:val="21"/>
              </w:rPr>
              <w:t xml:space="preserve">27.4%</w:t>
            </w:r>
          </w:p>
        </w:tc>
        <w:tc>
          <w:tcPr>
            <w:tcW w:type="dxa" w:w="2200"/>
            <w:shd w:fill="F2F5FA" w:color="auto" w:val="clear"/>
            <w:tcMar>
              <w:top w:type="dxa" w:w="80"/>
              <w:left w:type="dxa" w:w="120"/>
              <w:bottom w:type="dxa" w:w="80"/>
              <w:right w:type="dxa" w:w="120"/>
            </w:tcMar>
          </w:tcPr>
          <w:p>
            <w:pPr>
              <w:spacing w:after="0" w:before="0" w:line="260"/>
            </w:pPr>
            <w:r>
              <w:rPr>
                <w:rFonts w:ascii="Calibri" w:cs="Calibri" w:eastAsia="Calibri" w:hAnsi="Calibri"/>
                <w:b/>
                <w:bCs/>
                <w:color w:val="0F1B33"/>
                <w:sz w:val="21"/>
                <w:szCs w:val="21"/>
              </w:rPr>
              <w:t xml:space="preserve">₹3.41 Cr</w:t>
            </w:r>
          </w:p>
        </w:tc>
      </w:tr>
      <w:tr>
        <w:tc>
          <w:tcPr>
            <w:tcW w:type="dxa" w:w="4626"/>
            <w:shd w:fill="FFFFFF"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      Founder draws</w:t>
            </w:r>
          </w:p>
        </w:tc>
        <w:tc>
          <w:tcPr>
            <w:tcW w:type="dxa" w:w="2200"/>
            <w:shd w:fill="FFFFFF"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7.6%</w:t>
            </w:r>
          </w:p>
        </w:tc>
        <w:tc>
          <w:tcPr>
            <w:tcW w:type="dxa" w:w="2200"/>
            <w:shd w:fill="FFFFFF"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₹0.95 Cr</w:t>
            </w:r>
          </w:p>
        </w:tc>
      </w:tr>
      <w:tr>
        <w:tc>
          <w:tcPr>
            <w:tcW w:type="dxa" w:w="4626"/>
            <w:shd w:fill="F2F5FA"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      Organisation &amp; office</w:t>
            </w:r>
          </w:p>
        </w:tc>
        <w:tc>
          <w:tcPr>
            <w:tcW w:type="dxa" w:w="2200"/>
            <w:shd w:fill="F2F5FA"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6.1%</w:t>
            </w:r>
          </w:p>
        </w:tc>
        <w:tc>
          <w:tcPr>
            <w:tcW w:type="dxa" w:w="2200"/>
            <w:shd w:fill="F2F5FA"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₹0.76 Cr</w:t>
            </w:r>
          </w:p>
        </w:tc>
      </w:tr>
      <w:tr>
        <w:tc>
          <w:tcPr>
            <w:tcW w:type="dxa" w:w="4626"/>
            <w:shd w:fill="FFFFFF"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      Compliance &amp; insurance</w:t>
            </w:r>
          </w:p>
        </w:tc>
        <w:tc>
          <w:tcPr>
            <w:tcW w:type="dxa" w:w="2200"/>
            <w:shd w:fill="FFFFFF"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3.0%</w:t>
            </w:r>
          </w:p>
        </w:tc>
        <w:tc>
          <w:tcPr>
            <w:tcW w:type="dxa" w:w="2200"/>
            <w:shd w:fill="FFFFFF"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₹0.37 Cr</w:t>
            </w:r>
          </w:p>
        </w:tc>
      </w:tr>
      <w:tr>
        <w:tc>
          <w:tcPr>
            <w:tcW w:type="dxa" w:w="4626"/>
            <w:shd w:fill="F2F5FA"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      Contingency reserve</w:t>
            </w:r>
          </w:p>
        </w:tc>
        <w:tc>
          <w:tcPr>
            <w:tcW w:type="dxa" w:w="2200"/>
            <w:shd w:fill="F2F5FA"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10.7%</w:t>
            </w:r>
          </w:p>
        </w:tc>
        <w:tc>
          <w:tcPr>
            <w:tcW w:type="dxa" w:w="2200"/>
            <w:shd w:fill="F2F5FA"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₹1.33 Cr</w:t>
            </w:r>
          </w:p>
        </w:tc>
      </w:tr>
    </w:tbl>
    <w:p>
      <w:pPr>
        <w:spacing w:after="140" w:before="140" w:line="280"/>
      </w:pPr>
      <w:r>
        <w:rPr>
          <w:rFonts w:ascii="Calibri" w:cs="Calibri" w:eastAsia="Calibri" w:hAnsi="Calibri"/>
          <w:b/>
          <w:bCs/>
          <w:color w:val="0F1B33"/>
          <w:sz w:val="21"/>
          <w:szCs w:val="21"/>
        </w:rPr>
        <w:t xml:space="preserve">Two things to be ready for. </w:t>
      </w:r>
      <w:r>
        <w:rPr>
          <w:rFonts w:ascii="Calibri" w:cs="Calibri" w:eastAsia="Calibri" w:hAnsi="Calibri"/>
          <w:color w:val="3A4657"/>
          <w:sz w:val="21"/>
          <w:szCs w:val="21"/>
        </w:rPr>
        <w:t xml:space="preserve">First, 51.3% of the round goes into technology plus investment and research — that is the answer to "how much of this is actually product?". Second, founder draws are 7.6%, which is low, and worth saying out loud rather than waiting to be asked.</w:t>
      </w:r>
    </w:p>
    <w:p>
      <w:pPr>
        <w:pStyle w:val="Heading2"/>
        <w:keepNext/>
        <w:spacing w:after="120" w:before="320"/>
      </w:pPr>
      <w:r>
        <w:rPr>
          <w:rFonts w:ascii="Arial" w:cs="Arial" w:eastAsia="Arial" w:hAnsi="Arial"/>
          <w:b/>
          <w:bCs/>
          <w:color w:val="2F5FE0"/>
          <w:sz w:val="24"/>
          <w:szCs w:val="24"/>
        </w:rPr>
        <w:t xml:space="preserve">4.6  Revenue during the 18 months</w:t>
      </w:r>
    </w:p>
    <w:p>
      <w:pPr>
        <w:spacing w:after="140" w:before="0" w:line="280"/>
      </w:pPr>
      <w:r>
        <w:rPr>
          <w:rFonts w:ascii="Calibri" w:cs="Calibri" w:eastAsia="Calibri" w:hAnsi="Calibri"/>
          <w:color w:val="3A4657"/>
          <w:sz w:val="21"/>
          <w:szCs w:val="21"/>
        </w:rPr>
        <w:t xml:space="preserve">The model projects 75 → 600 → 2,200 subscribers over the 18 months, collecting ₹76.05 lakh. </w:t>
      </w:r>
      <w:r>
        <w:rPr>
          <w:rFonts w:ascii="Calibri" w:cs="Calibri" w:eastAsia="Calibri" w:hAnsi="Calibri"/>
          <w:b/>
          <w:bCs/>
          <w:color w:val="0F1B33"/>
          <w:sz w:val="21"/>
          <w:szCs w:val="21"/>
        </w:rPr>
        <w:t xml:space="preserve">This is shown as upside and is not netted off the ask.</w:t>
      </w:r>
      <w:r>
        <w:rPr>
          <w:rFonts w:ascii="Calibri" w:cs="Calibri" w:eastAsia="Calibri" w:hAnsi="Calibri"/>
          <w:color w:val="3A4657"/>
          <w:sz w:val="21"/>
          <w:szCs w:val="21"/>
        </w:rPr>
        <w:t xml:space="preserve"> If an investor asks why not, the answer is that we would rather be funded to reach the milestones without depending on early revenue arriving on schedule. If it arrives, it extends runway.</w:t>
      </w:r>
    </w:p>
    <w:p>
      <w:pPr>
        <w:pStyle w:val="Heading2"/>
        <w:keepNext/>
        <w:spacing w:after="120" w:before="320"/>
      </w:pPr>
      <w:r>
        <w:rPr>
          <w:rFonts w:ascii="Arial" w:cs="Arial" w:eastAsia="Arial" w:hAnsi="Arial"/>
          <w:b/>
          <w:bCs/>
          <w:color w:val="2F5FE0"/>
          <w:sz w:val="24"/>
          <w:szCs w:val="24"/>
        </w:rPr>
        <w:t xml:space="preserve">4.7  The people numbers (slide 14)</w:t>
      </w:r>
    </w:p>
    <w:tbl>
      <w:tblPr>
        <w:tblW w:type="dxa" w:w="9026"/>
        <w:tblBorders>
          <w:top w:val="single" w:color="DCE3F0" w:sz="4"/>
          <w:left w:val="single" w:color="DCE3F0" w:sz="4"/>
          <w:bottom w:val="single" w:color="DCE3F0" w:sz="4"/>
          <w:right w:val="single" w:color="DCE3F0" w:sz="4"/>
          <w:insideH w:val="single" w:color="DCE3F0" w:sz="4"/>
          <w:insideV w:val="single" w:color="DCE3F0" w:sz="4"/>
        </w:tblBorders>
      </w:tblPr>
      <w:tblGrid>
        <w:gridCol w:w="4100"/>
        <w:gridCol w:w="1600"/>
        <w:gridCol w:w="3326"/>
      </w:tblGrid>
      <w:tr>
        <w:trPr>
          <w:tblHeader/>
        </w:trPr>
        <w:tc>
          <w:tcPr>
            <w:tcW w:type="dxa" w:w="4100"/>
            <w:shd w:fill="0F1B33" w:color="auto" w:val="clear"/>
            <w:tcMar>
              <w:top w:type="dxa" w:w="90"/>
              <w:left w:type="dxa" w:w="120"/>
              <w:bottom w:type="dxa" w:w="90"/>
              <w:right w:type="dxa" w:w="120"/>
            </w:tcMar>
          </w:tcPr>
          <w:p>
            <w:pPr>
              <w:spacing w:after="0" w:line="260"/>
            </w:pPr>
            <w:r>
              <w:rPr>
                <w:rFonts w:ascii="Arial" w:cs="Arial" w:eastAsia="Arial" w:hAnsi="Arial"/>
                <w:b/>
                <w:bCs/>
                <w:color w:val="FFFFFF"/>
                <w:sz w:val="19"/>
                <w:szCs w:val="19"/>
              </w:rPr>
              <w:t xml:space="preserve">Figure</w:t>
            </w:r>
          </w:p>
        </w:tc>
        <w:tc>
          <w:tcPr>
            <w:tcW w:type="dxa" w:w="1600"/>
            <w:shd w:fill="0F1B33" w:color="auto" w:val="clear"/>
            <w:tcMar>
              <w:top w:type="dxa" w:w="90"/>
              <w:left w:type="dxa" w:w="120"/>
              <w:bottom w:type="dxa" w:w="90"/>
              <w:right w:type="dxa" w:w="120"/>
            </w:tcMar>
          </w:tcPr>
          <w:p>
            <w:pPr>
              <w:spacing w:after="0" w:line="260"/>
            </w:pPr>
            <w:r>
              <w:rPr>
                <w:rFonts w:ascii="Arial" w:cs="Arial" w:eastAsia="Arial" w:hAnsi="Arial"/>
                <w:b/>
                <w:bCs/>
                <w:color w:val="FFFFFF"/>
                <w:sz w:val="19"/>
                <w:szCs w:val="19"/>
              </w:rPr>
              <w:t xml:space="preserve">Value</w:t>
            </w:r>
          </w:p>
        </w:tc>
        <w:tc>
          <w:tcPr>
            <w:tcW w:type="dxa" w:w="3326"/>
            <w:shd w:fill="0F1B33" w:color="auto" w:val="clear"/>
            <w:tcMar>
              <w:top w:type="dxa" w:w="90"/>
              <w:left w:type="dxa" w:w="120"/>
              <w:bottom w:type="dxa" w:w="90"/>
              <w:right w:type="dxa" w:w="120"/>
            </w:tcMar>
          </w:tcPr>
          <w:p>
            <w:pPr>
              <w:spacing w:after="0" w:line="260"/>
            </w:pPr>
            <w:r>
              <w:rPr>
                <w:rFonts w:ascii="Arial" w:cs="Arial" w:eastAsia="Arial" w:hAnsi="Arial"/>
                <w:b/>
                <w:bCs/>
                <w:color w:val="FFFFFF"/>
                <w:sz w:val="19"/>
                <w:szCs w:val="19"/>
              </w:rPr>
              <w:t xml:space="preserve">Source</w:t>
            </w:r>
          </w:p>
        </w:tc>
      </w:tr>
      <w:tr>
        <w:tc>
          <w:tcPr>
            <w:tcW w:type="dxa" w:w="4100"/>
            <w:shd w:fill="FFFFFF"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Exit headcount</w:t>
            </w:r>
          </w:p>
        </w:tc>
        <w:tc>
          <w:tcPr>
            <w:tcW w:type="dxa" w:w="1600"/>
            <w:shd w:fill="FFFFFF"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40 people</w:t>
            </w:r>
          </w:p>
        </w:tc>
        <w:tc>
          <w:tcPr>
            <w:tcW w:type="dxa" w:w="3326"/>
            <w:shd w:fill="FFFFFF"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Hiring plan in the financial model</w:t>
            </w:r>
          </w:p>
        </w:tc>
      </w:tr>
      <w:tr>
        <w:tc>
          <w:tcPr>
            <w:tcW w:type="dxa" w:w="4100"/>
            <w:shd w:fill="F2F5FA"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Costed hiring lines in the budget</w:t>
            </w:r>
          </w:p>
        </w:tc>
        <w:tc>
          <w:tcPr>
            <w:tcW w:type="dxa" w:w="1600"/>
            <w:shd w:fill="F2F5FA"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25</w:t>
            </w:r>
          </w:p>
        </w:tc>
        <w:tc>
          <w:tcPr>
            <w:tcW w:type="dxa" w:w="3326"/>
            <w:shd w:fill="F2F5FA"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Named roles with salaries, not a headcount allowance</w:t>
            </w:r>
          </w:p>
        </w:tc>
      </w:tr>
      <w:tr>
        <w:tc>
          <w:tcPr>
            <w:tcW w:type="dxa" w:w="4100"/>
            <w:shd w:fill="FFFFFF"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Budgeted people cost, 18 months</w:t>
            </w:r>
          </w:p>
        </w:tc>
        <w:tc>
          <w:tcPr>
            <w:tcW w:type="dxa" w:w="1600"/>
            <w:shd w:fill="FFFFFF"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₹5.83 Cr</w:t>
            </w:r>
          </w:p>
        </w:tc>
        <w:tc>
          <w:tcPr>
            <w:tcW w:type="dxa" w:w="3326"/>
            <w:shd w:fill="FFFFFF"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Personnel lines of the financial model</w:t>
            </w:r>
          </w:p>
        </w:tc>
      </w:tr>
      <w:tr>
        <w:tc>
          <w:tcPr>
            <w:tcW w:type="dxa" w:w="4100"/>
            <w:shd w:fill="F2F5FA"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Share of that pool in investment and research</w:t>
            </w:r>
          </w:p>
        </w:tc>
        <w:tc>
          <w:tcPr>
            <w:tcW w:type="dxa" w:w="1600"/>
            <w:shd w:fill="F2F5FA"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43%</w:t>
            </w:r>
          </w:p>
        </w:tc>
        <w:tc>
          <w:tcPr>
            <w:tcW w:type="dxa" w:w="3326"/>
            <w:shd w:fill="F2F5FA"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Derived from the same lines</w:t>
            </w:r>
          </w:p>
        </w:tc>
      </w:tr>
    </w:tbl>
    <w:p>
      <w:r>
        <w:br w:type="page"/>
      </w:r>
    </w:p>
    <w:p>
      <w:pPr>
        <w:pStyle w:val="Heading1"/>
        <w:keepNext/>
        <w:pBdr>
          <w:bottom w:val="single" w:color="2F5FE0" w:sz="12" w:space="6"/>
        </w:pBdr>
        <w:spacing w:after="180" w:before="420"/>
      </w:pPr>
      <w:r>
        <w:rPr>
          <w:rFonts w:ascii="Arial" w:cs="Arial" w:eastAsia="Arial" w:hAnsi="Arial"/>
          <w:b/>
          <w:bCs/>
          <w:color w:val="0F1B33"/>
          <w:sz w:val="30"/>
          <w:szCs w:val="30"/>
        </w:rPr>
        <w:t xml:space="preserve">5.  Problem, why-now and traction figures</w:t>
      </w:r>
    </w:p>
    <w:p>
      <w:pPr>
        <w:pStyle w:val="Heading2"/>
        <w:keepNext/>
        <w:spacing w:after="120" w:before="320"/>
      </w:pPr>
      <w:r>
        <w:rPr>
          <w:rFonts w:ascii="Arial" w:cs="Arial" w:eastAsia="Arial" w:hAnsi="Arial"/>
          <w:b/>
          <w:bCs/>
          <w:color w:val="2F5FE0"/>
          <w:sz w:val="24"/>
          <w:szCs w:val="24"/>
        </w:rPr>
        <w:t xml:space="preserve">5.1  The problem slide (slide 2)</w:t>
      </w:r>
    </w:p>
    <w:tbl>
      <w:tblPr>
        <w:tblW w:type="dxa" w:w="9026"/>
        <w:tblBorders>
          <w:top w:val="single" w:color="DCE3F0" w:sz="4"/>
          <w:left w:val="single" w:color="DCE3F0" w:sz="4"/>
          <w:bottom w:val="single" w:color="DCE3F0" w:sz="4"/>
          <w:right w:val="single" w:color="DCE3F0" w:sz="4"/>
          <w:insideH w:val="single" w:color="DCE3F0" w:sz="4"/>
          <w:insideV w:val="single" w:color="DCE3F0" w:sz="4"/>
        </w:tblBorders>
      </w:tblPr>
      <w:tblGrid>
        <w:gridCol w:w="2400"/>
        <w:gridCol w:w="4100"/>
        <w:gridCol w:w="2526"/>
      </w:tblGrid>
      <w:tr>
        <w:trPr>
          <w:tblHeader/>
        </w:trPr>
        <w:tc>
          <w:tcPr>
            <w:tcW w:type="dxa" w:w="2400"/>
            <w:shd w:fill="0F1B33" w:color="auto" w:val="clear"/>
            <w:tcMar>
              <w:top w:type="dxa" w:w="90"/>
              <w:left w:type="dxa" w:w="120"/>
              <w:bottom w:type="dxa" w:w="90"/>
              <w:right w:type="dxa" w:w="120"/>
            </w:tcMar>
          </w:tcPr>
          <w:p>
            <w:pPr>
              <w:spacing w:after="0" w:line="260"/>
            </w:pPr>
            <w:r>
              <w:rPr>
                <w:rFonts w:ascii="Arial" w:cs="Arial" w:eastAsia="Arial" w:hAnsi="Arial"/>
                <w:b/>
                <w:bCs/>
                <w:color w:val="FFFFFF"/>
                <w:sz w:val="19"/>
                <w:szCs w:val="19"/>
              </w:rPr>
              <w:t xml:space="preserve">Figure</w:t>
            </w:r>
          </w:p>
        </w:tc>
        <w:tc>
          <w:tcPr>
            <w:tcW w:type="dxa" w:w="4100"/>
            <w:shd w:fill="0F1B33" w:color="auto" w:val="clear"/>
            <w:tcMar>
              <w:top w:type="dxa" w:w="90"/>
              <w:left w:type="dxa" w:w="120"/>
              <w:bottom w:type="dxa" w:w="90"/>
              <w:right w:type="dxa" w:w="120"/>
            </w:tcMar>
          </w:tcPr>
          <w:p>
            <w:pPr>
              <w:spacing w:after="0" w:line="260"/>
            </w:pPr>
            <w:r>
              <w:rPr>
                <w:rFonts w:ascii="Arial" w:cs="Arial" w:eastAsia="Arial" w:hAnsi="Arial"/>
                <w:b/>
                <w:bCs/>
                <w:color w:val="FFFFFF"/>
                <w:sz w:val="19"/>
                <w:szCs w:val="19"/>
              </w:rPr>
              <w:t xml:space="preserve">Exactly what it counts</w:t>
            </w:r>
          </w:p>
        </w:tc>
        <w:tc>
          <w:tcPr>
            <w:tcW w:type="dxa" w:w="2526"/>
            <w:shd w:fill="0F1B33" w:color="auto" w:val="clear"/>
            <w:tcMar>
              <w:top w:type="dxa" w:w="90"/>
              <w:left w:type="dxa" w:w="120"/>
              <w:bottom w:type="dxa" w:w="90"/>
              <w:right w:type="dxa" w:w="120"/>
            </w:tcMar>
          </w:tcPr>
          <w:p>
            <w:pPr>
              <w:spacing w:after="0" w:line="260"/>
            </w:pPr>
            <w:r>
              <w:rPr>
                <w:rFonts w:ascii="Arial" w:cs="Arial" w:eastAsia="Arial" w:hAnsi="Arial"/>
                <w:b/>
                <w:bCs/>
                <w:color w:val="FFFFFF"/>
                <w:sz w:val="19"/>
                <w:szCs w:val="19"/>
              </w:rPr>
              <w:t xml:space="preserve">Source</w:t>
            </w:r>
          </w:p>
        </w:tc>
      </w:tr>
      <w:tr>
        <w:tc>
          <w:tcPr>
            <w:tcW w:type="dxa" w:w="2400"/>
            <w:shd w:fill="FFFFFF" w:color="auto" w:val="clear"/>
            <w:tcMar>
              <w:top w:type="dxa" w:w="80"/>
              <w:left w:type="dxa" w:w="120"/>
              <w:bottom w:type="dxa" w:w="80"/>
              <w:right w:type="dxa" w:w="120"/>
            </w:tcMar>
          </w:tcPr>
          <w:p>
            <w:pPr>
              <w:spacing w:after="0" w:before="0" w:line="260"/>
            </w:pPr>
            <w:r>
              <w:rPr>
                <w:rFonts w:ascii="Calibri" w:cs="Calibri" w:eastAsia="Calibri" w:hAnsi="Calibri"/>
                <w:b/>
                <w:bCs/>
                <w:color w:val="0F1B33"/>
                <w:sz w:val="21"/>
                <w:szCs w:val="21"/>
              </w:rPr>
              <w:t xml:space="preserve">21.6 crore demat accounts</w:t>
            </w:r>
          </w:p>
        </w:tc>
        <w:tc>
          <w:tcPr>
            <w:tcW w:type="dxa" w:w="4100"/>
            <w:shd w:fill="FFFFFF"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Accounts, not people. NSE reports about 26 crore accounts and </w:t>
            </w:r>
            <w:r>
              <w:rPr>
                <w:rFonts w:ascii="Calibri" w:cs="Calibri" w:eastAsia="Calibri" w:hAnsi="Calibri"/>
                <w:b/>
                <w:bCs/>
                <w:color w:val="0F1B33"/>
                <w:sz w:val="21"/>
                <w:szCs w:val="21"/>
              </w:rPr>
              <w:t xml:space="preserve">13.1 crore unique investors</w:t>
            </w:r>
            <w:r>
              <w:rPr>
                <w:rFonts w:ascii="Calibri" w:cs="Calibri" w:eastAsia="Calibri" w:hAnsi="Calibri"/>
                <w:color w:val="3A4657"/>
                <w:sz w:val="21"/>
                <w:szCs w:val="21"/>
              </w:rPr>
              <w:t xml:space="preserve">. Never say "21.6 crore investors" — it is the easiest factual slip in the deck to be caught on.</w:t>
            </w:r>
          </w:p>
        </w:tc>
        <w:tc>
          <w:tcPr>
            <w:tcW w:type="dxa" w:w="2526"/>
            <w:shd w:fill="FFFFFF"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SEBI Depository Statistics, December 2025</w:t>
            </w:r>
          </w:p>
        </w:tc>
      </w:tr>
      <w:tr>
        <w:tc>
          <w:tcPr>
            <w:tcW w:type="dxa" w:w="2400"/>
            <w:shd w:fill="F2F5FA" w:color="auto" w:val="clear"/>
            <w:tcMar>
              <w:top w:type="dxa" w:w="80"/>
              <w:left w:type="dxa" w:w="120"/>
              <w:bottom w:type="dxa" w:w="80"/>
              <w:right w:type="dxa" w:w="120"/>
            </w:tcMar>
          </w:tcPr>
          <w:p>
            <w:pPr>
              <w:spacing w:after="0" w:before="0" w:line="260"/>
            </w:pPr>
            <w:r>
              <w:rPr>
                <w:rFonts w:ascii="Calibri" w:cs="Calibri" w:eastAsia="Calibri" w:hAnsi="Calibri"/>
                <w:b/>
                <w:bCs/>
                <w:color w:val="0F1B33"/>
                <w:sz w:val="21"/>
                <w:szCs w:val="21"/>
              </w:rPr>
              <w:t xml:space="preserve">9 in 10 F&amp;O traders lost money</w:t>
            </w:r>
          </w:p>
        </w:tc>
        <w:tc>
          <w:tcPr>
            <w:tcW w:type="dxa" w:w="4100"/>
            <w:shd w:fill="F2F5FA"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Individual traders in equity futures and options in FY25. They lost ₹1.06 lakh crore between them. It is our proof that portfolios fail silently and for years.</w:t>
            </w:r>
          </w:p>
        </w:tc>
        <w:tc>
          <w:tcPr>
            <w:tcW w:type="dxa" w:w="2526"/>
            <w:shd w:fill="F2F5FA"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SEBI, "Profit &amp; Loss of Individual Traders in Equity F&amp;O", July 2025</w:t>
            </w:r>
          </w:p>
        </w:tc>
      </w:tr>
      <w:tr>
        <w:tc>
          <w:tcPr>
            <w:tcW w:type="dxa" w:w="2400"/>
            <w:shd w:fill="FFFFFF" w:color="auto" w:val="clear"/>
            <w:tcMar>
              <w:top w:type="dxa" w:w="80"/>
              <w:left w:type="dxa" w:w="120"/>
              <w:bottom w:type="dxa" w:w="80"/>
              <w:right w:type="dxa" w:w="120"/>
            </w:tcMar>
          </w:tcPr>
          <w:p>
            <w:pPr>
              <w:spacing w:after="0" w:before="0" w:line="260"/>
            </w:pPr>
            <w:r>
              <w:rPr>
                <w:rFonts w:ascii="Calibri" w:cs="Calibri" w:eastAsia="Calibri" w:hAnsi="Calibri"/>
                <w:b/>
                <w:bCs/>
                <w:color w:val="0F1B33"/>
                <w:sz w:val="21"/>
                <w:szCs w:val="21"/>
              </w:rPr>
              <w:t xml:space="preserve">Fewer than 1,000 registered advisers</w:t>
            </w:r>
          </w:p>
        </w:tc>
        <w:tc>
          <w:tcPr>
            <w:tcW w:type="dxa" w:w="4100"/>
            <w:shd w:fill="FFFFFF"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SEBI-registered investment advisers. A second source counts 973 RIAs and 1,330 research analysts. Roughly one regulated adviser per two million people.</w:t>
            </w:r>
          </w:p>
        </w:tc>
        <w:tc>
          <w:tcPr>
            <w:tcW w:type="dxa" w:w="2526"/>
            <w:shd w:fill="FFFFFF"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The Ken, 2025; cross-checked against Trade Brains, 2026</w:t>
            </w:r>
          </w:p>
        </w:tc>
      </w:tr>
    </w:tbl>
    <w:p>
      <w:pPr>
        <w:pStyle w:val="Heading2"/>
        <w:keepNext/>
        <w:spacing w:after="120" w:before="320"/>
      </w:pPr>
      <w:r>
        <w:rPr>
          <w:rFonts w:ascii="Arial" w:cs="Arial" w:eastAsia="Arial" w:hAnsi="Arial"/>
          <w:b/>
          <w:bCs/>
          <w:color w:val="2F5FE0"/>
          <w:sz w:val="24"/>
          <w:szCs w:val="24"/>
        </w:rPr>
        <w:t xml:space="preserve">5.2  The why-now slide (slide 3)</w:t>
      </w:r>
    </w:p>
    <w:tbl>
      <w:tblPr>
        <w:tblW w:type="dxa" w:w="9026"/>
        <w:tblBorders>
          <w:top w:val="single" w:color="DCE3F0" w:sz="4"/>
          <w:left w:val="single" w:color="DCE3F0" w:sz="4"/>
          <w:bottom w:val="single" w:color="DCE3F0" w:sz="4"/>
          <w:right w:val="single" w:color="DCE3F0" w:sz="4"/>
          <w:insideH w:val="single" w:color="DCE3F0" w:sz="4"/>
          <w:insideV w:val="single" w:color="DCE3F0" w:sz="4"/>
        </w:tblBorders>
      </w:tblPr>
      <w:tblGrid>
        <w:gridCol w:w="2300"/>
        <w:gridCol w:w="4200"/>
        <w:gridCol w:w="2526"/>
      </w:tblGrid>
      <w:tr>
        <w:trPr>
          <w:tblHeader/>
        </w:trPr>
        <w:tc>
          <w:tcPr>
            <w:tcW w:type="dxa" w:w="2300"/>
            <w:shd w:fill="0F1B33" w:color="auto" w:val="clear"/>
            <w:tcMar>
              <w:top w:type="dxa" w:w="90"/>
              <w:left w:type="dxa" w:w="120"/>
              <w:bottom w:type="dxa" w:w="90"/>
              <w:right w:type="dxa" w:w="120"/>
            </w:tcMar>
          </w:tcPr>
          <w:p>
            <w:pPr>
              <w:spacing w:after="0" w:line="260"/>
            </w:pPr>
            <w:r>
              <w:rPr>
                <w:rFonts w:ascii="Arial" w:cs="Arial" w:eastAsia="Arial" w:hAnsi="Arial"/>
                <w:b/>
                <w:bCs/>
                <w:color w:val="FFFFFF"/>
                <w:sz w:val="19"/>
                <w:szCs w:val="19"/>
              </w:rPr>
              <w:t xml:space="preserve">Figure</w:t>
            </w:r>
          </w:p>
        </w:tc>
        <w:tc>
          <w:tcPr>
            <w:tcW w:type="dxa" w:w="4200"/>
            <w:shd w:fill="0F1B33" w:color="auto" w:val="clear"/>
            <w:tcMar>
              <w:top w:type="dxa" w:w="90"/>
              <w:left w:type="dxa" w:w="120"/>
              <w:bottom w:type="dxa" w:w="90"/>
              <w:right w:type="dxa" w:w="120"/>
            </w:tcMar>
          </w:tcPr>
          <w:p>
            <w:pPr>
              <w:spacing w:after="0" w:line="260"/>
            </w:pPr>
            <w:r>
              <w:rPr>
                <w:rFonts w:ascii="Arial" w:cs="Arial" w:eastAsia="Arial" w:hAnsi="Arial"/>
                <w:b/>
                <w:bCs/>
                <w:color w:val="FFFFFF"/>
                <w:sz w:val="19"/>
                <w:szCs w:val="19"/>
              </w:rPr>
              <w:t xml:space="preserve">What it says</w:t>
            </w:r>
          </w:p>
        </w:tc>
        <w:tc>
          <w:tcPr>
            <w:tcW w:type="dxa" w:w="2526"/>
            <w:shd w:fill="0F1B33" w:color="auto" w:val="clear"/>
            <w:tcMar>
              <w:top w:type="dxa" w:w="90"/>
              <w:left w:type="dxa" w:w="120"/>
              <w:bottom w:type="dxa" w:w="90"/>
              <w:right w:type="dxa" w:w="120"/>
            </w:tcMar>
          </w:tcPr>
          <w:p>
            <w:pPr>
              <w:spacing w:after="0" w:line="260"/>
            </w:pPr>
            <w:r>
              <w:rPr>
                <w:rFonts w:ascii="Arial" w:cs="Arial" w:eastAsia="Arial" w:hAnsi="Arial"/>
                <w:b/>
                <w:bCs/>
                <w:color w:val="FFFFFF"/>
                <w:sz w:val="19"/>
                <w:szCs w:val="19"/>
              </w:rPr>
              <w:t xml:space="preserve">Source</w:t>
            </w:r>
          </w:p>
        </w:tc>
      </w:tr>
      <w:tr>
        <w:tc>
          <w:tcPr>
            <w:tcW w:type="dxa" w:w="2300"/>
            <w:shd w:fill="FFFFFF"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US$112 bn → US$550 bn</w:t>
            </w:r>
          </w:p>
        </w:tc>
        <w:tc>
          <w:tcPr>
            <w:tcW w:type="dxa" w:w="4200"/>
            <w:shd w:fill="FFFFFF"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India's fintech market, 2024 to 2030</w:t>
            </w:r>
          </w:p>
        </w:tc>
        <w:tc>
          <w:tcPr>
            <w:tcW w:type="dxa" w:w="2526"/>
            <w:shd w:fill="FFFFFF"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TechSci Research, India FinTech Market Report</w:t>
            </w:r>
          </w:p>
        </w:tc>
      </w:tr>
      <w:tr>
        <w:tc>
          <w:tcPr>
            <w:tcW w:type="dxa" w:w="2300"/>
            <w:shd w:fill="F2F5FA"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~1 lakh a day</w:t>
            </w:r>
          </w:p>
        </w:tc>
        <w:tc>
          <w:tcPr>
            <w:tcW w:type="dxa" w:w="4200"/>
            <w:shd w:fill="F2F5FA"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New demat accounts opened, on a base of 21.6 crore</w:t>
            </w:r>
          </w:p>
        </w:tc>
        <w:tc>
          <w:tcPr>
            <w:tcW w:type="dxa" w:w="2526"/>
            <w:shd w:fill="F2F5FA"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SEBI Chairperson, remarks at IITF, November 2025</w:t>
            </w:r>
          </w:p>
        </w:tc>
      </w:tr>
      <w:tr>
        <w:tc>
          <w:tcPr>
            <w:tcW w:type="dxa" w:w="2300"/>
            <w:shd w:fill="FFFFFF"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₹32,087 Cr</w:t>
            </w:r>
          </w:p>
        </w:tc>
        <w:tc>
          <w:tcPr>
            <w:tcW w:type="dxa" w:w="4200"/>
            <w:shd w:fill="FFFFFF"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Monthly SIP inflows — a record, March 2026. Up from ₹3,100 Cr in 2016, so roughly 8× in a decade.</w:t>
            </w:r>
          </w:p>
        </w:tc>
        <w:tc>
          <w:tcPr>
            <w:tcW w:type="dxa" w:w="2526"/>
            <w:shd w:fill="FFFFFF"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AMFI, monthly SIP contribution</w:t>
            </w:r>
          </w:p>
        </w:tc>
      </w:tr>
    </w:tbl>
    <w:p>
      <w:pPr>
        <w:spacing w:after="140" w:before="140" w:line="280"/>
      </w:pPr>
      <w:r>
        <w:rPr>
          <w:rFonts w:ascii="Calibri" w:cs="Calibri" w:eastAsia="Calibri" w:hAnsi="Calibri"/>
          <w:b/>
          <w:bCs/>
          <w:color w:val="0F1B33"/>
          <w:sz w:val="21"/>
          <w:szCs w:val="21"/>
        </w:rPr>
        <w:t xml:space="preserve">The argument the slide is making: </w:t>
      </w:r>
      <w:r>
        <w:rPr>
          <w:rFonts w:ascii="Calibri" w:cs="Calibri" w:eastAsia="Calibri" w:hAnsi="Calibri"/>
          <w:color w:val="3A4657"/>
          <w:sz w:val="21"/>
          <w:szCs w:val="21"/>
        </w:rPr>
        <w:t xml:space="preserve">the timing case is two-sided. Demand has been compounding for a decade (SIPs up 8×), and supply only just became possible (language models made one-to-one explanation affordable). Neither half alone would justify building this in 2026 — say both.</w:t>
      </w:r>
    </w:p>
    <w:p>
      <w:pPr>
        <w:pStyle w:val="Heading2"/>
        <w:keepNext/>
        <w:spacing w:after="120" w:before="320"/>
      </w:pPr>
      <w:r>
        <w:rPr>
          <w:rFonts w:ascii="Arial" w:cs="Arial" w:eastAsia="Arial" w:hAnsi="Arial"/>
          <w:b/>
          <w:bCs/>
          <w:color w:val="2F5FE0"/>
          <w:sz w:val="24"/>
          <w:szCs w:val="24"/>
        </w:rPr>
        <w:t xml:space="preserve">5.3  The traction slide (slide 12)</w:t>
      </w:r>
    </w:p>
    <w:p>
      <w:pPr>
        <w:spacing w:after="140" w:before="0" w:line="280"/>
      </w:pPr>
      <w:r>
        <w:rPr>
          <w:rFonts w:ascii="Calibri" w:cs="Calibri" w:eastAsia="Calibri" w:hAnsi="Calibri"/>
          <w:color w:val="3A4657"/>
          <w:sz w:val="21"/>
          <w:szCs w:val="21"/>
        </w:rPr>
        <w:t xml:space="preserve">These are our own numbers. Nobody else can check them, which is exactly why they must be stated precisely and never rounded up. An investor who catches a founder inflating a number they alone control will discount everything else on the slide.</w:t>
      </w:r>
    </w:p>
    <w:tbl>
      <w:tblPr>
        <w:tblW w:type="dxa" w:w="9026"/>
        <w:tblBorders>
          <w:top w:val="single" w:color="DCE3F0" w:sz="4"/>
          <w:left w:val="single" w:color="DCE3F0" w:sz="4"/>
          <w:bottom w:val="single" w:color="DCE3F0" w:sz="4"/>
          <w:right w:val="single" w:color="DCE3F0" w:sz="4"/>
          <w:insideH w:val="single" w:color="DCE3F0" w:sz="4"/>
          <w:insideV w:val="single" w:color="DCE3F0" w:sz="4"/>
        </w:tblBorders>
      </w:tblPr>
      <w:tblGrid>
        <w:gridCol w:w="1600"/>
        <w:gridCol w:w="7426"/>
      </w:tblGrid>
      <w:tr>
        <w:trPr>
          <w:tblHeader/>
        </w:trPr>
        <w:tc>
          <w:tcPr>
            <w:tcW w:type="dxa" w:w="1600"/>
            <w:shd w:fill="0F1B33" w:color="auto" w:val="clear"/>
            <w:tcMar>
              <w:top w:type="dxa" w:w="90"/>
              <w:left w:type="dxa" w:w="120"/>
              <w:bottom w:type="dxa" w:w="90"/>
              <w:right w:type="dxa" w:w="120"/>
            </w:tcMar>
          </w:tcPr>
          <w:p>
            <w:pPr>
              <w:spacing w:after="0" w:line="260"/>
            </w:pPr>
            <w:r>
              <w:rPr>
                <w:rFonts w:ascii="Arial" w:cs="Arial" w:eastAsia="Arial" w:hAnsi="Arial"/>
                <w:b/>
                <w:bCs/>
                <w:color w:val="FFFFFF"/>
                <w:sz w:val="19"/>
                <w:szCs w:val="19"/>
              </w:rPr>
              <w:t xml:space="preserve">Figure</w:t>
            </w:r>
          </w:p>
        </w:tc>
        <w:tc>
          <w:tcPr>
            <w:tcW w:type="dxa" w:w="7426"/>
            <w:shd w:fill="0F1B33" w:color="auto" w:val="clear"/>
            <w:tcMar>
              <w:top w:type="dxa" w:w="90"/>
              <w:left w:type="dxa" w:w="120"/>
              <w:bottom w:type="dxa" w:w="90"/>
              <w:right w:type="dxa" w:w="120"/>
            </w:tcMar>
          </w:tcPr>
          <w:p>
            <w:pPr>
              <w:spacing w:after="0" w:line="260"/>
            </w:pPr>
            <w:r>
              <w:rPr>
                <w:rFonts w:ascii="Arial" w:cs="Arial" w:eastAsia="Arial" w:hAnsi="Arial"/>
                <w:b/>
                <w:bCs/>
                <w:color w:val="FFFFFF"/>
                <w:sz w:val="19"/>
                <w:szCs w:val="19"/>
              </w:rPr>
              <w:t xml:space="preserve">What it is precisely</w:t>
            </w:r>
          </w:p>
        </w:tc>
      </w:tr>
      <w:tr>
        <w:tc>
          <w:tcPr>
            <w:tcW w:type="dxa" w:w="1600"/>
            <w:shd w:fill="FFFFFF"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12</w:t>
            </w:r>
          </w:p>
        </w:tc>
        <w:tc>
          <w:tcPr>
            <w:tcW w:type="dxa" w:w="7426"/>
            <w:shd w:fill="FFFFFF"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Investor and user conversations that pressure-tested the problem</w:t>
            </w:r>
          </w:p>
        </w:tc>
      </w:tr>
      <w:tr>
        <w:tc>
          <w:tcPr>
            <w:tcW w:type="dxa" w:w="1600"/>
            <w:shd w:fill="F2F5FA"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8 of 12</w:t>
            </w:r>
          </w:p>
        </w:tc>
        <w:tc>
          <w:tcPr>
            <w:tcW w:type="dxa" w:w="7426"/>
            <w:shd w:fill="F2F5FA"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Said they would pay for an honest answer on their existing holdings</w:t>
            </w:r>
          </w:p>
        </w:tc>
      </w:tr>
      <w:tr>
        <w:tc>
          <w:tcPr>
            <w:tcW w:type="dxa" w:w="1600"/>
            <w:shd w:fill="FFFFFF"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50</w:t>
            </w:r>
          </w:p>
        </w:tc>
        <w:tc>
          <w:tcPr>
            <w:tcW w:type="dxa" w:w="7426"/>
            <w:shd w:fill="FFFFFF"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Early users who walked the working Construction engine end to end</w:t>
            </w:r>
          </w:p>
        </w:tc>
      </w:tr>
      <w:tr>
        <w:tc>
          <w:tcPr>
            <w:tcW w:type="dxa" w:w="1600"/>
            <w:shd w:fill="F2F5FA"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500+</w:t>
            </w:r>
          </w:p>
        </w:tc>
        <w:tc>
          <w:tcPr>
            <w:tcW w:type="dxa" w:w="7426"/>
            <w:shd w:fill="F2F5FA"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Users signed up to the pre-launch waitlist</w:t>
            </w:r>
          </w:p>
        </w:tc>
      </w:tr>
      <w:tr>
        <w:tc>
          <w:tcPr>
            <w:tcW w:type="dxa" w:w="1600"/>
            <w:shd w:fill="FFFFFF"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Built</w:t>
            </w:r>
          </w:p>
        </w:tc>
        <w:tc>
          <w:tcPr>
            <w:tcW w:type="dxa" w:w="7426"/>
            <w:shd w:fill="FFFFFF"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A full clickable frontend across all three engines — demoed, not yet public</w:t>
            </w:r>
          </w:p>
        </w:tc>
      </w:tr>
      <w:tr>
        <w:tc>
          <w:tcPr>
            <w:tcW w:type="dxa" w:w="1600"/>
            <w:shd w:fill="F2F5FA"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Next</w:t>
            </w:r>
          </w:p>
        </w:tc>
        <w:tc>
          <w:tcPr>
            <w:tcW w:type="dxa" w:w="7426"/>
            <w:shd w:fill="F2F5FA"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The quant engines and the Number Guard layer. This is what the raise funds.</w:t>
            </w:r>
          </w:p>
        </w:tc>
      </w:tr>
      <w:tr>
        <w:tc>
          <w:tcPr>
            <w:tcW w:type="dxa" w:w="1600"/>
            <w:shd w:fill="FFFFFF"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Entity</w:t>
            </w:r>
          </w:p>
        </w:tc>
        <w:tc>
          <w:tcPr>
            <w:tcW w:type="dxa" w:w="7426"/>
            <w:shd w:fill="FFFFFF"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Ohshn Intelligence LLP, incorporated July 2026. Converting to Private Limited at close.</w:t>
            </w:r>
          </w:p>
        </w:tc>
      </w:tr>
    </w:tbl>
    <w:tbl>
      <w:tblPr>
        <w:tblW w:type="dxa" w:w="9026"/>
        <w:tblBorders>
          <w:top w:val="single" w:color="F2F5FA" w:sz="4"/>
          <w:left w:val="single" w:color="8A93A5" w:sz="24"/>
          <w:bottom w:val="single" w:color="F2F5FA" w:sz="4"/>
          <w:right w:val="single" w:color="F2F5FA" w:sz="4"/>
          <w:insideH w:val="none" w:color="F2F5FA" w:sz="0"/>
          <w:insideV w:val="none" w:color="F2F5FA" w:sz="0"/>
        </w:tblBorders>
      </w:tblPr>
      <w:tblGrid>
        <w:gridCol w:w="9026"/>
      </w:tblGrid>
      <w:tr>
        <w:tc>
          <w:tcPr>
            <w:tcW w:type="dxa" w:w="9026"/>
            <w:shd w:fill="F2F5FA" w:color="auto" w:val="clear"/>
            <w:tcMar>
              <w:top w:type="dxa" w:w="140"/>
              <w:left w:type="dxa" w:w="200"/>
              <w:bottom w:type="dxa" w:w="140"/>
              <w:right w:type="dxa" w:w="200"/>
            </w:tcMar>
          </w:tcPr>
          <w:p>
            <w:pPr>
              <w:spacing w:after="80" w:line="260"/>
            </w:pPr>
            <w:r>
              <w:rPr>
                <w:rFonts w:ascii="Arial" w:cs="Arial" w:eastAsia="Arial" w:hAnsi="Arial"/>
                <w:b/>
                <w:bCs/>
                <w:color w:val="0F1B33"/>
                <w:sz w:val="20"/>
                <w:szCs w:val="20"/>
              </w:rPr>
              <w:t xml:space="preserve">About the quote on slide 12</w:t>
            </w:r>
          </w:p>
          <w:p>
            <w:pPr>
              <w:spacing w:after="60" w:line="260"/>
            </w:pPr>
            <w:r>
              <w:rPr>
                <w:rFonts w:ascii="Calibri" w:cs="Calibri" w:eastAsia="Calibri" w:hAnsi="Calibri"/>
                <w:color w:val="3A4657"/>
                <w:sz w:val="21"/>
                <w:szCs w:val="21"/>
              </w:rPr>
              <w:t xml:space="preserve">The line — </w:t>
            </w:r>
            <w:r>
              <w:rPr>
                <w:rFonts w:ascii="Calibri" w:cs="Calibri" w:eastAsia="Calibri" w:hAnsi="Calibri"/>
                <w:i/>
                <w:iCs/>
                <w:color w:val="3A4657"/>
                <w:sz w:val="21"/>
                <w:szCs w:val="21"/>
              </w:rPr>
              <w:t xml:space="preserve">"Everyone tells you to put your money to work. Nobody tells you how — or whether the money you have already put in is working."</w:t>
            </w:r>
            <w:r>
              <w:rPr>
                <w:rFonts w:ascii="Calibri" w:cs="Calibri" w:eastAsia="Calibri" w:hAnsi="Calibri"/>
                <w:color w:val="3A4657"/>
                <w:sz w:val="21"/>
                <w:szCs w:val="21"/>
              </w:rPr>
              <w:t xml:space="preserve"> — is a composite paraphrase of what came up in almost every early conversation. It is not attributed to any one person, and it must never be presented as a verbatim customer quote. If asked, say plainly: "That is the sentence we heard, in one form or another, in nearly every conversation."</w:t>
            </w:r>
          </w:p>
        </w:tc>
      </w:tr>
    </w:tbl>
    <w:p>
      <w:pPr>
        <w:pStyle w:val="Heading1"/>
        <w:keepNext/>
        <w:pBdr>
          <w:bottom w:val="single" w:color="2F5FE0" w:sz="12" w:space="6"/>
        </w:pBdr>
        <w:spacing w:after="180" w:before="420"/>
      </w:pPr>
      <w:r>
        <w:rPr>
          <w:rFonts w:ascii="Arial" w:cs="Arial" w:eastAsia="Arial" w:hAnsi="Arial"/>
          <w:b/>
          <w:bCs/>
          <w:color w:val="0F1B33"/>
          <w:sz w:val="30"/>
          <w:szCs w:val="30"/>
        </w:rPr>
        <w:t xml:space="preserve">6.  Product, pricing and competitors</w:t>
      </w:r>
    </w:p>
    <w:p>
      <w:pPr>
        <w:pStyle w:val="Heading2"/>
        <w:keepNext/>
        <w:spacing w:after="120" w:before="320"/>
      </w:pPr>
      <w:r>
        <w:rPr>
          <w:rFonts w:ascii="Arial" w:cs="Arial" w:eastAsia="Arial" w:hAnsi="Arial"/>
          <w:b/>
          <w:bCs/>
          <w:color w:val="2F5FE0"/>
          <w:sz w:val="24"/>
          <w:szCs w:val="24"/>
        </w:rPr>
        <w:t xml:space="preserve">6.1  The engine count — 70</w:t>
      </w:r>
    </w:p>
    <w:p>
      <w:pPr>
        <w:spacing w:after="140" w:before="0" w:line="280"/>
      </w:pPr>
      <w:r>
        <w:rPr>
          <w:rFonts w:ascii="Calibri" w:cs="Calibri" w:eastAsia="Calibri" w:hAnsi="Calibri"/>
          <w:color w:val="3A4657"/>
          <w:sz w:val="21"/>
          <w:szCs w:val="21"/>
        </w:rPr>
        <w:t xml:space="preserve">This number appears on the technology slide and gets repeated. It was stated inconsistently in the old deck (26, 26, 18, "52+", "70") and is now standardised everywhere.</w:t>
      </w:r>
    </w:p>
    <w:tbl>
      <w:tblPr>
        <w:tblW w:type="dxa" w:w="9026"/>
        <w:tblBorders>
          <w:top w:val="single" w:color="DCE3F0" w:sz="4"/>
          <w:left w:val="single" w:color="DCE3F0" w:sz="4"/>
          <w:bottom w:val="single" w:color="DCE3F0" w:sz="4"/>
          <w:right w:val="single" w:color="DCE3F0" w:sz="4"/>
          <w:insideH w:val="single" w:color="DCE3F0" w:sz="4"/>
          <w:insideV w:val="single" w:color="DCE3F0" w:sz="4"/>
        </w:tblBorders>
      </w:tblPr>
      <w:tblGrid>
        <w:gridCol w:w="1700"/>
        <w:gridCol w:w="900"/>
        <w:gridCol w:w="6426"/>
      </w:tblGrid>
      <w:tr>
        <w:trPr>
          <w:tblHeader/>
        </w:trPr>
        <w:tc>
          <w:tcPr>
            <w:tcW w:type="dxa" w:w="1700"/>
            <w:shd w:fill="0F1B33" w:color="auto" w:val="clear"/>
            <w:tcMar>
              <w:top w:type="dxa" w:w="90"/>
              <w:left w:type="dxa" w:w="120"/>
              <w:bottom w:type="dxa" w:w="90"/>
              <w:right w:type="dxa" w:w="120"/>
            </w:tcMar>
          </w:tcPr>
          <w:p>
            <w:pPr>
              <w:spacing w:after="0" w:line="260"/>
            </w:pPr>
            <w:r>
              <w:rPr>
                <w:rFonts w:ascii="Arial" w:cs="Arial" w:eastAsia="Arial" w:hAnsi="Arial"/>
                <w:b/>
                <w:bCs/>
                <w:color w:val="FFFFFF"/>
                <w:sz w:val="19"/>
                <w:szCs w:val="19"/>
              </w:rPr>
              <w:t xml:space="preserve">Component</w:t>
            </w:r>
          </w:p>
        </w:tc>
        <w:tc>
          <w:tcPr>
            <w:tcW w:type="dxa" w:w="900"/>
            <w:shd w:fill="0F1B33" w:color="auto" w:val="clear"/>
            <w:tcMar>
              <w:top w:type="dxa" w:w="90"/>
              <w:left w:type="dxa" w:w="120"/>
              <w:bottom w:type="dxa" w:w="90"/>
              <w:right w:type="dxa" w:w="120"/>
            </w:tcMar>
          </w:tcPr>
          <w:p>
            <w:pPr>
              <w:spacing w:after="0" w:line="260"/>
            </w:pPr>
            <w:r>
              <w:rPr>
                <w:rFonts w:ascii="Arial" w:cs="Arial" w:eastAsia="Arial" w:hAnsi="Arial"/>
                <w:b/>
                <w:bCs/>
                <w:color w:val="FFFFFF"/>
                <w:sz w:val="19"/>
                <w:szCs w:val="19"/>
              </w:rPr>
              <w:t xml:space="preserve">Engines</w:t>
            </w:r>
          </w:p>
        </w:tc>
        <w:tc>
          <w:tcPr>
            <w:tcW w:type="dxa" w:w="6426"/>
            <w:shd w:fill="0F1B33" w:color="auto" w:val="clear"/>
            <w:tcMar>
              <w:top w:type="dxa" w:w="90"/>
              <w:left w:type="dxa" w:w="120"/>
              <w:bottom w:type="dxa" w:w="90"/>
              <w:right w:type="dxa" w:w="120"/>
            </w:tcMar>
          </w:tcPr>
          <w:p>
            <w:pPr>
              <w:spacing w:after="0" w:line="260"/>
            </w:pPr>
            <w:r>
              <w:rPr>
                <w:rFonts w:ascii="Arial" w:cs="Arial" w:eastAsia="Arial" w:hAnsi="Arial"/>
                <w:b/>
                <w:bCs/>
                <w:color w:val="FFFFFF"/>
                <w:sz w:val="19"/>
                <w:szCs w:val="19"/>
              </w:rPr>
              <w:t xml:space="preserve">What they do</w:t>
            </w:r>
          </w:p>
        </w:tc>
      </w:tr>
      <w:tr>
        <w:tc>
          <w:tcPr>
            <w:tcW w:type="dxa" w:w="1700"/>
            <w:shd w:fill="FFFFFF"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Health Check</w:t>
            </w:r>
          </w:p>
        </w:tc>
        <w:tc>
          <w:tcPr>
            <w:tcW w:type="dxa" w:w="900"/>
            <w:shd w:fill="FFFFFF"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26</w:t>
            </w:r>
          </w:p>
        </w:tc>
        <w:tc>
          <w:tcPr>
            <w:tcW w:type="dxa" w:w="6426"/>
            <w:shd w:fill="FFFFFF"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XIRR and time-weighted returns, VaR, CVaR, Sharpe, Sortino, maximum drawdown, Jaccard holdings overlap, Monte Carlo over 10,000 paths, Hidden Markov regime detection, FinBERT news sentiment, cost and fraud screens</w:t>
            </w:r>
          </w:p>
        </w:tc>
      </w:tr>
      <w:tr>
        <w:tc>
          <w:tcPr>
            <w:tcW w:type="dxa" w:w="1700"/>
            <w:shd w:fill="F2F5FA"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Construction</w:t>
            </w:r>
          </w:p>
        </w:tc>
        <w:tc>
          <w:tcPr>
            <w:tcW w:type="dxa" w:w="900"/>
            <w:shd w:fill="F2F5FA"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26</w:t>
            </w:r>
          </w:p>
        </w:tc>
        <w:tc>
          <w:tcPr>
            <w:tcW w:type="dxa" w:w="6426"/>
            <w:shd w:fill="F2F5FA"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Mean-variance optimisation, Black-Litterman views, Ledoit-Wolf shrinkage, goal and drawdown limits, every rejection recorded, cost and fraud screens, risk metrics on the mix, Monte Carlo goal probability</w:t>
            </w:r>
          </w:p>
        </w:tc>
      </w:tr>
      <w:tr>
        <w:tc>
          <w:tcPr>
            <w:tcW w:type="dxa" w:w="1700"/>
            <w:shd w:fill="FFFFFF"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NxanceLM</w:t>
            </w:r>
          </w:p>
        </w:tc>
        <w:tc>
          <w:tcPr>
            <w:tcW w:type="dxa" w:w="900"/>
            <w:shd w:fill="FFFFFF"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18</w:t>
            </w:r>
          </w:p>
        </w:tc>
        <w:tc>
          <w:tcPr>
            <w:tcW w:type="dxa" w:w="6426"/>
            <w:shd w:fill="FFFFFF"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Turns engine output into English or Hindi, answers questions on the user's own holdings, writes report explanations, runs the live market and news terminal, Nxance Explain on any chart</w:t>
            </w:r>
          </w:p>
        </w:tc>
      </w:tr>
      <w:tr>
        <w:tc>
          <w:tcPr>
            <w:tcW w:type="dxa" w:w="1700"/>
            <w:shd w:fill="F2F5FA" w:color="auto" w:val="clear"/>
            <w:tcMar>
              <w:top w:type="dxa" w:w="80"/>
              <w:left w:type="dxa" w:w="120"/>
              <w:bottom w:type="dxa" w:w="80"/>
              <w:right w:type="dxa" w:w="120"/>
            </w:tcMar>
          </w:tcPr>
          <w:p>
            <w:pPr>
              <w:spacing w:after="0" w:before="0" w:line="260"/>
            </w:pPr>
            <w:r>
              <w:rPr>
                <w:rFonts w:ascii="Calibri" w:cs="Calibri" w:eastAsia="Calibri" w:hAnsi="Calibri"/>
                <w:b/>
                <w:bCs/>
                <w:color w:val="0F1B33"/>
                <w:sz w:val="21"/>
                <w:szCs w:val="21"/>
              </w:rPr>
              <w:t xml:space="preserve">Total</w:t>
            </w:r>
          </w:p>
        </w:tc>
        <w:tc>
          <w:tcPr>
            <w:tcW w:type="dxa" w:w="900"/>
            <w:shd w:fill="F2F5FA" w:color="auto" w:val="clear"/>
            <w:tcMar>
              <w:top w:type="dxa" w:w="80"/>
              <w:left w:type="dxa" w:w="120"/>
              <w:bottom w:type="dxa" w:w="80"/>
              <w:right w:type="dxa" w:w="120"/>
            </w:tcMar>
          </w:tcPr>
          <w:p>
            <w:pPr>
              <w:spacing w:after="0" w:before="0" w:line="260"/>
            </w:pPr>
            <w:r>
              <w:rPr>
                <w:rFonts w:ascii="Calibri" w:cs="Calibri" w:eastAsia="Calibri" w:hAnsi="Calibri"/>
                <w:b/>
                <w:bCs/>
                <w:color w:val="0F1B33"/>
                <w:sz w:val="21"/>
                <w:szCs w:val="21"/>
              </w:rPr>
              <w:t xml:space="preserve">70</w:t>
            </w:r>
          </w:p>
        </w:tc>
        <w:tc>
          <w:tcPr>
            <w:tcW w:type="dxa" w:w="6426"/>
            <w:shd w:fill="F2F5FA" w:color="auto" w:val="clear"/>
            <w:tcMar>
              <w:top w:type="dxa" w:w="80"/>
              <w:left w:type="dxa" w:w="120"/>
              <w:bottom w:type="dxa" w:w="80"/>
              <w:right w:type="dxa" w:w="120"/>
            </w:tcMar>
          </w:tcPr>
          <w:p>
            <w:pPr>
              <w:spacing w:after="0" w:before="0" w:line="260"/>
            </w:pPr>
            <w:r>
              <w:rPr>
                <w:rFonts w:ascii="Calibri" w:cs="Calibri" w:eastAsia="Calibri" w:hAnsi="Calibri"/>
                <w:i/>
                <w:iCs/>
                <w:color w:val="3A4657"/>
                <w:sz w:val="21"/>
                <w:szCs w:val="21"/>
              </w:rPr>
              <w:t xml:space="preserve">52 quantitative sub-engines plus 18 language mini-engines. Source: our three engine specification documents.</w:t>
            </w:r>
          </w:p>
        </w:tc>
      </w:tr>
    </w:tbl>
    <w:p>
      <w:pPr>
        <w:spacing w:after="140" w:before="140" w:line="280"/>
      </w:pPr>
      <w:r>
        <w:rPr>
          <w:rFonts w:ascii="Calibri" w:cs="Calibri" w:eastAsia="Calibri" w:hAnsi="Calibri"/>
          <w:b/>
          <w:bCs/>
          <w:color w:val="0F1B33"/>
          <w:sz w:val="21"/>
          <w:szCs w:val="21"/>
        </w:rPr>
        <w:t xml:space="preserve">The line that matters on that slide: </w:t>
      </w:r>
      <w:r>
        <w:rPr>
          <w:rFonts w:ascii="Calibri" w:cs="Calibri" w:eastAsia="Calibri" w:hAnsi="Calibri"/>
          <w:color w:val="3A4657"/>
          <w:sz w:val="21"/>
          <w:szCs w:val="21"/>
        </w:rPr>
        <w:t xml:space="preserve">"70 engines compute. The AI only explains." Number Guard enforces it — every figure must trace back to an engine output, with a verified source, confirmed inputs, a checked calculation and an audit ID. The model cannot produce a number it was not handed. That is our answer to "isn't this just a GPT wrapper?".</w:t>
      </w:r>
    </w:p>
    <w:p>
      <w:pPr>
        <w:pStyle w:val="Heading2"/>
        <w:keepNext/>
        <w:spacing w:after="120" w:before="320"/>
      </w:pPr>
      <w:r>
        <w:rPr>
          <w:rFonts w:ascii="Arial" w:cs="Arial" w:eastAsia="Arial" w:hAnsi="Arial"/>
          <w:b/>
          <w:bCs/>
          <w:color w:val="2F5FE0"/>
          <w:sz w:val="24"/>
          <w:szCs w:val="24"/>
        </w:rPr>
        <w:t xml:space="preserve">6.2  Our pricing</w:t>
      </w:r>
    </w:p>
    <w:tbl>
      <w:tblPr>
        <w:tblW w:type="dxa" w:w="9026"/>
        <w:tblBorders>
          <w:top w:val="single" w:color="DCE3F0" w:sz="4"/>
          <w:left w:val="single" w:color="DCE3F0" w:sz="4"/>
          <w:bottom w:val="single" w:color="DCE3F0" w:sz="4"/>
          <w:right w:val="single" w:color="DCE3F0" w:sz="4"/>
          <w:insideH w:val="single" w:color="DCE3F0" w:sz="4"/>
          <w:insideV w:val="single" w:color="DCE3F0" w:sz="4"/>
        </w:tblBorders>
      </w:tblPr>
      <w:tblGrid>
        <w:gridCol w:w="2400"/>
        <w:gridCol w:w="1600"/>
        <w:gridCol w:w="5026"/>
      </w:tblGrid>
      <w:tr>
        <w:trPr>
          <w:tblHeader/>
        </w:trPr>
        <w:tc>
          <w:tcPr>
            <w:tcW w:type="dxa" w:w="2400"/>
            <w:shd w:fill="0F1B33" w:color="auto" w:val="clear"/>
            <w:tcMar>
              <w:top w:type="dxa" w:w="90"/>
              <w:left w:type="dxa" w:w="120"/>
              <w:bottom w:type="dxa" w:w="90"/>
              <w:right w:type="dxa" w:w="120"/>
            </w:tcMar>
          </w:tcPr>
          <w:p>
            <w:pPr>
              <w:spacing w:after="0" w:line="260"/>
            </w:pPr>
            <w:r>
              <w:rPr>
                <w:rFonts w:ascii="Arial" w:cs="Arial" w:eastAsia="Arial" w:hAnsi="Arial"/>
                <w:b/>
                <w:bCs/>
                <w:color w:val="FFFFFF"/>
                <w:sz w:val="19"/>
                <w:szCs w:val="19"/>
              </w:rPr>
              <w:t xml:space="preserve">Tier</w:t>
            </w:r>
          </w:p>
        </w:tc>
        <w:tc>
          <w:tcPr>
            <w:tcW w:type="dxa" w:w="1600"/>
            <w:shd w:fill="0F1B33" w:color="auto" w:val="clear"/>
            <w:tcMar>
              <w:top w:type="dxa" w:w="90"/>
              <w:left w:type="dxa" w:w="120"/>
              <w:bottom w:type="dxa" w:w="90"/>
              <w:right w:type="dxa" w:w="120"/>
            </w:tcMar>
          </w:tcPr>
          <w:p>
            <w:pPr>
              <w:spacing w:after="0" w:line="260"/>
            </w:pPr>
            <w:r>
              <w:rPr>
                <w:rFonts w:ascii="Arial" w:cs="Arial" w:eastAsia="Arial" w:hAnsi="Arial"/>
                <w:b/>
                <w:bCs/>
                <w:color w:val="FFFFFF"/>
                <w:sz w:val="19"/>
                <w:szCs w:val="19"/>
              </w:rPr>
              <w:t xml:space="preserve">Price</w:t>
            </w:r>
          </w:p>
        </w:tc>
        <w:tc>
          <w:tcPr>
            <w:tcW w:type="dxa" w:w="5026"/>
            <w:shd w:fill="0F1B33" w:color="auto" w:val="clear"/>
            <w:tcMar>
              <w:top w:type="dxa" w:w="90"/>
              <w:left w:type="dxa" w:w="120"/>
              <w:bottom w:type="dxa" w:w="90"/>
              <w:right w:type="dxa" w:w="120"/>
            </w:tcMar>
          </w:tcPr>
          <w:p>
            <w:pPr>
              <w:spacing w:after="0" w:line="260"/>
            </w:pPr>
            <w:r>
              <w:rPr>
                <w:rFonts w:ascii="Arial" w:cs="Arial" w:eastAsia="Arial" w:hAnsi="Arial"/>
                <w:b/>
                <w:bCs/>
                <w:color w:val="FFFFFF"/>
                <w:sz w:val="19"/>
                <w:szCs w:val="19"/>
              </w:rPr>
              <w:t xml:space="preserve">What it opens</w:t>
            </w:r>
          </w:p>
        </w:tc>
      </w:tr>
      <w:tr>
        <w:tc>
          <w:tcPr>
            <w:tcW w:type="dxa" w:w="2400"/>
            <w:shd w:fill="FFFFFF"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Health Check</w:t>
            </w:r>
          </w:p>
        </w:tc>
        <w:tc>
          <w:tcPr>
            <w:tcW w:type="dxa" w:w="1600"/>
            <w:shd w:fill="FFFFFF"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Free</w:t>
            </w:r>
          </w:p>
        </w:tc>
        <w:tc>
          <w:tcPr>
            <w:tcW w:type="dxa" w:w="5026"/>
            <w:shd w:fill="FFFFFF"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Run the diagnosis on holdings already owned</w:t>
            </w:r>
          </w:p>
        </w:tc>
      </w:tr>
      <w:tr>
        <w:tc>
          <w:tcPr>
            <w:tcW w:type="dxa" w:w="2400"/>
            <w:shd w:fill="F2F5FA"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Full report unlock</w:t>
            </w:r>
          </w:p>
        </w:tc>
        <w:tc>
          <w:tcPr>
            <w:tcW w:type="dxa" w:w="1600"/>
            <w:shd w:fill="F2F5FA"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₹99 once</w:t>
            </w:r>
          </w:p>
        </w:tc>
        <w:tc>
          <w:tcPr>
            <w:tcW w:type="dxa" w:w="5026"/>
            <w:shd w:fill="F2F5FA"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The complete report — a paid-intent qualifier, not the business</w:t>
            </w:r>
          </w:p>
        </w:tc>
      </w:tr>
      <w:tr>
        <w:tc>
          <w:tcPr>
            <w:tcW w:type="dxa" w:w="2400"/>
            <w:shd w:fill="FFFFFF"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Starter</w:t>
            </w:r>
          </w:p>
        </w:tc>
        <w:tc>
          <w:tcPr>
            <w:tcW w:type="dxa" w:w="1600"/>
            <w:shd w:fill="FFFFFF"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₹399/mo</w:t>
            </w:r>
          </w:p>
        </w:tc>
        <w:tc>
          <w:tcPr>
            <w:tcW w:type="dxa" w:w="5026"/>
            <w:shd w:fill="FFFFFF"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2 portfolios, Health Check plus Construction, core engines</w:t>
            </w:r>
          </w:p>
        </w:tc>
      </w:tr>
      <w:tr>
        <w:tc>
          <w:tcPr>
            <w:tcW w:type="dxa" w:w="2400"/>
            <w:shd w:fill="F2F5FA"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Growth</w:t>
            </w:r>
          </w:p>
        </w:tc>
        <w:tc>
          <w:tcPr>
            <w:tcW w:type="dxa" w:w="1600"/>
            <w:shd w:fill="F2F5FA"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₹899/mo</w:t>
            </w:r>
          </w:p>
        </w:tc>
        <w:tc>
          <w:tcPr>
            <w:tcW w:type="dxa" w:w="5026"/>
            <w:shd w:fill="F2F5FA"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2–5 portfolios, deeper engines, re-checks and rebalancing</w:t>
            </w:r>
          </w:p>
        </w:tc>
      </w:tr>
      <w:tr>
        <w:tc>
          <w:tcPr>
            <w:tcW w:type="dxa" w:w="2400"/>
            <w:shd w:fill="FFFFFF"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Pro</w:t>
            </w:r>
          </w:p>
        </w:tc>
        <w:tc>
          <w:tcPr>
            <w:tcW w:type="dxa" w:w="1600"/>
            <w:shd w:fill="FFFFFF"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₹1,499/mo</w:t>
            </w:r>
          </w:p>
        </w:tc>
        <w:tc>
          <w:tcPr>
            <w:tcW w:type="dxa" w:w="5026"/>
            <w:shd w:fill="FFFFFF"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5–10 portfolios, all engines, full NxanceLM access</w:t>
            </w:r>
          </w:p>
        </w:tc>
      </w:tr>
    </w:tbl>
    <w:p>
      <w:pPr>
        <w:spacing w:after="140" w:before="140" w:line="280"/>
      </w:pPr>
      <w:r>
        <w:rPr>
          <w:rFonts w:ascii="Calibri" w:cs="Calibri" w:eastAsia="Calibri" w:hAnsi="Calibri"/>
          <w:b/>
          <w:bCs/>
          <w:color w:val="0F1B33"/>
          <w:sz w:val="21"/>
          <w:szCs w:val="21"/>
        </w:rPr>
        <w:t xml:space="preserve">Never say "₹499–999". </w:t>
      </w:r>
      <w:r>
        <w:rPr>
          <w:rFonts w:ascii="Calibri" w:cs="Calibri" w:eastAsia="Calibri" w:hAnsi="Calibri"/>
          <w:color w:val="3A4657"/>
          <w:sz w:val="21"/>
          <w:szCs w:val="21"/>
        </w:rPr>
        <w:t xml:space="preserve">That range appeared on three slides of the old deck and contradicted both the model and our own price list. The correct range everywhere is ₹399–1,499.</w:t>
      </w:r>
    </w:p>
    <w:p>
      <w:pPr>
        <w:pStyle w:val="Heading2"/>
        <w:keepNext/>
        <w:spacing w:after="120" w:before="320"/>
      </w:pPr>
      <w:r>
        <w:rPr>
          <w:rFonts w:ascii="Arial" w:cs="Arial" w:eastAsia="Arial" w:hAnsi="Arial"/>
          <w:b/>
          <w:bCs/>
          <w:color w:val="2F5FE0"/>
          <w:sz w:val="24"/>
          <w:szCs w:val="24"/>
        </w:rPr>
        <w:t xml:space="preserve">6.3  What the regulator lets anyone charge</w:t>
      </w:r>
    </w:p>
    <w:tbl>
      <w:tblPr>
        <w:tblW w:type="dxa" w:w="9026"/>
        <w:tblBorders>
          <w:top w:val="single" w:color="DCE3F0" w:sz="4"/>
          <w:left w:val="single" w:color="DCE3F0" w:sz="4"/>
          <w:bottom w:val="single" w:color="DCE3F0" w:sz="4"/>
          <w:right w:val="single" w:color="DCE3F0" w:sz="4"/>
          <w:insideH w:val="single" w:color="DCE3F0" w:sz="4"/>
          <w:insideV w:val="single" w:color="DCE3F0" w:sz="4"/>
        </w:tblBorders>
      </w:tblPr>
      <w:tblGrid>
        <w:gridCol w:w="2800"/>
        <w:gridCol w:w="2400"/>
        <w:gridCol w:w="3826"/>
      </w:tblGrid>
      <w:tr>
        <w:trPr>
          <w:tblHeader/>
        </w:trPr>
        <w:tc>
          <w:tcPr>
            <w:tcW w:type="dxa" w:w="2800"/>
            <w:shd w:fill="0F1B33" w:color="auto" w:val="clear"/>
            <w:tcMar>
              <w:top w:type="dxa" w:w="90"/>
              <w:left w:type="dxa" w:w="120"/>
              <w:bottom w:type="dxa" w:w="90"/>
              <w:right w:type="dxa" w:w="120"/>
            </w:tcMar>
          </w:tcPr>
          <w:p>
            <w:pPr>
              <w:spacing w:after="0" w:line="260"/>
            </w:pPr>
            <w:r>
              <w:rPr>
                <w:rFonts w:ascii="Arial" w:cs="Arial" w:eastAsia="Arial" w:hAnsi="Arial"/>
                <w:b/>
                <w:bCs/>
                <w:color w:val="FFFFFF"/>
                <w:sz w:val="19"/>
                <w:szCs w:val="19"/>
              </w:rPr>
              <w:t xml:space="preserve">Rule</w:t>
            </w:r>
          </w:p>
        </w:tc>
        <w:tc>
          <w:tcPr>
            <w:tcW w:type="dxa" w:w="2400"/>
            <w:shd w:fill="0F1B33" w:color="auto" w:val="clear"/>
            <w:tcMar>
              <w:top w:type="dxa" w:w="90"/>
              <w:left w:type="dxa" w:w="120"/>
              <w:bottom w:type="dxa" w:w="90"/>
              <w:right w:type="dxa" w:w="120"/>
            </w:tcMar>
          </w:tcPr>
          <w:p>
            <w:pPr>
              <w:spacing w:after="0" w:line="260"/>
            </w:pPr>
            <w:r>
              <w:rPr>
                <w:rFonts w:ascii="Arial" w:cs="Arial" w:eastAsia="Arial" w:hAnsi="Arial"/>
                <w:b/>
                <w:bCs/>
                <w:color w:val="FFFFFF"/>
                <w:sz w:val="19"/>
                <w:szCs w:val="19"/>
              </w:rPr>
              <w:t xml:space="preserve">The cap</w:t>
            </w:r>
          </w:p>
        </w:tc>
        <w:tc>
          <w:tcPr>
            <w:tcW w:type="dxa" w:w="3826"/>
            <w:shd w:fill="0F1B33" w:color="auto" w:val="clear"/>
            <w:tcMar>
              <w:top w:type="dxa" w:w="90"/>
              <w:left w:type="dxa" w:w="120"/>
              <w:bottom w:type="dxa" w:w="90"/>
              <w:right w:type="dxa" w:w="120"/>
            </w:tcMar>
          </w:tcPr>
          <w:p>
            <w:pPr>
              <w:spacing w:after="0" w:line="260"/>
            </w:pPr>
            <w:r>
              <w:rPr>
                <w:rFonts w:ascii="Arial" w:cs="Arial" w:eastAsia="Arial" w:hAnsi="Arial"/>
                <w:b/>
                <w:bCs/>
                <w:color w:val="FFFFFF"/>
                <w:sz w:val="19"/>
                <w:szCs w:val="19"/>
              </w:rPr>
              <w:t xml:space="preserve">Why it matters to us</w:t>
            </w:r>
          </w:p>
        </w:tc>
      </w:tr>
      <w:tr>
        <w:tc>
          <w:tcPr>
            <w:tcW w:type="dxa" w:w="2800"/>
            <w:shd w:fill="FFFFFF"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SEBI investment adviser fee, individual client</w:t>
            </w:r>
          </w:p>
        </w:tc>
        <w:tc>
          <w:tcPr>
            <w:tcW w:type="dxa" w:w="2400"/>
            <w:shd w:fill="FFFFFF"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2.5% of assets under advice, or ₹1,51,000 a year</w:t>
            </w:r>
          </w:p>
        </w:tc>
        <w:tc>
          <w:tcPr>
            <w:tcW w:type="dxa" w:w="3826"/>
            <w:shd w:fill="FFFFFF"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Our 50 bps assumption is one-fifth of this ceiling — nobody can call it aggressive</w:t>
            </w:r>
          </w:p>
        </w:tc>
      </w:tr>
      <w:tr>
        <w:tc>
          <w:tcPr>
            <w:tcW w:type="dxa" w:w="2800"/>
            <w:shd w:fill="F2F5FA"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SEBI research analyst fee</w:t>
            </w:r>
          </w:p>
        </w:tc>
        <w:tc>
          <w:tcPr>
            <w:tcW w:type="dxa" w:w="2400"/>
            <w:shd w:fill="F2F5FA"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₹1,51,000 a year per client</w:t>
            </w:r>
          </w:p>
        </w:tc>
        <w:tc>
          <w:tcPr>
            <w:tcW w:type="dxa" w:w="3826"/>
            <w:shd w:fill="F2F5FA"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Sets the ceiling on a pure research subscription</w:t>
            </w:r>
          </w:p>
        </w:tc>
      </w:tr>
      <w:tr>
        <w:tc>
          <w:tcPr>
            <w:tcW w:type="dxa" w:w="2800"/>
            <w:shd w:fill="FFFFFF"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Non-individual and accredited clients</w:t>
            </w:r>
          </w:p>
        </w:tc>
        <w:tc>
          <w:tcPr>
            <w:tcW w:type="dxa" w:w="2400"/>
            <w:shd w:fill="FFFFFF" w:color="auto" w:val="clear"/>
            <w:tcMar>
              <w:top w:type="dxa" w:w="80"/>
              <w:left w:type="dxa" w:w="120"/>
              <w:bottom w:type="dxa" w:w="80"/>
              <w:right w:type="dxa" w:w="120"/>
            </w:tcMar>
          </w:tcPr>
          <w:p>
            <w:pPr>
              <w:spacing w:after="0" w:before="0" w:line="260"/>
            </w:pPr>
            <w:r>
              <w:rPr>
                <w:rFonts w:ascii="Calibri" w:cs="Calibri" w:eastAsia="Calibri" w:hAnsi="Calibri"/>
                <w:b/>
                <w:bCs/>
                <w:color w:val="0F1B33"/>
                <w:sz w:val="21"/>
                <w:szCs w:val="21"/>
              </w:rPr>
              <w:t xml:space="preserve">No cap</w:t>
            </w:r>
          </w:p>
        </w:tc>
        <w:tc>
          <w:tcPr>
            <w:tcW w:type="dxa" w:w="3826"/>
            <w:shd w:fill="FFFFFF"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Trusts, LLPs and investment companies can be charged freely — this is why the family-vehicle tier is worth more per relationship than a retail subscriber</w:t>
            </w:r>
          </w:p>
        </w:tc>
      </w:tr>
    </w:tbl>
    <w:p>
      <w:pPr>
        <w:pStyle w:val="Heading2"/>
        <w:keepNext/>
        <w:spacing w:after="120" w:before="320"/>
      </w:pPr>
      <w:r>
        <w:rPr>
          <w:rFonts w:ascii="Arial" w:cs="Arial" w:eastAsia="Arial" w:hAnsi="Arial"/>
          <w:b/>
          <w:bCs/>
          <w:color w:val="2F5FE0"/>
          <w:sz w:val="24"/>
          <w:szCs w:val="24"/>
        </w:rPr>
        <w:t xml:space="preserve">6.4  Competitors (slide 8)</w:t>
      </w:r>
    </w:p>
    <w:p>
      <w:pPr>
        <w:spacing w:after="140" w:before="0" w:line="280"/>
      </w:pPr>
      <w:r>
        <w:rPr>
          <w:rFonts w:ascii="Calibri" w:cs="Calibri" w:eastAsia="Calibri" w:hAnsi="Calibri"/>
          <w:color w:val="3A4657"/>
          <w:sz w:val="21"/>
          <w:szCs w:val="21"/>
        </w:rPr>
        <w:t xml:space="preserve">Everything on the competition slide comes from company websites and public app listings as at 2026. Pricing and positioning change — re-check before any meeting where you expect to be pushed on a specific competitor.</w:t>
      </w:r>
    </w:p>
    <w:tbl>
      <w:tblPr>
        <w:tblW w:type="dxa" w:w="9026"/>
        <w:tblBorders>
          <w:top w:val="single" w:color="DCE3F0" w:sz="4"/>
          <w:left w:val="single" w:color="DCE3F0" w:sz="4"/>
          <w:bottom w:val="single" w:color="DCE3F0" w:sz="4"/>
          <w:right w:val="single" w:color="DCE3F0" w:sz="4"/>
          <w:insideH w:val="single" w:color="DCE3F0" w:sz="4"/>
          <w:insideV w:val="single" w:color="DCE3F0" w:sz="4"/>
        </w:tblBorders>
      </w:tblPr>
      <w:tblGrid>
        <w:gridCol w:w="1500"/>
        <w:gridCol w:w="4400"/>
        <w:gridCol w:w="3126"/>
      </w:tblGrid>
      <w:tr>
        <w:trPr>
          <w:tblHeader/>
        </w:trPr>
        <w:tc>
          <w:tcPr>
            <w:tcW w:type="dxa" w:w="1500"/>
            <w:shd w:fill="0F1B33" w:color="auto" w:val="clear"/>
            <w:tcMar>
              <w:top w:type="dxa" w:w="90"/>
              <w:left w:type="dxa" w:w="120"/>
              <w:bottom w:type="dxa" w:w="90"/>
              <w:right w:type="dxa" w:w="120"/>
            </w:tcMar>
          </w:tcPr>
          <w:p>
            <w:pPr>
              <w:spacing w:after="0" w:line="260"/>
            </w:pPr>
            <w:r>
              <w:rPr>
                <w:rFonts w:ascii="Arial" w:cs="Arial" w:eastAsia="Arial" w:hAnsi="Arial"/>
                <w:b/>
                <w:bCs/>
                <w:color w:val="FFFFFF"/>
                <w:sz w:val="19"/>
                <w:szCs w:val="19"/>
              </w:rPr>
              <w:t xml:space="preserve">Competitor</w:t>
            </w:r>
          </w:p>
        </w:tc>
        <w:tc>
          <w:tcPr>
            <w:tcW w:type="dxa" w:w="4400"/>
            <w:shd w:fill="0F1B33" w:color="auto" w:val="clear"/>
            <w:tcMar>
              <w:top w:type="dxa" w:w="90"/>
              <w:left w:type="dxa" w:w="120"/>
              <w:bottom w:type="dxa" w:w="90"/>
              <w:right w:type="dxa" w:w="120"/>
            </w:tcMar>
          </w:tcPr>
          <w:p>
            <w:pPr>
              <w:spacing w:after="0" w:line="260"/>
            </w:pPr>
            <w:r>
              <w:rPr>
                <w:rFonts w:ascii="Arial" w:cs="Arial" w:eastAsia="Arial" w:hAnsi="Arial"/>
                <w:b/>
                <w:bCs/>
                <w:color w:val="FFFFFF"/>
                <w:sz w:val="19"/>
                <w:szCs w:val="19"/>
              </w:rPr>
              <w:t xml:space="preserve">What we say</w:t>
            </w:r>
          </w:p>
        </w:tc>
        <w:tc>
          <w:tcPr>
            <w:tcW w:type="dxa" w:w="3126"/>
            <w:shd w:fill="0F1B33" w:color="auto" w:val="clear"/>
            <w:tcMar>
              <w:top w:type="dxa" w:w="90"/>
              <w:left w:type="dxa" w:w="120"/>
              <w:bottom w:type="dxa" w:w="90"/>
              <w:right w:type="dxa" w:w="120"/>
            </w:tcMar>
          </w:tcPr>
          <w:p>
            <w:pPr>
              <w:spacing w:after="0" w:line="260"/>
            </w:pPr>
            <w:r>
              <w:rPr>
                <w:rFonts w:ascii="Arial" w:cs="Arial" w:eastAsia="Arial" w:hAnsi="Arial"/>
                <w:b/>
                <w:bCs/>
                <w:color w:val="FFFFFF"/>
                <w:sz w:val="19"/>
                <w:szCs w:val="19"/>
              </w:rPr>
              <w:t xml:space="preserve">Watch out for</w:t>
            </w:r>
          </w:p>
        </w:tc>
      </w:tr>
      <w:tr>
        <w:tc>
          <w:tcPr>
            <w:tcW w:type="dxa" w:w="1500"/>
            <w:shd w:fill="FFFFFF"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Kalpi.ai</w:t>
            </w:r>
          </w:p>
        </w:tc>
        <w:tc>
          <w:tcPr>
            <w:tcW w:type="dxa" w:w="4400"/>
            <w:shd w:fill="FFFFFF"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Serves DIY strategy builders. Free, then premium tiers. Rule-based builder.</w:t>
            </w:r>
          </w:p>
        </w:tc>
        <w:tc>
          <w:tcPr>
            <w:tcW w:type="dxa" w:w="3126"/>
            <w:shd w:fill="FFFFFF"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Closest on price, furthest on depth</w:t>
            </w:r>
          </w:p>
        </w:tc>
      </w:tr>
      <w:tr>
        <w:tc>
          <w:tcPr>
            <w:tcW w:type="dxa" w:w="1500"/>
            <w:shd w:fill="F2F5FA"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Wright Research</w:t>
            </w:r>
          </w:p>
        </w:tc>
        <w:tc>
          <w:tcPr>
            <w:tcW w:type="dxa" w:w="4400"/>
            <w:shd w:fill="F2F5FA"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Managed money, RIA/PMS. ~1.5–2% of assets. ML factor models.</w:t>
            </w:r>
          </w:p>
        </w:tc>
        <w:tc>
          <w:tcPr>
            <w:tcW w:type="dxa" w:w="3126"/>
            <w:shd w:fill="F2F5FA"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The strongest AI claim among the four</w:t>
            </w:r>
          </w:p>
        </w:tc>
      </w:tr>
      <w:tr>
        <w:tc>
          <w:tcPr>
            <w:tcW w:type="dxa" w:w="1500"/>
            <w:shd w:fill="FFFFFF"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Ionic Wealth</w:t>
            </w:r>
          </w:p>
        </w:tc>
        <w:tc>
          <w:tcPr>
            <w:tcW w:type="dxa" w:w="4400"/>
            <w:shd w:fill="FFFFFF"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HNI and UHNI, ₹1–25 Cr. PMS/AIF fees, accredited investors only. Angel One-backed.</w:t>
            </w:r>
          </w:p>
        </w:tc>
        <w:tc>
          <w:tcPr>
            <w:tcW w:type="dxa" w:w="3126"/>
            <w:shd w:fill="FFFFFF"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Well funded — do not dismiss it, differentiate on who it serves</w:t>
            </w:r>
          </w:p>
        </w:tc>
      </w:tr>
      <w:tr>
        <w:tc>
          <w:tcPr>
            <w:tcW w:type="dxa" w:w="1500"/>
            <w:shd w:fill="F2F5FA"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MyFi</w:t>
            </w:r>
          </w:p>
        </w:tc>
        <w:tc>
          <w:tcPr>
            <w:tcW w:type="dxa" w:w="4400"/>
            <w:shd w:fill="F2F5FA"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Retail mutual fund and stock investors. Free, monetised via lending. Chat over fund scores.</w:t>
            </w:r>
          </w:p>
        </w:tc>
        <w:tc>
          <w:tcPr>
            <w:tcW w:type="dxa" w:w="3126"/>
            <w:shd w:fill="F2F5FA"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Free is hard to argue with — our answer is that free-via-lending is a conflict, not a price</w:t>
            </w:r>
          </w:p>
        </w:tc>
      </w:tr>
      <w:tr>
        <w:tc>
          <w:tcPr>
            <w:tcW w:type="dxa" w:w="1500"/>
            <w:shd w:fill="FFFFFF"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Dezerv</w:t>
            </w:r>
          </w:p>
        </w:tc>
        <w:tc>
          <w:tcPr>
            <w:tcW w:type="dxa" w:w="4400"/>
            <w:shd w:fill="FFFFFF"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6 lakh+ users. HNI-oriented, advisory-fee and relationship-manager-led.</w:t>
            </w:r>
          </w:p>
        </w:tc>
        <w:tc>
          <w:tcPr>
            <w:tcW w:type="dxa" w:w="3126"/>
            <w:shd w:fill="FFFFFF" w:color="auto" w:val="clear"/>
            <w:tcMar>
              <w:top w:type="dxa" w:w="80"/>
              <w:left w:type="dxa" w:w="120"/>
              <w:bottom w:type="dxa" w:w="80"/>
              <w:right w:type="dxa" w:w="120"/>
            </w:tcMar>
          </w:tcPr>
          <w:p>
            <w:pPr>
              <w:spacing w:after="0" w:before="0" w:line="260"/>
            </w:pPr>
            <w:r>
              <w:rPr>
                <w:rFonts w:ascii="Calibri" w:cs="Calibri" w:eastAsia="Calibri" w:hAnsi="Calibri"/>
                <w:b/>
                <w:bCs/>
                <w:color w:val="0F1B33"/>
                <w:sz w:val="21"/>
                <w:szCs w:val="21"/>
              </w:rPr>
              <w:t xml:space="preserve">Cited as demand proof, not as a comparable.</w:t>
            </w:r>
            <w:r>
              <w:rPr>
                <w:rFonts w:ascii="Calibri" w:cs="Calibri" w:eastAsia="Calibri" w:hAnsi="Calibri"/>
                <w:color w:val="3A4657"/>
                <w:sz w:val="21"/>
                <w:szCs w:val="21"/>
              </w:rPr>
              <w:t xml:space="preserve"> It shows Indians will pay for advice. Do not position against it head-on.</w:t>
            </w:r>
          </w:p>
        </w:tc>
      </w:tr>
    </w:tbl>
    <w:p>
      <w:pPr>
        <w:spacing w:after="140" w:before="140" w:line="280"/>
      </w:pPr>
      <w:r>
        <w:rPr>
          <w:rFonts w:ascii="Calibri" w:cs="Calibri" w:eastAsia="Calibri" w:hAnsi="Calibri"/>
          <w:b/>
          <w:bCs/>
          <w:color w:val="0F1B33"/>
          <w:sz w:val="21"/>
          <w:szCs w:val="21"/>
        </w:rPr>
        <w:t xml:space="preserve">Our one-line differentiation: </w:t>
      </w:r>
      <w:r>
        <w:rPr>
          <w:rFonts w:ascii="Calibri" w:cs="Calibri" w:eastAsia="Calibri" w:hAnsi="Calibri"/>
          <w:color w:val="3A4657"/>
          <w:sz w:val="21"/>
          <w:szCs w:val="21"/>
        </w:rPr>
        <w:t xml:space="preserve">"Nobody else starts with a diagnosis of what you already own, shows its reasoning, and charges a flat fee." All three halves of that sentence have to be true at once — that is the defensible claim, not any one of them alone.</w:t>
      </w:r>
    </w:p>
    <w:p>
      <w:pPr>
        <w:pStyle w:val="Heading2"/>
        <w:keepNext/>
        <w:spacing w:after="120" w:before="320"/>
      </w:pPr>
      <w:r>
        <w:rPr>
          <w:rFonts w:ascii="Arial" w:cs="Arial" w:eastAsia="Arial" w:hAnsi="Arial"/>
          <w:b/>
          <w:bCs/>
          <w:color w:val="2F5FE0"/>
          <w:sz w:val="24"/>
          <w:szCs w:val="24"/>
        </w:rPr>
        <w:t xml:space="preserve">6.5  The global-coverage price premium</w:t>
      </w:r>
    </w:p>
    <w:p>
      <w:pPr>
        <w:spacing w:after="140" w:before="0" w:line="280"/>
      </w:pPr>
      <w:r>
        <w:rPr>
          <w:rFonts w:ascii="Calibri" w:cs="Calibri" w:eastAsia="Calibri" w:hAnsi="Calibri"/>
          <w:color w:val="3A4657"/>
          <w:sz w:val="21"/>
          <w:szCs w:val="21"/>
        </w:rPr>
        <w:t xml:space="preserve">We advise on globally invested portfolios, and there is evidence that global coverage carries a price premium in India. Trendlyne charges about ₹310 a month for domestic coverage and ₹1,500–2,000 a month for its global tiers — roughly five times. Supporting demand evidence: outward remittances for equity and debt investment under the RBI's Liberalised Remittance Scheme ran at US$1.06 bn in April–June FY27 alone, double the year before, and it is the fastest-growing purpose category in that data. India has about 390,000 dollar-millionaires holding US$1.64 trillion.</w:t>
      </w:r>
    </w:p>
    <w:p>
      <w:r>
        <w:br w:type="page"/>
      </w:r>
    </w:p>
    <w:p>
      <w:pPr>
        <w:pStyle w:val="Heading1"/>
        <w:keepNext/>
        <w:pBdr>
          <w:bottom w:val="single" w:color="2F5FE0" w:sz="12" w:space="6"/>
        </w:pBdr>
        <w:spacing w:after="180" w:before="420"/>
      </w:pPr>
      <w:r>
        <w:rPr>
          <w:rFonts w:ascii="Arial" w:cs="Arial" w:eastAsia="Arial" w:hAnsi="Arial"/>
          <w:b/>
          <w:bCs/>
          <w:color w:val="0F1B33"/>
          <w:sz w:val="30"/>
          <w:szCs w:val="30"/>
        </w:rPr>
        <w:t xml:space="preserve">7.  Exit routes</w:t>
      </w:r>
    </w:p>
    <w:p>
      <w:pPr>
        <w:spacing w:after="140" w:before="0" w:line="280"/>
      </w:pPr>
      <w:r>
        <w:rPr>
          <w:rFonts w:ascii="Calibri" w:cs="Calibri" w:eastAsia="Calibri" w:hAnsi="Calibri"/>
          <w:color w:val="3A4657"/>
          <w:sz w:val="21"/>
          <w:szCs w:val="21"/>
        </w:rPr>
        <w:t xml:space="preserve">Slide 17 names five routes and deliberately carries no valuation numbers. At seed stage, naming plausible buyers matters more than modelling a multiple, and an investor who knows the category will do their own arithmetic anyway.</w:t>
      </w:r>
    </w:p>
    <w:tbl>
      <w:tblPr>
        <w:tblW w:type="dxa" w:w="9026"/>
        <w:tblBorders>
          <w:top w:val="single" w:color="DCE3F0" w:sz="4"/>
          <w:left w:val="single" w:color="DCE3F0" w:sz="4"/>
          <w:bottom w:val="single" w:color="DCE3F0" w:sz="4"/>
          <w:right w:val="single" w:color="DCE3F0" w:sz="4"/>
          <w:insideH w:val="single" w:color="DCE3F0" w:sz="4"/>
          <w:insideV w:val="single" w:color="DCE3F0" w:sz="4"/>
        </w:tblBorders>
      </w:tblPr>
      <w:tblGrid>
        <w:gridCol w:w="2400"/>
        <w:gridCol w:w="6626"/>
      </w:tblGrid>
      <w:tr>
        <w:trPr>
          <w:tblHeader/>
        </w:trPr>
        <w:tc>
          <w:tcPr>
            <w:tcW w:type="dxa" w:w="2400"/>
            <w:shd w:fill="0F1B33" w:color="auto" w:val="clear"/>
            <w:tcMar>
              <w:top w:type="dxa" w:w="90"/>
              <w:left w:type="dxa" w:w="120"/>
              <w:bottom w:type="dxa" w:w="90"/>
              <w:right w:type="dxa" w:w="120"/>
            </w:tcMar>
          </w:tcPr>
          <w:p>
            <w:pPr>
              <w:spacing w:after="0" w:line="260"/>
            </w:pPr>
            <w:r>
              <w:rPr>
                <w:rFonts w:ascii="Arial" w:cs="Arial" w:eastAsia="Arial" w:hAnsi="Arial"/>
                <w:b/>
                <w:bCs/>
                <w:color w:val="FFFFFF"/>
                <w:sz w:val="19"/>
                <w:szCs w:val="19"/>
              </w:rPr>
              <w:t xml:space="preserve">Route</w:t>
            </w:r>
          </w:p>
        </w:tc>
        <w:tc>
          <w:tcPr>
            <w:tcW w:type="dxa" w:w="6626"/>
            <w:shd w:fill="0F1B33" w:color="auto" w:val="clear"/>
            <w:tcMar>
              <w:top w:type="dxa" w:w="90"/>
              <w:left w:type="dxa" w:w="120"/>
              <w:bottom w:type="dxa" w:w="90"/>
              <w:right w:type="dxa" w:w="120"/>
            </w:tcMar>
          </w:tcPr>
          <w:p>
            <w:pPr>
              <w:spacing w:after="0" w:line="260"/>
            </w:pPr>
            <w:r>
              <w:rPr>
                <w:rFonts w:ascii="Arial" w:cs="Arial" w:eastAsia="Arial" w:hAnsi="Arial"/>
                <w:b/>
                <w:bCs/>
                <w:color w:val="FFFFFF"/>
                <w:sz w:val="19"/>
                <w:szCs w:val="19"/>
              </w:rPr>
              <w:t xml:space="preserve">The logic</w:t>
            </w:r>
          </w:p>
        </w:tc>
      </w:tr>
      <w:tr>
        <w:tc>
          <w:tcPr>
            <w:tcW w:type="dxa" w:w="2400"/>
            <w:shd w:fill="FFFFFF"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Strategic acquisition</w:t>
            </w:r>
          </w:p>
        </w:tc>
        <w:tc>
          <w:tcPr>
            <w:tcW w:type="dxa" w:w="6626"/>
            <w:shd w:fill="FFFFFF"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Brokers, AMCs and banks already own the customer relationship that Nxance makes stickier</w:t>
            </w:r>
          </w:p>
        </w:tc>
      </w:tr>
      <w:tr>
        <w:tc>
          <w:tcPr>
            <w:tcW w:type="dxa" w:w="2400"/>
            <w:shd w:fill="F2F5FA"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Wealthtech consolidation</w:t>
            </w:r>
          </w:p>
        </w:tc>
        <w:tc>
          <w:tcPr>
            <w:tcW w:type="dxa" w:w="6626"/>
            <w:shd w:fill="F2F5FA"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An established advisory or wealthtech platform acquiring the engines and the user base</w:t>
            </w:r>
          </w:p>
        </w:tc>
      </w:tr>
      <w:tr>
        <w:tc>
          <w:tcPr>
            <w:tcW w:type="dxa" w:w="2400"/>
            <w:shd w:fill="FFFFFF"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Infrastructure buyer</w:t>
            </w:r>
          </w:p>
        </w:tc>
        <w:tc>
          <w:tcPr>
            <w:tcW w:type="dxa" w:w="6626"/>
            <w:shd w:fill="FFFFFF"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An AMC, insurer or bank taking the engines as the intelligence layer behind its own product</w:t>
            </w:r>
          </w:p>
        </w:tc>
      </w:tr>
      <w:tr>
        <w:tc>
          <w:tcPr>
            <w:tcW w:type="dxa" w:w="2400"/>
            <w:shd w:fill="F2F5FA"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Secondary sale</w:t>
            </w:r>
          </w:p>
        </w:tc>
        <w:tc>
          <w:tcPr>
            <w:tcW w:type="dxa" w:w="6626"/>
            <w:shd w:fill="F2F5FA"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Early investors taking partial or full liquidity in a later growth round</w:t>
            </w:r>
          </w:p>
        </w:tc>
      </w:tr>
      <w:tr>
        <w:tc>
          <w:tcPr>
            <w:tcW w:type="dxa" w:w="2400"/>
            <w:shd w:fill="FFFFFF"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The long path: IPO</w:t>
            </w:r>
          </w:p>
        </w:tc>
        <w:tc>
          <w:tcPr>
            <w:tcW w:type="dxa" w:w="6626"/>
            <w:shd w:fill="FFFFFF"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SEBI-RIA registration, then a scaled advisory book, then a public listing</w:t>
            </w:r>
          </w:p>
        </w:tc>
      </w:tr>
    </w:tbl>
    <w:p>
      <w:pPr>
        <w:spacing w:after="140" w:before="140" w:line="280"/>
      </w:pPr>
      <w:r>
        <w:rPr>
          <w:rFonts w:ascii="Calibri" w:cs="Calibri" w:eastAsia="Calibri" w:hAnsi="Calibri"/>
          <w:b/>
          <w:bCs/>
          <w:color w:val="0F1B33"/>
          <w:sz w:val="21"/>
          <w:szCs w:val="21"/>
        </w:rPr>
        <w:t xml:space="preserve">The line that earns the slide: </w:t>
      </w:r>
      <w:r>
        <w:rPr>
          <w:rFonts w:ascii="Calibri" w:cs="Calibri" w:eastAsia="Calibri" w:hAnsi="Calibri"/>
          <w:color w:val="3A4657"/>
          <w:sz w:val="21"/>
          <w:szCs w:val="21"/>
        </w:rPr>
        <w:t xml:space="preserve">because the engines can be licensed as readily as they are used, an infrastructure sale stays open even if the consumer product plateaus. That is a genuine second door, and it is why the slide is worth showing at all.</w:t>
      </w:r>
    </w:p>
    <w:tbl>
      <w:tblPr>
        <w:tblW w:type="dxa" w:w="9026"/>
        <w:tblBorders>
          <w:top w:val="single" w:color="FFF6E5" w:sz="4"/>
          <w:left w:val="single" w:color="D08700" w:sz="24"/>
          <w:bottom w:val="single" w:color="FFF6E5" w:sz="4"/>
          <w:right w:val="single" w:color="FFF6E5" w:sz="4"/>
          <w:insideH w:val="none" w:color="FFF6E5" w:sz="0"/>
          <w:insideV w:val="none" w:color="FFF6E5" w:sz="0"/>
        </w:tblBorders>
      </w:tblPr>
      <w:tblGrid>
        <w:gridCol w:w="9026"/>
      </w:tblGrid>
      <w:tr>
        <w:tc>
          <w:tcPr>
            <w:tcW w:type="dxa" w:w="9026"/>
            <w:shd w:fill="FFF6E5" w:color="auto" w:val="clear"/>
            <w:tcMar>
              <w:top w:type="dxa" w:w="140"/>
              <w:left w:type="dxa" w:w="200"/>
              <w:bottom w:type="dxa" w:w="140"/>
              <w:right w:type="dxa" w:w="200"/>
            </w:tcMar>
          </w:tcPr>
          <w:p>
            <w:pPr>
              <w:spacing w:after="80" w:line="260"/>
            </w:pPr>
            <w:r>
              <w:rPr>
                <w:rFonts w:ascii="Arial" w:cs="Arial" w:eastAsia="Arial" w:hAnsi="Arial"/>
                <w:b/>
                <w:bCs/>
                <w:color w:val="0F1B33"/>
                <w:sz w:val="20"/>
                <w:szCs w:val="20"/>
              </w:rPr>
              <w:t xml:space="preserve">Internal only — the numbers behind the routes. These are deliberately NOT on the slide.</w:t>
            </w:r>
          </w:p>
          <w:p>
            <w:pPr>
              <w:spacing w:after="60" w:line="260"/>
            </w:pPr>
            <w:r>
              <w:rPr>
                <w:rFonts w:ascii="Calibri" w:cs="Calibri" w:eastAsia="Calibri" w:hAnsi="Calibri"/>
                <w:color w:val="3A4657"/>
                <w:sz w:val="21"/>
                <w:szCs w:val="21"/>
              </w:rPr>
              <w:t xml:space="preserve">On ₹12.49 Cr at 20%, diluted to 13.0% after future rounds: a 3.0× return needs a ₹288 Cr exit (24.6% IRR) · 5.0× needs ₹480 Cr (38.0%) · 7.8× needs ₹750 Cr (50.8%) · 10.0× needs ₹961 Cr (58.5%).</w:t>
            </w:r>
          </w:p>
          <w:p>
            <w:pPr>
              <w:spacing w:after="60" w:line="260"/>
            </w:pPr>
            <w:r>
              <w:rPr>
                <w:rFonts w:ascii="Calibri" w:cs="Calibri" w:eastAsia="Calibri" w:hAnsi="Calibri"/>
                <w:color w:val="3A4657"/>
                <w:sz w:val="21"/>
                <w:szCs w:val="21"/>
              </w:rPr>
              <w:t xml:space="preserve">Cross-check from the other direction: the base case of ₹62.9 Cr of Year-5 revenue at a 6× revenue multiple implies a ₹377 Cr exit — 3.9×, or a 31.5% IRR. A 10× return would require about 11.9× that Year-5 revenue.</w:t>
            </w:r>
          </w:p>
          <w:p>
            <w:pPr>
              <w:spacing w:after="60" w:line="260"/>
            </w:pPr>
            <w:r>
              <w:rPr>
                <w:rFonts w:ascii="Calibri" w:cs="Calibri" w:eastAsia="Calibri" w:hAnsi="Calibri"/>
                <w:color w:val="3A4657"/>
                <w:sz w:val="21"/>
                <w:szCs w:val="21"/>
              </w:rPr>
              <w:t xml:space="preserve">Wealthtech M&amp;A in India has transacted at roughly 8–15× revenue.</w:t>
            </w:r>
          </w:p>
          <w:p>
            <w:pPr>
              <w:spacing w:after="60" w:line="260"/>
            </w:pPr>
            <w:r>
              <w:rPr>
                <w:rFonts w:ascii="Calibri" w:cs="Calibri" w:eastAsia="Calibri" w:hAnsi="Calibri"/>
                <w:b/>
                <w:bCs/>
                <w:color w:val="0F1B33"/>
                <w:sz w:val="21"/>
                <w:szCs w:val="21"/>
              </w:rPr>
              <w:t xml:space="preserve">If pushed for numbers in a meeting: </w:t>
            </w:r>
            <w:r>
              <w:rPr>
                <w:rFonts w:ascii="Calibri" w:cs="Calibri" w:eastAsia="Calibri" w:hAnsi="Calibri"/>
                <w:color w:val="3A4657"/>
                <w:sz w:val="21"/>
                <w:szCs w:val="21"/>
              </w:rPr>
              <w:t xml:space="preserve">"The exit sensitivities are in the model — happy to walk you through them separately." Then do. Do not improvise a multiple across the table.</w:t>
            </w:r>
          </w:p>
        </w:tc>
      </w:tr>
    </w:tbl>
    <w:p>
      <w:pPr>
        <w:pStyle w:val="Heading1"/>
        <w:keepNext/>
        <w:pBdr>
          <w:bottom w:val="single" w:color="2F5FE0" w:sz="12" w:space="6"/>
        </w:pBdr>
        <w:spacing w:after="180" w:before="420"/>
      </w:pPr>
      <w:r>
        <w:rPr>
          <w:rFonts w:ascii="Arial" w:cs="Arial" w:eastAsia="Arial" w:hAnsi="Arial"/>
          <w:b/>
          <w:bCs/>
          <w:color w:val="0F1B33"/>
          <w:sz w:val="30"/>
          <w:szCs w:val="30"/>
        </w:rPr>
        <w:t xml:space="preserve">8.  Three things to fix in our own spreadsheet</w:t>
      </w:r>
    </w:p>
    <w:p>
      <w:pPr>
        <w:spacing w:after="140" w:before="0" w:line="280"/>
      </w:pPr>
      <w:r>
        <w:rPr>
          <w:rFonts w:ascii="Calibri" w:cs="Calibri" w:eastAsia="Calibri" w:hAnsi="Calibri"/>
          <w:color w:val="3A4657"/>
          <w:sz w:val="21"/>
          <w:szCs w:val="21"/>
        </w:rPr>
        <w:t xml:space="preserve">These came up while reconciling the deck against the financial model. None of them changes the story, all of them will be found in diligence, and each one is a small credibility tax if an investor finds it before we do.</w:t>
      </w:r>
    </w:p>
    <w:tbl>
      <w:tblPr>
        <w:tblW w:type="dxa" w:w="9026"/>
        <w:tblBorders>
          <w:top w:val="single" w:color="DCE3F0" w:sz="4"/>
          <w:left w:val="single" w:color="DCE3F0" w:sz="4"/>
          <w:bottom w:val="single" w:color="DCE3F0" w:sz="4"/>
          <w:right w:val="single" w:color="DCE3F0" w:sz="4"/>
          <w:insideH w:val="single" w:color="DCE3F0" w:sz="4"/>
          <w:insideV w:val="single" w:color="DCE3F0" w:sz="4"/>
        </w:tblBorders>
      </w:tblPr>
      <w:tblGrid>
        <w:gridCol w:w="500"/>
        <w:gridCol w:w="4600"/>
        <w:gridCol w:w="3926"/>
      </w:tblGrid>
      <w:tr>
        <w:trPr>
          <w:tblHeader/>
        </w:trPr>
        <w:tc>
          <w:tcPr>
            <w:tcW w:type="dxa" w:w="500"/>
            <w:shd w:fill="0F1B33" w:color="auto" w:val="clear"/>
            <w:tcMar>
              <w:top w:type="dxa" w:w="90"/>
              <w:left w:type="dxa" w:w="120"/>
              <w:bottom w:type="dxa" w:w="90"/>
              <w:right w:type="dxa" w:w="120"/>
            </w:tcMar>
          </w:tcPr>
          <w:p>
            <w:pPr>
              <w:spacing w:after="0" w:line="260"/>
            </w:pPr>
            <w:r>
              <w:rPr>
                <w:rFonts w:ascii="Arial" w:cs="Arial" w:eastAsia="Arial" w:hAnsi="Arial"/>
                <w:b/>
                <w:bCs/>
                <w:color w:val="FFFFFF"/>
                <w:sz w:val="19"/>
                <w:szCs w:val="19"/>
              </w:rPr>
              <w:t xml:space="preserve">#</w:t>
            </w:r>
          </w:p>
        </w:tc>
        <w:tc>
          <w:tcPr>
            <w:tcW w:type="dxa" w:w="4600"/>
            <w:shd w:fill="0F1B33" w:color="auto" w:val="clear"/>
            <w:tcMar>
              <w:top w:type="dxa" w:w="90"/>
              <w:left w:type="dxa" w:w="120"/>
              <w:bottom w:type="dxa" w:w="90"/>
              <w:right w:type="dxa" w:w="120"/>
            </w:tcMar>
          </w:tcPr>
          <w:p>
            <w:pPr>
              <w:spacing w:after="0" w:line="260"/>
            </w:pPr>
            <w:r>
              <w:rPr>
                <w:rFonts w:ascii="Arial" w:cs="Arial" w:eastAsia="Arial" w:hAnsi="Arial"/>
                <w:b/>
                <w:bCs/>
                <w:color w:val="FFFFFF"/>
                <w:sz w:val="19"/>
                <w:szCs w:val="19"/>
              </w:rPr>
              <w:t xml:space="preserve">The inconsistency</w:t>
            </w:r>
          </w:p>
        </w:tc>
        <w:tc>
          <w:tcPr>
            <w:tcW w:type="dxa" w:w="3926"/>
            <w:shd w:fill="0F1B33" w:color="auto" w:val="clear"/>
            <w:tcMar>
              <w:top w:type="dxa" w:w="90"/>
              <w:left w:type="dxa" w:w="120"/>
              <w:bottom w:type="dxa" w:w="90"/>
              <w:right w:type="dxa" w:w="120"/>
            </w:tcMar>
          </w:tcPr>
          <w:p>
            <w:pPr>
              <w:spacing w:after="0" w:line="260"/>
            </w:pPr>
            <w:r>
              <w:rPr>
                <w:rFonts w:ascii="Arial" w:cs="Arial" w:eastAsia="Arial" w:hAnsi="Arial"/>
                <w:b/>
                <w:bCs/>
                <w:color w:val="FFFFFF"/>
                <w:sz w:val="19"/>
                <w:szCs w:val="19"/>
              </w:rPr>
              <w:t xml:space="preserve">What to do</w:t>
            </w:r>
          </w:p>
        </w:tc>
      </w:tr>
      <w:tr>
        <w:tc>
          <w:tcPr>
            <w:tcW w:type="dxa" w:w="500"/>
            <w:shd w:fill="FFFFFF"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1</w:t>
            </w:r>
          </w:p>
        </w:tc>
        <w:tc>
          <w:tcPr>
            <w:tcW w:type="dxa" w:w="4600"/>
            <w:shd w:fill="FFFFFF"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The Funding Tranches sheet shows four tranches on an M1–4 / M5–8 / M9–12 / M13–18 schedule. The Executive Summary shows M1–3 / M4–6 / M7–9 / M10–18. The live structure is three tranches of six months each.</w:t>
            </w:r>
          </w:p>
        </w:tc>
        <w:tc>
          <w:tcPr>
            <w:tcW w:type="dxa" w:w="3926"/>
            <w:shd w:fill="FFFFFF"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Rebuild both to the three-tranche structure. Two schedules in one workbook is the kind of thing that stops a diligence call.</w:t>
            </w:r>
          </w:p>
        </w:tc>
      </w:tr>
      <w:tr>
        <w:tc>
          <w:tcPr>
            <w:tcW w:type="dxa" w:w="500"/>
            <w:shd w:fill="F2F5FA"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2</w:t>
            </w:r>
          </w:p>
        </w:tc>
        <w:tc>
          <w:tcPr>
            <w:tcW w:type="dxa" w:w="4600"/>
            <w:shd w:fill="F2F5FA"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The sheet header still reads "₹13.00 Cr / 20.00% Equity" while the rows beneath it total ₹12.49 Cr.</w:t>
            </w:r>
          </w:p>
        </w:tc>
        <w:tc>
          <w:tcPr>
            <w:tcW w:type="dxa" w:w="3926"/>
            <w:shd w:fill="F2F5FA"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Correct the header. Anyone reading the tab sees ₹13.00 Cr before they see the rows.</w:t>
            </w:r>
          </w:p>
        </w:tc>
      </w:tr>
      <w:tr>
        <w:tc>
          <w:tcPr>
            <w:tcW w:type="dxa" w:w="500"/>
            <w:shd w:fill="FFFFFF"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3</w:t>
            </w:r>
          </w:p>
        </w:tc>
        <w:tc>
          <w:tcPr>
            <w:tcW w:type="dxa" w:w="4600"/>
            <w:shd w:fill="FFFFFF"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The cumulative-capital column had read 305.98 / 240.98 / 159.86 / 78.74 instead of the correct 2.50 / 5.62 / 8.74 / 12.49. It is corrected in the tranche PDF.</w:t>
            </w:r>
          </w:p>
        </w:tc>
        <w:tc>
          <w:tcPr>
            <w:tcW w:type="dxa" w:w="3926"/>
            <w:shd w:fill="FFFFFF"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Confirm the correction has been carried back into the .xlsx, not just the PDF.</w:t>
            </w:r>
          </w:p>
        </w:tc>
      </w:tr>
      <w:tr>
        <w:tc>
          <w:tcPr>
            <w:tcW w:type="dxa" w:w="500"/>
            <w:shd w:fill="F2F5FA" w:color="auto" w:val="clear"/>
            <w:tcMar>
              <w:top w:type="dxa" w:w="80"/>
              <w:left w:type="dxa" w:w="120"/>
              <w:bottom w:type="dxa" w:w="80"/>
              <w:right w:type="dxa" w:w="120"/>
            </w:tcMar>
          </w:tcPr>
          <w:p>
            <w:pPr>
              <w:spacing w:after="0" w:before="0" w:line="260"/>
            </w:pPr>
            <w:r>
              <w:rPr>
                <w:rFonts w:ascii="Calibri" w:cs="Calibri" w:eastAsia="Calibri" w:hAnsi="Calibri"/>
                <w:b/>
                <w:bCs/>
                <w:color w:val="0F1B33"/>
                <w:sz w:val="21"/>
                <w:szCs w:val="21"/>
              </w:rPr>
              <w:t xml:space="preserve">Open decision</w:t>
            </w:r>
          </w:p>
        </w:tc>
        <w:tc>
          <w:tcPr>
            <w:tcW w:type="dxa" w:w="4600"/>
            <w:shd w:fill="F2F5FA"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Zero cash at end of month 6 — the whole contingency sits in tranche 2 (see section 4.3).</w:t>
            </w:r>
          </w:p>
        </w:tc>
        <w:tc>
          <w:tcPr>
            <w:tcW w:type="dxa" w:w="3926"/>
            <w:shd w:fill="F2F5FA"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Decide before the first term sheet: shift contingency into tranche 1, or write a funding-date buffer into the terms.</w:t>
            </w:r>
          </w:p>
        </w:tc>
      </w:tr>
    </w:tbl>
    <w:tbl>
      <w:tblPr>
        <w:tblW w:type="dxa" w:w="9026"/>
        <w:tblBorders>
          <w:top w:val="single" w:color="F2F5FA" w:sz="4"/>
          <w:left w:val="single" w:color="8A93A5" w:sz="24"/>
          <w:bottom w:val="single" w:color="F2F5FA" w:sz="4"/>
          <w:right w:val="single" w:color="F2F5FA" w:sz="4"/>
          <w:insideH w:val="none" w:color="F2F5FA" w:sz="0"/>
          <w:insideV w:val="none" w:color="F2F5FA" w:sz="0"/>
        </w:tblBorders>
      </w:tblPr>
      <w:tblGrid>
        <w:gridCol w:w="9026"/>
      </w:tblGrid>
      <w:tr>
        <w:tc>
          <w:tcPr>
            <w:tcW w:type="dxa" w:w="9026"/>
            <w:shd w:fill="F2F5FA" w:color="auto" w:val="clear"/>
            <w:tcMar>
              <w:top w:type="dxa" w:w="140"/>
              <w:left w:type="dxa" w:w="200"/>
              <w:bottom w:type="dxa" w:w="140"/>
              <w:right w:type="dxa" w:w="200"/>
            </w:tcMar>
          </w:tcPr>
          <w:p>
            <w:pPr>
              <w:spacing w:after="80" w:line="260"/>
            </w:pPr>
            <w:r>
              <w:rPr>
                <w:rFonts w:ascii="Arial" w:cs="Arial" w:eastAsia="Arial" w:hAnsi="Arial"/>
                <w:b/>
                <w:bCs/>
                <w:color w:val="0F1B33"/>
                <w:sz w:val="20"/>
                <w:szCs w:val="20"/>
              </w:rPr>
              <w:t xml:space="preserve">Two other open items</w:t>
            </w:r>
          </w:p>
          <w:p>
            <w:pPr>
              <w:spacing w:after="60" w:line="260"/>
            </w:pPr>
            <w:r>
              <w:rPr>
                <w:rFonts w:ascii="Calibri" w:cs="Calibri" w:eastAsia="Calibri" w:hAnsi="Calibri"/>
                <w:b/>
                <w:bCs/>
                <w:color w:val="0F1B33"/>
                <w:sz w:val="21"/>
                <w:szCs w:val="21"/>
              </w:rPr>
              <w:t xml:space="preserve">Product screenshots. </w:t>
            </w:r>
            <w:r>
              <w:rPr>
                <w:rFonts w:ascii="Calibri" w:cs="Calibri" w:eastAsia="Calibri" w:hAnsi="Calibri"/>
                <w:color w:val="3A4657"/>
                <w:sz w:val="21"/>
                <w:szCs w:val="21"/>
              </w:rPr>
              <w:t xml:space="preserve">The images on slide 5 are re-used from the old PDF and are low-resolution. They will look soft on a projector. Replace with clean exports.</w:t>
            </w:r>
          </w:p>
          <w:p>
            <w:pPr>
              <w:spacing w:after="60" w:line="260"/>
            </w:pPr>
            <w:r>
              <w:rPr>
                <w:rFonts w:ascii="Calibri" w:cs="Calibri" w:eastAsia="Calibri" w:hAnsi="Calibri"/>
                <w:b/>
                <w:bCs/>
                <w:color w:val="0F1B33"/>
                <w:sz w:val="21"/>
                <w:szCs w:val="21"/>
              </w:rPr>
              <w:t xml:space="preserve">The logo. </w:t>
            </w:r>
            <w:r>
              <w:rPr>
                <w:rFonts w:ascii="Calibri" w:cs="Calibri" w:eastAsia="Calibri" w:hAnsi="Calibri"/>
                <w:color w:val="3A4657"/>
                <w:sz w:val="21"/>
                <w:szCs w:val="21"/>
              </w:rPr>
              <w:t xml:space="preserve">The source file we were given is a 500×500 JPEG whose actual mark is only about 234×72 pixels. It is upscaled roughly 3× on the cover and will look soft in print. A vector file (SVG, AI or EPS) or a high-resolution PNG fixes this permanently.</w:t>
            </w:r>
          </w:p>
          <w:p>
            <w:pPr>
              <w:spacing w:after="60" w:line="260"/>
            </w:pPr>
            <w:r>
              <w:rPr>
                <w:rFonts w:ascii="Calibri" w:cs="Calibri" w:eastAsia="Calibri" w:hAnsi="Calibri"/>
                <w:b/>
                <w:bCs/>
                <w:color w:val="0F1B33"/>
                <w:sz w:val="21"/>
                <w:szCs w:val="21"/>
              </w:rPr>
              <w:t xml:space="preserve">One genuine gap in the market model. </w:t>
            </w:r>
            <w:r>
              <w:rPr>
                <w:rFonts w:ascii="Calibri" w:cs="Calibri" w:eastAsia="Calibri" w:hAnsi="Calibri"/>
                <w:color w:val="3A4657"/>
                <w:sz w:val="21"/>
                <w:szCs w:val="21"/>
              </w:rPr>
              <w:t xml:space="preserve">Non-government NPS (All Citizen and Corporate tiers) is real addressable money, estimated at ₹2.5–3.5 lakh crore, and we left it out because PFRDA publishes no clean split. Including it would add roughly ₹1,250–1,750 Cr to TAM. Mentioning it unprompted is a credibility gain, not a loss.</w:t>
            </w:r>
          </w:p>
        </w:tc>
      </w:tr>
    </w:tbl>
    <w:p>
      <w:r>
        <w:br w:type="page"/>
      </w:r>
    </w:p>
    <w:p>
      <w:pPr>
        <w:pStyle w:val="Heading1"/>
        <w:keepNext/>
        <w:pBdr>
          <w:bottom w:val="single" w:color="2F5FE0" w:sz="12" w:space="6"/>
        </w:pBdr>
        <w:spacing w:after="180" w:before="420"/>
      </w:pPr>
      <w:r>
        <w:rPr>
          <w:rFonts w:ascii="Arial" w:cs="Arial" w:eastAsia="Arial" w:hAnsi="Arial"/>
          <w:b/>
          <w:bCs/>
          <w:color w:val="0F1B33"/>
          <w:sz w:val="30"/>
          <w:szCs w:val="30"/>
        </w:rPr>
        <w:t xml:space="preserve">9.  Crib sheet</w:t>
      </w:r>
    </w:p>
    <w:p>
      <w:pPr>
        <w:spacing w:after="140" w:before="0" w:line="280"/>
      </w:pPr>
      <w:r>
        <w:rPr>
          <w:rFonts w:ascii="Calibri" w:cs="Calibri" w:eastAsia="Calibri" w:hAnsi="Calibri"/>
          <w:color w:val="3A4657"/>
          <w:sz w:val="21"/>
          <w:szCs w:val="21"/>
        </w:rPr>
        <w:t xml:space="preserve">One-breath answers. If the follow-up goes deeper than this, the detail is earlier in this document — offer to send it rather than reaching for it live.</w:t>
      </w:r>
    </w:p>
    <w:tbl>
      <w:tblPr>
        <w:tblW w:type="dxa" w:w="9026"/>
        <w:tblBorders>
          <w:top w:val="single" w:color="DCE3F0" w:sz="4"/>
          <w:left w:val="single" w:color="DCE3F0" w:sz="4"/>
          <w:bottom w:val="single" w:color="DCE3F0" w:sz="4"/>
          <w:right w:val="single" w:color="DCE3F0" w:sz="4"/>
          <w:insideH w:val="single" w:color="DCE3F0" w:sz="4"/>
          <w:insideV w:val="single" w:color="DCE3F0" w:sz="4"/>
        </w:tblBorders>
      </w:tblPr>
      <w:tblGrid>
        <w:gridCol w:w="2600"/>
        <w:gridCol w:w="6426"/>
      </w:tblGrid>
      <w:tr>
        <w:trPr>
          <w:tblHeader/>
        </w:trPr>
        <w:tc>
          <w:tcPr>
            <w:tcW w:type="dxa" w:w="2600"/>
            <w:shd w:fill="0F1B33" w:color="auto" w:val="clear"/>
            <w:tcMar>
              <w:top w:type="dxa" w:w="90"/>
              <w:left w:type="dxa" w:w="120"/>
              <w:bottom w:type="dxa" w:w="90"/>
              <w:right w:type="dxa" w:w="120"/>
            </w:tcMar>
          </w:tcPr>
          <w:p>
            <w:pPr>
              <w:spacing w:after="0" w:line="260"/>
            </w:pPr>
            <w:r>
              <w:rPr>
                <w:rFonts w:ascii="Arial" w:cs="Arial" w:eastAsia="Arial" w:hAnsi="Arial"/>
                <w:b/>
                <w:bCs/>
                <w:color w:val="FFFFFF"/>
                <w:sz w:val="19"/>
                <w:szCs w:val="19"/>
              </w:rPr>
              <w:t xml:space="preserve">If they ask…</w:t>
            </w:r>
          </w:p>
        </w:tc>
        <w:tc>
          <w:tcPr>
            <w:tcW w:type="dxa" w:w="6426"/>
            <w:shd w:fill="0F1B33" w:color="auto" w:val="clear"/>
            <w:tcMar>
              <w:top w:type="dxa" w:w="90"/>
              <w:left w:type="dxa" w:w="120"/>
              <w:bottom w:type="dxa" w:w="90"/>
              <w:right w:type="dxa" w:w="120"/>
            </w:tcMar>
          </w:tcPr>
          <w:p>
            <w:pPr>
              <w:spacing w:after="0" w:line="260"/>
            </w:pPr>
            <w:r>
              <w:rPr>
                <w:rFonts w:ascii="Arial" w:cs="Arial" w:eastAsia="Arial" w:hAnsi="Arial"/>
                <w:b/>
                <w:bCs/>
                <w:color w:val="FFFFFF"/>
                <w:sz w:val="19"/>
                <w:szCs w:val="19"/>
              </w:rPr>
              <w:t xml:space="preserve">Say…</w:t>
            </w:r>
          </w:p>
        </w:tc>
      </w:tr>
      <w:tr>
        <w:tc>
          <w:tcPr>
            <w:tcW w:type="dxa" w:w="2600"/>
            <w:shd w:fill="FFFFFF"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How did you get to ₹68,500 crore?</w:t>
            </w:r>
          </w:p>
        </w:tc>
        <w:tc>
          <w:tcPr>
            <w:tcW w:type="dxa" w:w="6426"/>
            <w:shd w:fill="FFFFFF"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"We sized the fee pool, not the assets. ₹158 lakh crore of digitally held assets, at 50 basis points — the low end of what India already pays in trail commissions. We are claiming redirected spending, not new spending."</w:t>
            </w:r>
          </w:p>
        </w:tc>
      </w:tr>
      <w:tr>
        <w:tc>
          <w:tcPr>
            <w:tcW w:type="dxa" w:w="2600"/>
            <w:shd w:fill="F2F5FA"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Isn't that market too small for India?</w:t>
            </w:r>
          </w:p>
        </w:tc>
        <w:tc>
          <w:tcPr>
            <w:tcW w:type="dxa" w:w="6426"/>
            <w:shd w:fill="F2F5FA"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"It is smaller than the headline numbers because we removed promoter control blocks, institutional money and every advisory wrapper that double-counts the underlying assets. What is left is money that can actually be advised."</w:t>
            </w:r>
          </w:p>
        </w:tc>
      </w:tr>
      <w:tr>
        <w:tc>
          <w:tcPr>
            <w:tcW w:type="dxa" w:w="2600"/>
            <w:shd w:fill="FFFFFF"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Why exclude PMS? That's ₹9 lakh crore.</w:t>
            </w:r>
          </w:p>
        </w:tc>
        <w:tc>
          <w:tcPr>
            <w:tcW w:type="dxa" w:w="6426"/>
            <w:shd w:fill="FFFFFF"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"In India, a PMS holds securities in the client's own demat account. Those shares are already in our direct-equity line. Adding PMS would count them twice."</w:t>
            </w:r>
          </w:p>
        </w:tc>
      </w:tr>
      <w:tr>
        <w:tc>
          <w:tcPr>
            <w:tcW w:type="dxa" w:w="2600"/>
            <w:shd w:fill="F2F5FA"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Your pricing model is unproven.</w:t>
            </w:r>
          </w:p>
        </w:tc>
        <w:tc>
          <w:tcPr>
            <w:tcW w:type="dxa" w:w="6426"/>
            <w:shd w:fill="F2F5FA"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"It is one of three. The same pool monetises as subscription, as assets under advice, or as a licence — and we know the crossover: a flat ₹7,900 a year equals 50 basis points at a ₹15.8 lakh portfolio. Below that the subscription wins, above it AUA does."</w:t>
            </w:r>
          </w:p>
        </w:tc>
      </w:tr>
      <w:tr>
        <w:tc>
          <w:tcPr>
            <w:tcW w:type="dxa" w:w="2600"/>
            <w:shd w:fill="FFFFFF"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Why should Indians pay for advice when nobody does?</w:t>
            </w:r>
          </w:p>
        </w:tc>
        <w:tc>
          <w:tcPr>
            <w:tcW w:type="dxa" w:w="6426"/>
            <w:shd w:fill="FFFFFF"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"They already do — about 50 basis points a year, inside their regular-plan mutual funds, for advice that comes with a conflict attached. We are not creating a payment habit. We are redirecting one."</w:t>
            </w:r>
          </w:p>
        </w:tc>
      </w:tr>
      <w:tr>
        <w:tc>
          <w:tcPr>
            <w:tcW w:type="dxa" w:w="2600"/>
            <w:shd w:fill="F2F5FA"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Isn't this just a GPT wrapper?</w:t>
            </w:r>
          </w:p>
        </w:tc>
        <w:tc>
          <w:tcPr>
            <w:tcW w:type="dxa" w:w="6426"/>
            <w:shd w:fill="F2F5FA"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"Seventy engines compute; the AI only explains. Number Guard blocks any figure the engines did not produce — verified source, confirmed inputs, checked calculation, audit ID. The model cannot invent a number because it is never allowed to generate one."</w:t>
            </w:r>
          </w:p>
        </w:tc>
      </w:tr>
      <w:tr>
        <w:tc>
          <w:tcPr>
            <w:tcW w:type="dxa" w:w="2600"/>
            <w:shd w:fill="FFFFFF"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Who is your real competition?</w:t>
            </w:r>
          </w:p>
        </w:tc>
        <w:tc>
          <w:tcPr>
            <w:tcW w:type="dxa" w:w="6426"/>
            <w:shd w:fill="FFFFFF"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"Nobody does all three of: start with a diagnosis of what you already own, show the reasoning, and charge a flat fee. Individually each exists. Together they do not."</w:t>
            </w:r>
          </w:p>
        </w:tc>
      </w:tr>
      <w:tr>
        <w:tc>
          <w:tcPr>
            <w:tcW w:type="dxa" w:w="2600"/>
            <w:shd w:fill="F2F5FA"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What about Dezerv?</w:t>
            </w:r>
          </w:p>
        </w:tc>
        <w:tc>
          <w:tcPr>
            <w:tcW w:type="dxa" w:w="6426"/>
            <w:shd w:fill="F2F5FA"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"Dezerv is demand proof, not a comparable — six lakh users paying for advice. They serve HNIs with relationship managers. We serve everyone from a first SIP upward, with software."</w:t>
            </w:r>
          </w:p>
        </w:tc>
      </w:tr>
      <w:tr>
        <w:tc>
          <w:tcPr>
            <w:tcW w:type="dxa" w:w="2600"/>
            <w:shd w:fill="FFFFFF"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What's your valuation?</w:t>
            </w:r>
          </w:p>
        </w:tc>
        <w:tc>
          <w:tcPr>
            <w:tcW w:type="dxa" w:w="6426"/>
            <w:shd w:fill="FFFFFF"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"We are raising ₹12.49 crore for 20%. That puts post-money at ₹62.44 crore, pre-money at ₹49.95 crore."</w:t>
            </w:r>
          </w:p>
        </w:tc>
      </w:tr>
      <w:tr>
        <w:tc>
          <w:tcPr>
            <w:tcW w:type="dxa" w:w="2600"/>
            <w:shd w:fill="F2F5FA"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Why 18 months and not 24?</w:t>
            </w:r>
          </w:p>
        </w:tc>
        <w:tc>
          <w:tcPr>
            <w:tcW w:type="dxa" w:w="6426"/>
            <w:shd w:fill="F2F5FA"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"Eighteen months takes us from backend build to institutional pilots and SEBI-RIA registration. It is released in three six-month tranches against evidenced deliverables, so you are funding checkpoints, not a runway."</w:t>
            </w:r>
          </w:p>
        </w:tc>
      </w:tr>
      <w:tr>
        <w:tc>
          <w:tcPr>
            <w:tcW w:type="dxa" w:w="2600"/>
            <w:shd w:fill="FFFFFF"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What happens if you miss a milestone?</w:t>
            </w:r>
          </w:p>
        </w:tc>
        <w:tc>
          <w:tcPr>
            <w:tcW w:type="dxa" w:w="6426"/>
            <w:shd w:fill="FFFFFF"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"The next tranche does not release, and neither does the equity. That is the structure working as intended. One thing we will flag ourselves: tranche 1 has no buffer in it, and we would like to fix that in the terms."</w:t>
            </w:r>
          </w:p>
        </w:tc>
      </w:tr>
      <w:tr>
        <w:tc>
          <w:tcPr>
            <w:tcW w:type="dxa" w:w="2600"/>
            <w:shd w:fill="F2F5FA"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What's the exit?</w:t>
            </w:r>
          </w:p>
        </w:tc>
        <w:tc>
          <w:tcPr>
            <w:tcW w:type="dxa" w:w="6426"/>
            <w:shd w:fill="F2F5FA"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"Five routes — strategic buyers, wealthtech consolidation, an infrastructure sale of the engines, secondary, or the long IPO path via SEBI-RIA. The engines can be licensed as readily as used, so the infrastructure route stays open even if the consumer product plateaus. Sensitivities are in the model and I can walk you through them separately."</w:t>
            </w:r>
          </w:p>
        </w:tc>
      </w:tr>
      <w:tr>
        <w:tc>
          <w:tcPr>
            <w:tcW w:type="dxa" w:w="2600"/>
            <w:shd w:fill="FFFFFF"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How much revenue during the 18 months?</w:t>
            </w:r>
          </w:p>
        </w:tc>
        <w:tc>
          <w:tcPr>
            <w:tcW w:type="dxa" w:w="6426"/>
            <w:shd w:fill="FFFFFF"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"₹76 lakh projected, 75 to 2,200 subscribers. We show it as upside and do not net it off the ask — we would rather not depend on early revenue arriving on schedule."</w:t>
            </w:r>
          </w:p>
        </w:tc>
      </w:tr>
      <w:tr>
        <w:tc>
          <w:tcPr>
            <w:tcW w:type="dxa" w:w="2600"/>
            <w:shd w:fill="F2F5FA"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What are you spending it on?</w:t>
            </w:r>
          </w:p>
        </w:tc>
        <w:tc>
          <w:tcPr>
            <w:tcW w:type="dxa" w:w="6426"/>
            <w:shd w:fill="F2F5FA"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"Just over half — 51% — goes into technology plus investment and research. Founder draws are 7.6%."</w:t>
            </w:r>
          </w:p>
        </w:tc>
      </w:tr>
    </w:tbl>
    <w:p>
      <w:r>
        <w:br w:type="page"/>
      </w:r>
    </w:p>
    <w:p>
      <w:pPr>
        <w:pStyle w:val="Heading1"/>
        <w:keepNext/>
        <w:pBdr>
          <w:bottom w:val="single" w:color="2F5FE0" w:sz="12" w:space="6"/>
        </w:pBdr>
        <w:spacing w:after="180" w:before="420"/>
      </w:pPr>
      <w:r>
        <w:rPr>
          <w:rFonts w:ascii="Arial" w:cs="Arial" w:eastAsia="Arial" w:hAnsi="Arial"/>
          <w:b/>
          <w:bCs/>
          <w:color w:val="0F1B33"/>
          <w:sz w:val="30"/>
          <w:szCs w:val="30"/>
        </w:rPr>
        <w:t xml:space="preserve">10.  Sources</w:t>
      </w:r>
    </w:p>
    <w:p>
      <w:pPr>
        <w:spacing w:after="140" w:before="0" w:line="280"/>
      </w:pPr>
      <w:r>
        <w:rPr>
          <w:rFonts w:ascii="Calibri" w:cs="Calibri" w:eastAsia="Calibri" w:hAnsi="Calibri"/>
          <w:color w:val="3A4657"/>
          <w:sz w:val="21"/>
          <w:szCs w:val="21"/>
        </w:rPr>
        <w:t xml:space="preserve">Marked </w:t>
      </w:r>
      <w:r>
        <w:rPr>
          <w:rFonts w:ascii="Calibri" w:cs="Calibri" w:eastAsia="Calibri" w:hAnsi="Calibri"/>
          <w:b/>
          <w:bCs/>
          <w:color w:val="2F5FE0"/>
          <w:sz w:val="21"/>
          <w:szCs w:val="21"/>
        </w:rPr>
        <w:t xml:space="preserve">P</w:t>
      </w:r>
      <w:r>
        <w:rPr>
          <w:rFonts w:ascii="Calibri" w:cs="Calibri" w:eastAsia="Calibri" w:hAnsi="Calibri"/>
          <w:color w:val="3A4657"/>
          <w:sz w:val="21"/>
          <w:szCs w:val="21"/>
        </w:rPr>
        <w:t xml:space="preserve"> for a primary source (a regulator, an exchange, an industry body, our own records) and </w:t>
      </w:r>
      <w:r>
        <w:rPr>
          <w:rFonts w:ascii="Calibri" w:cs="Calibri" w:eastAsia="Calibri" w:hAnsi="Calibri"/>
          <w:b/>
          <w:bCs/>
          <w:color w:val="6B7688"/>
          <w:sz w:val="21"/>
          <w:szCs w:val="21"/>
        </w:rPr>
        <w:t xml:space="preserve">S</w:t>
      </w:r>
      <w:r>
        <w:rPr>
          <w:rFonts w:ascii="Calibri" w:cs="Calibri" w:eastAsia="Calibri" w:hAnsi="Calibri"/>
          <w:color w:val="3A4657"/>
          <w:sz w:val="21"/>
          <w:szCs w:val="21"/>
        </w:rPr>
        <w:t xml:space="preserve"> for a secondary one (press or research coverage of a primary figure). Where we use a secondary source, the underlying figure is published by a primary one — prefer the primary link if you are sending anything to an investor.</w:t>
      </w:r>
    </w:p>
    <w:p>
      <w:pPr>
        <w:pStyle w:val="Heading2"/>
        <w:keepNext/>
        <w:spacing w:after="120" w:before="320"/>
      </w:pPr>
      <w:r>
        <w:rPr>
          <w:rFonts w:ascii="Arial" w:cs="Arial" w:eastAsia="Arial" w:hAnsi="Arial"/>
          <w:b/>
          <w:bCs/>
          <w:color w:val="2F5FE0"/>
          <w:sz w:val="24"/>
          <w:szCs w:val="24"/>
        </w:rPr>
        <w:t xml:space="preserve">10.1  Market and asset data</w:t>
      </w:r>
    </w:p>
    <w:tbl>
      <w:tblPr>
        <w:tblW w:type="dxa" w:w="9026"/>
        <w:tblBorders>
          <w:top w:val="single" w:color="DCE3F0" w:sz="4"/>
          <w:left w:val="single" w:color="DCE3F0" w:sz="4"/>
          <w:bottom w:val="single" w:color="DCE3F0" w:sz="4"/>
          <w:right w:val="single" w:color="DCE3F0" w:sz="4"/>
          <w:insideH w:val="single" w:color="DCE3F0" w:sz="4"/>
          <w:insideV w:val="single" w:color="DCE3F0" w:sz="4"/>
        </w:tblBorders>
      </w:tblPr>
      <w:tblGrid>
        <w:gridCol w:w="400"/>
        <w:gridCol w:w="3400"/>
        <w:gridCol w:w="5226"/>
      </w:tblGrid>
      <w:tr>
        <w:trPr>
          <w:tblHeader/>
        </w:trPr>
        <w:tc>
          <w:tcPr>
            <w:tcW w:type="dxa" w:w="400"/>
            <w:shd w:fill="0F1B33" w:color="auto" w:val="clear"/>
            <w:tcMar>
              <w:top w:type="dxa" w:w="90"/>
              <w:left w:type="dxa" w:w="120"/>
              <w:bottom w:type="dxa" w:w="90"/>
              <w:right w:type="dxa" w:w="120"/>
            </w:tcMar>
          </w:tcPr>
          <w:p>
            <w:pPr>
              <w:spacing w:after="0" w:line="260"/>
            </w:pPr>
            <w:r>
              <w:rPr>
                <w:rFonts w:ascii="Arial" w:cs="Arial" w:eastAsia="Arial" w:hAnsi="Arial"/>
                <w:b/>
                <w:bCs/>
                <w:color w:val="FFFFFF"/>
                <w:sz w:val="19"/>
                <w:szCs w:val="19"/>
              </w:rPr>
              <w:t xml:space="preserve"/>
            </w:r>
          </w:p>
        </w:tc>
        <w:tc>
          <w:tcPr>
            <w:tcW w:type="dxa" w:w="3400"/>
            <w:shd w:fill="0F1B33" w:color="auto" w:val="clear"/>
            <w:tcMar>
              <w:top w:type="dxa" w:w="90"/>
              <w:left w:type="dxa" w:w="120"/>
              <w:bottom w:type="dxa" w:w="90"/>
              <w:right w:type="dxa" w:w="120"/>
            </w:tcMar>
          </w:tcPr>
          <w:p>
            <w:pPr>
              <w:spacing w:after="0" w:line="260"/>
            </w:pPr>
            <w:r>
              <w:rPr>
                <w:rFonts w:ascii="Arial" w:cs="Arial" w:eastAsia="Arial" w:hAnsi="Arial"/>
                <w:b/>
                <w:bCs/>
                <w:color w:val="FFFFFF"/>
                <w:sz w:val="19"/>
                <w:szCs w:val="19"/>
              </w:rPr>
              <w:t xml:space="preserve">Source</w:t>
            </w:r>
          </w:p>
        </w:tc>
        <w:tc>
          <w:tcPr>
            <w:tcW w:type="dxa" w:w="5226"/>
            <w:shd w:fill="0F1B33" w:color="auto" w:val="clear"/>
            <w:tcMar>
              <w:top w:type="dxa" w:w="90"/>
              <w:left w:type="dxa" w:w="120"/>
              <w:bottom w:type="dxa" w:w="90"/>
              <w:right w:type="dxa" w:w="120"/>
            </w:tcMar>
          </w:tcPr>
          <w:p>
            <w:pPr>
              <w:spacing w:after="0" w:line="260"/>
            </w:pPr>
            <w:r>
              <w:rPr>
                <w:rFonts w:ascii="Arial" w:cs="Arial" w:eastAsia="Arial" w:hAnsi="Arial"/>
                <w:b/>
                <w:bCs/>
                <w:color w:val="FFFFFF"/>
                <w:sz w:val="19"/>
                <w:szCs w:val="19"/>
              </w:rPr>
              <w:t xml:space="preserve">What we take from it</w:t>
            </w:r>
          </w:p>
        </w:tc>
      </w:tr>
      <w:tr>
        <w:tc>
          <w:tcPr>
            <w:tcW w:type="dxa" w:w="400"/>
            <w:shd w:fill="FFFFFF" w:color="auto" w:val="clear"/>
            <w:tcMar>
              <w:top w:type="dxa" w:w="80"/>
              <w:left w:type="dxa" w:w="120"/>
              <w:bottom w:type="dxa" w:w="80"/>
              <w:right w:type="dxa" w:w="120"/>
            </w:tcMar>
          </w:tcPr>
          <w:p>
            <w:pPr>
              <w:spacing w:after="0" w:before="0" w:line="260"/>
            </w:pPr>
            <w:r>
              <w:rPr>
                <w:rFonts w:ascii="Calibri" w:cs="Calibri" w:eastAsia="Calibri" w:hAnsi="Calibri"/>
                <w:b/>
                <w:bCs/>
                <w:color w:val="2F5FE0"/>
                <w:sz w:val="21"/>
                <w:szCs w:val="21"/>
              </w:rPr>
              <w:t xml:space="preserve">P</w:t>
            </w:r>
          </w:p>
        </w:tc>
        <w:tc>
          <w:tcPr>
            <w:tcW w:type="dxa" w:w="3400"/>
            <w:shd w:fill="FFFFFF" w:color="auto" w:val="clear"/>
            <w:tcMar>
              <w:top w:type="dxa" w:w="80"/>
              <w:left w:type="dxa" w:w="120"/>
              <w:bottom w:type="dxa" w:w="80"/>
              <w:right w:type="dxa" w:w="120"/>
            </w:tcMar>
          </w:tcPr>
          <w:p>
            <w:pPr>
              <w:spacing w:after="0" w:before="0" w:line="260"/>
            </w:pPr>
            <w:r>
              <w:rPr>
                <w:rFonts w:ascii="Calibri" w:cs="Calibri" w:eastAsia="Calibri" w:hAnsi="Calibri"/>
                <w:b/>
                <w:bCs/>
                <w:color w:val="0F1B33"/>
                <w:sz w:val="21"/>
                <w:szCs w:val="21"/>
              </w:rPr>
              <w:t xml:space="preserve">NSE — India Ownership Tracker, Q1 FY26</w:t>
            </w:r>
          </w:p>
          <w:p>
            <w:pPr>
              <w:spacing w:after="0" w:before="60" w:line="260"/>
            </w:pPr>
            <w:hyperlink w:history="1" r:id="rIdhm-9vmerwe7bkddudpze-">
              <w:r>
                <w:rPr>
                  <w:rFonts w:ascii="Calibri" w:cs="Calibri" w:eastAsia="Calibri" w:hAnsi="Calibri"/>
                  <w:color w:val="2F5FE0"/>
                  <w:sz w:val="21"/>
                  <w:szCs w:val="21"/>
                  <w:u w:val="single"/>
                </w:rPr>
                <w:t xml:space="preserve">https://nsearchives.nseindia.com/web/sites/default/files/inline-files/India%20Ownership%20Report_June%202025.pdf</w:t>
              </w:r>
            </w:hyperlink>
          </w:p>
        </w:tc>
        <w:tc>
          <w:tcPr>
            <w:tcW w:type="dxa" w:w="5226"/>
            <w:shd w:fill="FFFFFF"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Individual direct equity 9.6%, non-promoter corporates 1.9%, other non-institutional 2.9%, promoters 50.0%, FPIs 17.3%, banks and insurers 5.5%</w:t>
            </w:r>
          </w:p>
        </w:tc>
      </w:tr>
      <w:tr>
        <w:tc>
          <w:tcPr>
            <w:tcW w:type="dxa" w:w="400"/>
            <w:shd w:fill="F2F5FA" w:color="auto" w:val="clear"/>
            <w:tcMar>
              <w:top w:type="dxa" w:w="80"/>
              <w:left w:type="dxa" w:w="120"/>
              <w:bottom w:type="dxa" w:w="80"/>
              <w:right w:type="dxa" w:w="120"/>
            </w:tcMar>
          </w:tcPr>
          <w:p>
            <w:pPr>
              <w:spacing w:after="0" w:before="0" w:line="260"/>
            </w:pPr>
            <w:r>
              <w:rPr>
                <w:rFonts w:ascii="Calibri" w:cs="Calibri" w:eastAsia="Calibri" w:hAnsi="Calibri"/>
                <w:b/>
                <w:bCs/>
                <w:color w:val="2F5FE0"/>
                <w:sz w:val="21"/>
                <w:szCs w:val="21"/>
              </w:rPr>
              <w:t xml:space="preserve">P</w:t>
            </w:r>
          </w:p>
        </w:tc>
        <w:tc>
          <w:tcPr>
            <w:tcW w:type="dxa" w:w="3400"/>
            <w:shd w:fill="F2F5FA" w:color="auto" w:val="clear"/>
            <w:tcMar>
              <w:top w:type="dxa" w:w="80"/>
              <w:left w:type="dxa" w:w="120"/>
              <w:bottom w:type="dxa" w:w="80"/>
              <w:right w:type="dxa" w:w="120"/>
            </w:tcMar>
          </w:tcPr>
          <w:p>
            <w:pPr>
              <w:spacing w:after="0" w:before="0" w:line="260"/>
            </w:pPr>
            <w:r>
              <w:rPr>
                <w:rFonts w:ascii="Calibri" w:cs="Calibri" w:eastAsia="Calibri" w:hAnsi="Calibri"/>
                <w:b/>
                <w:bCs/>
                <w:color w:val="0F1B33"/>
                <w:sz w:val="21"/>
                <w:szCs w:val="21"/>
              </w:rPr>
              <w:t xml:space="preserve">AMFI — Investor Trends, February 2026</w:t>
            </w:r>
          </w:p>
          <w:p>
            <w:pPr>
              <w:spacing w:after="0" w:before="60" w:line="260"/>
            </w:pPr>
            <w:hyperlink w:history="1" r:id="rIdt2bpsiskeuaavgqzimgdm">
              <w:r>
                <w:rPr>
                  <w:rFonts w:ascii="Calibri" w:cs="Calibri" w:eastAsia="Calibri" w:hAnsi="Calibri"/>
                  <w:color w:val="2F5FE0"/>
                  <w:sz w:val="21"/>
                  <w:szCs w:val="21"/>
                  <w:u w:val="single"/>
                </w:rPr>
                <w:t xml:space="preserve">https://www.amfiindia.com/investor-corner/knowledge-center/industry-trends</w:t>
              </w:r>
            </w:hyperlink>
          </w:p>
        </w:tc>
        <w:tc>
          <w:tcPr>
            <w:tcW w:type="dxa" w:w="5226"/>
            <w:shd w:fill="F2F5FA"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Industry AUM ₹82.03 L Cr; individual 61.2% = ₹50.17 L Cr; corporates ₹30.16 L Cr; banks and FIs ₹1.68 L Cr</w:t>
            </w:r>
          </w:p>
        </w:tc>
      </w:tr>
      <w:tr>
        <w:tc>
          <w:tcPr>
            <w:tcW w:type="dxa" w:w="400"/>
            <w:shd w:fill="FFFFFF" w:color="auto" w:val="clear"/>
            <w:tcMar>
              <w:top w:type="dxa" w:w="80"/>
              <w:left w:type="dxa" w:w="120"/>
              <w:bottom w:type="dxa" w:w="80"/>
              <w:right w:type="dxa" w:w="120"/>
            </w:tcMar>
          </w:tcPr>
          <w:p>
            <w:pPr>
              <w:spacing w:after="0" w:before="0" w:line="260"/>
            </w:pPr>
            <w:r>
              <w:rPr>
                <w:rFonts w:ascii="Calibri" w:cs="Calibri" w:eastAsia="Calibri" w:hAnsi="Calibri"/>
                <w:b/>
                <w:bCs/>
                <w:color w:val="2F5FE0"/>
                <w:sz w:val="21"/>
                <w:szCs w:val="21"/>
              </w:rPr>
              <w:t xml:space="preserve">P</w:t>
            </w:r>
          </w:p>
        </w:tc>
        <w:tc>
          <w:tcPr>
            <w:tcW w:type="dxa" w:w="3400"/>
            <w:shd w:fill="FFFFFF" w:color="auto" w:val="clear"/>
            <w:tcMar>
              <w:top w:type="dxa" w:w="80"/>
              <w:left w:type="dxa" w:w="120"/>
              <w:bottom w:type="dxa" w:w="80"/>
              <w:right w:type="dxa" w:w="120"/>
            </w:tcMar>
          </w:tcPr>
          <w:p>
            <w:pPr>
              <w:spacing w:after="0" w:before="0" w:line="260"/>
            </w:pPr>
            <w:r>
              <w:rPr>
                <w:rFonts w:ascii="Calibri" w:cs="Calibri" w:eastAsia="Calibri" w:hAnsi="Calibri"/>
                <w:b/>
                <w:bCs/>
                <w:color w:val="0F1B33"/>
                <w:sz w:val="21"/>
                <w:szCs w:val="21"/>
              </w:rPr>
              <w:t xml:space="preserve">AMFI — monthly SIP contribution</w:t>
            </w:r>
          </w:p>
          <w:p>
            <w:pPr>
              <w:spacing w:after="0" w:before="60" w:line="260"/>
            </w:pPr>
            <w:hyperlink w:history="1" r:id="rId0qbgdvopyp81v79-o9c0-">
              <w:r>
                <w:rPr>
                  <w:rFonts w:ascii="Calibri" w:cs="Calibri" w:eastAsia="Calibri" w:hAnsi="Calibri"/>
                  <w:color w:val="2F5FE0"/>
                  <w:sz w:val="21"/>
                  <w:szCs w:val="21"/>
                  <w:u w:val="single"/>
                </w:rPr>
                <w:t xml:space="preserve">https://www.amfiindia.com/research-information/amfi-monthly</w:t>
              </w:r>
            </w:hyperlink>
          </w:p>
        </w:tc>
        <w:tc>
          <w:tcPr>
            <w:tcW w:type="dxa" w:w="5226"/>
            <w:shd w:fill="FFFFFF"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Monthly SIP inflows ₹32,087 Cr, record March 2026; ₹3,100 Cr in 2016</w:t>
            </w:r>
          </w:p>
        </w:tc>
      </w:tr>
      <w:tr>
        <w:tc>
          <w:tcPr>
            <w:tcW w:type="dxa" w:w="400"/>
            <w:shd w:fill="F2F5FA" w:color="auto" w:val="clear"/>
            <w:tcMar>
              <w:top w:type="dxa" w:w="80"/>
              <w:left w:type="dxa" w:w="120"/>
              <w:bottom w:type="dxa" w:w="80"/>
              <w:right w:type="dxa" w:w="120"/>
            </w:tcMar>
          </w:tcPr>
          <w:p>
            <w:pPr>
              <w:spacing w:after="0" w:before="0" w:line="260"/>
            </w:pPr>
            <w:r>
              <w:rPr>
                <w:rFonts w:ascii="Calibri" w:cs="Calibri" w:eastAsia="Calibri" w:hAnsi="Calibri"/>
                <w:b/>
                <w:bCs/>
                <w:color w:val="2F5FE0"/>
                <w:sz w:val="21"/>
                <w:szCs w:val="21"/>
              </w:rPr>
              <w:t xml:space="preserve">P</w:t>
            </w:r>
          </w:p>
        </w:tc>
        <w:tc>
          <w:tcPr>
            <w:tcW w:type="dxa" w:w="3400"/>
            <w:shd w:fill="F2F5FA" w:color="auto" w:val="clear"/>
            <w:tcMar>
              <w:top w:type="dxa" w:w="80"/>
              <w:left w:type="dxa" w:w="120"/>
              <w:bottom w:type="dxa" w:w="80"/>
              <w:right w:type="dxa" w:w="120"/>
            </w:tcMar>
          </w:tcPr>
          <w:p>
            <w:pPr>
              <w:spacing w:after="0" w:before="0" w:line="260"/>
            </w:pPr>
            <w:r>
              <w:rPr>
                <w:rFonts w:ascii="Calibri" w:cs="Calibri" w:eastAsia="Calibri" w:hAnsi="Calibri"/>
                <w:b/>
                <w:bCs/>
                <w:color w:val="0F1B33"/>
                <w:sz w:val="21"/>
                <w:szCs w:val="21"/>
              </w:rPr>
              <w:t xml:space="preserve">SEBI — assets managed by portfolio managers</w:t>
            </w:r>
          </w:p>
          <w:p>
            <w:pPr>
              <w:spacing w:after="0" w:before="60" w:line="260"/>
            </w:pPr>
            <w:hyperlink w:history="1" r:id="rIdfr-btpn5nbnlad8pnltcz">
              <w:r>
                <w:rPr>
                  <w:rFonts w:ascii="Calibri" w:cs="Calibri" w:eastAsia="Calibri" w:hAnsi="Calibri"/>
                  <w:color w:val="2F5FE0"/>
                  <w:sz w:val="21"/>
                  <w:szCs w:val="21"/>
                  <w:u w:val="single"/>
                </w:rPr>
                <w:t xml:space="preserve">https://www.sebi.gov.in/statistics/assets-managed.html</w:t>
              </w:r>
            </w:hyperlink>
          </w:p>
        </w:tc>
        <w:tc>
          <w:tcPr>
            <w:tcW w:type="dxa" w:w="5226"/>
            <w:shd w:fill="F2F5FA"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PMS AUM ₹44,10,822 Cr, of which EPFO ₹31,86,580 Cr; discretionary ₹37,36,925 Cr; non-discretionary ₹3,52,523 Cr; co-investment ₹6,712 Cr. All excluded, as a double count.</w:t>
            </w:r>
          </w:p>
        </w:tc>
      </w:tr>
      <w:tr>
        <w:tc>
          <w:tcPr>
            <w:tcW w:type="dxa" w:w="400"/>
            <w:shd w:fill="FFFFFF" w:color="auto" w:val="clear"/>
            <w:tcMar>
              <w:top w:type="dxa" w:w="80"/>
              <w:left w:type="dxa" w:w="120"/>
              <w:bottom w:type="dxa" w:w="80"/>
              <w:right w:type="dxa" w:w="120"/>
            </w:tcMar>
          </w:tcPr>
          <w:p>
            <w:pPr>
              <w:spacing w:after="0" w:before="0" w:line="260"/>
            </w:pPr>
            <w:r>
              <w:rPr>
                <w:rFonts w:ascii="Calibri" w:cs="Calibri" w:eastAsia="Calibri" w:hAnsi="Calibri"/>
                <w:b/>
                <w:bCs/>
                <w:color w:val="2F5FE0"/>
                <w:sz w:val="21"/>
                <w:szCs w:val="21"/>
              </w:rPr>
              <w:t xml:space="preserve">P</w:t>
            </w:r>
          </w:p>
        </w:tc>
        <w:tc>
          <w:tcPr>
            <w:tcW w:type="dxa" w:w="3400"/>
            <w:shd w:fill="FFFFFF" w:color="auto" w:val="clear"/>
            <w:tcMar>
              <w:top w:type="dxa" w:w="80"/>
              <w:left w:type="dxa" w:w="120"/>
              <w:bottom w:type="dxa" w:w="80"/>
              <w:right w:type="dxa" w:w="120"/>
            </w:tcMar>
          </w:tcPr>
          <w:p>
            <w:pPr>
              <w:spacing w:after="0" w:before="0" w:line="260"/>
            </w:pPr>
            <w:r>
              <w:rPr>
                <w:rFonts w:ascii="Calibri" w:cs="Calibri" w:eastAsia="Calibri" w:hAnsi="Calibri"/>
                <w:b/>
                <w:bCs/>
                <w:color w:val="0F1B33"/>
                <w:sz w:val="21"/>
                <w:szCs w:val="21"/>
              </w:rPr>
              <w:t xml:space="preserve">SEBI — Alternative Investment Fund statistics, March 2026</w:t>
            </w:r>
          </w:p>
          <w:p>
            <w:pPr>
              <w:spacing w:after="0" w:before="60" w:line="260"/>
            </w:pPr>
            <w:hyperlink w:history="1" r:id="rIdbwr_yd82bt_flnz4zejz2">
              <w:r>
                <w:rPr>
                  <w:rFonts w:ascii="Calibri" w:cs="Calibri" w:eastAsia="Calibri" w:hAnsi="Calibri"/>
                  <w:color w:val="2F5FE0"/>
                  <w:sz w:val="21"/>
                  <w:szCs w:val="21"/>
                  <w:u w:val="single"/>
                </w:rPr>
                <w:t xml:space="preserve">https://www.sebi.gov.in/statistics/1392982252002.html</w:t>
              </w:r>
            </w:hyperlink>
          </w:p>
        </w:tc>
        <w:tc>
          <w:tcPr>
            <w:tcW w:type="dxa" w:w="5226"/>
            <w:shd w:fill="FFFFFF"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AIF Categories I–III: ₹16.94 lakh crore committed, ₹7.00 lakh crore raised, ₹6.76 lakh crore invested. We use funds raised.</w:t>
            </w:r>
          </w:p>
        </w:tc>
      </w:tr>
      <w:tr>
        <w:tc>
          <w:tcPr>
            <w:tcW w:type="dxa" w:w="400"/>
            <w:shd w:fill="F2F5FA" w:color="auto" w:val="clear"/>
            <w:tcMar>
              <w:top w:type="dxa" w:w="80"/>
              <w:left w:type="dxa" w:w="120"/>
              <w:bottom w:type="dxa" w:w="80"/>
              <w:right w:type="dxa" w:w="120"/>
            </w:tcMar>
          </w:tcPr>
          <w:p>
            <w:pPr>
              <w:spacing w:after="0" w:before="0" w:line="260"/>
            </w:pPr>
            <w:r>
              <w:rPr>
                <w:rFonts w:ascii="Calibri" w:cs="Calibri" w:eastAsia="Calibri" w:hAnsi="Calibri"/>
                <w:b/>
                <w:bCs/>
                <w:color w:val="2F5FE0"/>
                <w:sz w:val="21"/>
                <w:szCs w:val="21"/>
              </w:rPr>
              <w:t xml:space="preserve">P</w:t>
            </w:r>
          </w:p>
        </w:tc>
        <w:tc>
          <w:tcPr>
            <w:tcW w:type="dxa" w:w="3400"/>
            <w:shd w:fill="F2F5FA" w:color="auto" w:val="clear"/>
            <w:tcMar>
              <w:top w:type="dxa" w:w="80"/>
              <w:left w:type="dxa" w:w="120"/>
              <w:bottom w:type="dxa" w:w="80"/>
              <w:right w:type="dxa" w:w="120"/>
            </w:tcMar>
          </w:tcPr>
          <w:p>
            <w:pPr>
              <w:spacing w:after="0" w:before="0" w:line="260"/>
            </w:pPr>
            <w:r>
              <w:rPr>
                <w:rFonts w:ascii="Calibri" w:cs="Calibri" w:eastAsia="Calibri" w:hAnsi="Calibri"/>
                <w:b/>
                <w:bCs/>
                <w:color w:val="0F1B33"/>
                <w:sz w:val="21"/>
                <w:szCs w:val="21"/>
              </w:rPr>
              <w:t xml:space="preserve">SEBI — Depository Statistics, December 2025</w:t>
            </w:r>
          </w:p>
          <w:p>
            <w:pPr>
              <w:spacing w:after="0" w:before="60" w:line="260"/>
            </w:pPr>
            <w:hyperlink w:history="1" r:id="rIdoxrkbjo6-iiwmzqxadn8t">
              <w:r>
                <w:rPr>
                  <w:rFonts w:ascii="Calibri" w:cs="Calibri" w:eastAsia="Calibri" w:hAnsi="Calibri"/>
                  <w:color w:val="2F5FE0"/>
                  <w:sz w:val="21"/>
                  <w:szCs w:val="21"/>
                  <w:u w:val="single"/>
                </w:rPr>
                <w:t xml:space="preserve">https://www.sebi.gov.in/statistics/1392982252005.html</w:t>
              </w:r>
            </w:hyperlink>
          </w:p>
        </w:tc>
        <w:tc>
          <w:tcPr>
            <w:tcW w:type="dxa" w:w="5226"/>
            <w:shd w:fill="F2F5FA"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21.6 crore demat accounts</w:t>
            </w:r>
          </w:p>
        </w:tc>
      </w:tr>
      <w:tr>
        <w:tc>
          <w:tcPr>
            <w:tcW w:type="dxa" w:w="400"/>
            <w:shd w:fill="FFFFFF" w:color="auto" w:val="clear"/>
            <w:tcMar>
              <w:top w:type="dxa" w:w="80"/>
              <w:left w:type="dxa" w:w="120"/>
              <w:bottom w:type="dxa" w:w="80"/>
              <w:right w:type="dxa" w:w="120"/>
            </w:tcMar>
          </w:tcPr>
          <w:p>
            <w:pPr>
              <w:spacing w:after="0" w:before="0" w:line="260"/>
            </w:pPr>
            <w:r>
              <w:rPr>
                <w:rFonts w:ascii="Calibri" w:cs="Calibri" w:eastAsia="Calibri" w:hAnsi="Calibri"/>
                <w:b/>
                <w:bCs/>
                <w:color w:val="2F5FE0"/>
                <w:sz w:val="21"/>
                <w:szCs w:val="21"/>
              </w:rPr>
              <w:t xml:space="preserve">P</w:t>
            </w:r>
          </w:p>
        </w:tc>
        <w:tc>
          <w:tcPr>
            <w:tcW w:type="dxa" w:w="3400"/>
            <w:shd w:fill="FFFFFF" w:color="auto" w:val="clear"/>
            <w:tcMar>
              <w:top w:type="dxa" w:w="80"/>
              <w:left w:type="dxa" w:w="120"/>
              <w:bottom w:type="dxa" w:w="80"/>
              <w:right w:type="dxa" w:w="120"/>
            </w:tcMar>
          </w:tcPr>
          <w:p>
            <w:pPr>
              <w:spacing w:after="0" w:before="0" w:line="260"/>
            </w:pPr>
            <w:r>
              <w:rPr>
                <w:rFonts w:ascii="Calibri" w:cs="Calibri" w:eastAsia="Calibri" w:hAnsi="Calibri"/>
                <w:b/>
                <w:bCs/>
                <w:color w:val="0F1B33"/>
                <w:sz w:val="21"/>
                <w:szCs w:val="21"/>
              </w:rPr>
              <w:t xml:space="preserve">RBI — Liberalised Remittance Scheme monthly data</w:t>
            </w:r>
          </w:p>
          <w:p>
            <w:pPr>
              <w:spacing w:after="0" w:before="60" w:line="260"/>
            </w:pPr>
            <w:hyperlink w:history="1" r:id="rIdctwl-kmtmwwdxoy7_xkis">
              <w:r>
                <w:rPr>
                  <w:rFonts w:ascii="Calibri" w:cs="Calibri" w:eastAsia="Calibri" w:hAnsi="Calibri"/>
                  <w:color w:val="2F5FE0"/>
                  <w:sz w:val="21"/>
                  <w:szCs w:val="21"/>
                  <w:u w:val="single"/>
                </w:rPr>
                <w:t xml:space="preserve">https://www.rbi.org.in/Scripts/BS_ViewBulletin.aspx</w:t>
              </w:r>
            </w:hyperlink>
          </w:p>
        </w:tc>
        <w:tc>
          <w:tcPr>
            <w:tcW w:type="dxa" w:w="5226"/>
            <w:shd w:fill="FFFFFF"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US$1.06 bn remitted for equity and debt investment, April–June FY27, roughly double year on year</w:t>
            </w:r>
          </w:p>
        </w:tc>
      </w:tr>
      <w:tr>
        <w:tc>
          <w:tcPr>
            <w:tcW w:type="dxa" w:w="400"/>
            <w:shd w:fill="F2F5FA" w:color="auto" w:val="clear"/>
            <w:tcMar>
              <w:top w:type="dxa" w:w="80"/>
              <w:left w:type="dxa" w:w="120"/>
              <w:bottom w:type="dxa" w:w="80"/>
              <w:right w:type="dxa" w:w="120"/>
            </w:tcMar>
          </w:tcPr>
          <w:p>
            <w:pPr>
              <w:spacing w:after="0" w:before="0" w:line="260"/>
            </w:pPr>
            <w:r>
              <w:rPr>
                <w:rFonts w:ascii="Calibri" w:cs="Calibri" w:eastAsia="Calibri" w:hAnsi="Calibri"/>
                <w:b/>
                <w:bCs/>
                <w:color w:val="2F5FE0"/>
                <w:sz w:val="21"/>
                <w:szCs w:val="21"/>
              </w:rPr>
              <w:t xml:space="preserve">P</w:t>
            </w:r>
          </w:p>
        </w:tc>
        <w:tc>
          <w:tcPr>
            <w:tcW w:type="dxa" w:w="3400"/>
            <w:shd w:fill="F2F5FA" w:color="auto" w:val="clear"/>
            <w:tcMar>
              <w:top w:type="dxa" w:w="80"/>
              <w:left w:type="dxa" w:w="120"/>
              <w:bottom w:type="dxa" w:w="80"/>
              <w:right w:type="dxa" w:w="120"/>
            </w:tcMar>
          </w:tcPr>
          <w:p>
            <w:pPr>
              <w:spacing w:after="0" w:before="0" w:line="260"/>
            </w:pPr>
            <w:r>
              <w:rPr>
                <w:rFonts w:ascii="Calibri" w:cs="Calibri" w:eastAsia="Calibri" w:hAnsi="Calibri"/>
                <w:b/>
                <w:bCs/>
                <w:color w:val="0F1B33"/>
                <w:sz w:val="21"/>
                <w:szCs w:val="21"/>
              </w:rPr>
              <w:t xml:space="preserve">RBI — Sovereign Gold Bond issuance</w:t>
            </w:r>
          </w:p>
          <w:p>
            <w:pPr>
              <w:spacing w:after="0" w:before="60" w:line="260"/>
            </w:pPr>
            <w:hyperlink w:history="1" r:id="rIdia4ifhqkteblj1iknalp-">
              <w:r>
                <w:rPr>
                  <w:rFonts w:ascii="Calibri" w:cs="Calibri" w:eastAsia="Calibri" w:hAnsi="Calibri"/>
                  <w:color w:val="2F5FE0"/>
                  <w:sz w:val="21"/>
                  <w:szCs w:val="21"/>
                  <w:u w:val="single"/>
                </w:rPr>
                <w:t xml:space="preserve">https://www.rbi.org.in/Scripts/BS_PressReleaseDisplay.aspx</w:t>
              </w:r>
            </w:hyperlink>
          </w:p>
        </w:tc>
        <w:tc>
          <w:tcPr>
            <w:tcW w:type="dxa" w:w="5226"/>
            <w:shd w:fill="F2F5FA"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147 tonnes issued, 132 tonnes outstanding, ₹1.12 lakh crore</w:t>
            </w:r>
          </w:p>
        </w:tc>
      </w:tr>
      <w:tr>
        <w:tc>
          <w:tcPr>
            <w:tcW w:type="dxa" w:w="400"/>
            <w:shd w:fill="FFFFFF" w:color="auto" w:val="clear"/>
            <w:tcMar>
              <w:top w:type="dxa" w:w="80"/>
              <w:left w:type="dxa" w:w="120"/>
              <w:bottom w:type="dxa" w:w="80"/>
              <w:right w:type="dxa" w:w="120"/>
            </w:tcMar>
          </w:tcPr>
          <w:p>
            <w:pPr>
              <w:spacing w:after="0" w:before="0" w:line="260"/>
            </w:pPr>
            <w:r>
              <w:rPr>
                <w:rFonts w:ascii="Calibri" w:cs="Calibri" w:eastAsia="Calibri" w:hAnsi="Calibri"/>
                <w:b/>
                <w:bCs/>
                <w:color w:val="6B7688"/>
                <w:sz w:val="21"/>
                <w:szCs w:val="21"/>
              </w:rPr>
              <w:t xml:space="preserve">S</w:t>
            </w:r>
          </w:p>
        </w:tc>
        <w:tc>
          <w:tcPr>
            <w:tcW w:type="dxa" w:w="3400"/>
            <w:shd w:fill="FFFFFF" w:color="auto" w:val="clear"/>
            <w:tcMar>
              <w:top w:type="dxa" w:w="80"/>
              <w:left w:type="dxa" w:w="120"/>
              <w:bottom w:type="dxa" w:w="80"/>
              <w:right w:type="dxa" w:w="120"/>
            </w:tcMar>
          </w:tcPr>
          <w:p>
            <w:pPr>
              <w:spacing w:after="0" w:before="0" w:line="260"/>
            </w:pPr>
            <w:r>
              <w:rPr>
                <w:rFonts w:ascii="Calibri" w:cs="Calibri" w:eastAsia="Calibri" w:hAnsi="Calibri"/>
                <w:b/>
                <w:bCs/>
                <w:color w:val="0F1B33"/>
                <w:sz w:val="21"/>
                <w:szCs w:val="21"/>
              </w:rPr>
              <w:t xml:space="preserve">Business Today — REIT and gold market coverage, 2026</w:t>
            </w:r>
          </w:p>
          <w:p>
            <w:pPr>
              <w:spacing w:after="0" w:before="60" w:line="260"/>
            </w:pPr>
            <w:hyperlink w:history="1" r:id="rIdiflcxmd_ph7ka7oe8d9vb">
              <w:r>
                <w:rPr>
                  <w:rFonts w:ascii="Calibri" w:cs="Calibri" w:eastAsia="Calibri" w:hAnsi="Calibri"/>
                  <w:color w:val="2F5FE0"/>
                  <w:sz w:val="21"/>
                  <w:szCs w:val="21"/>
                  <w:u w:val="single"/>
                </w:rPr>
                <w:t xml:space="preserve">https://www.businesstoday.in/markets</w:t>
              </w:r>
            </w:hyperlink>
          </w:p>
        </w:tc>
        <w:tc>
          <w:tcPr>
            <w:tcW w:type="dxa" w:w="5226"/>
            <w:shd w:fill="FFFFFF"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6 listed REITs, ₹3.17 L Cr gross AUM, ₹2.17 L Cr market capitalisation, 4.85 lakh unitholders; gold ETF AUM ₹1.71 L Cr, up 191%</w:t>
            </w:r>
          </w:p>
        </w:tc>
      </w:tr>
      <w:tr>
        <w:tc>
          <w:tcPr>
            <w:tcW w:type="dxa" w:w="400"/>
            <w:shd w:fill="F2F5FA" w:color="auto" w:val="clear"/>
            <w:tcMar>
              <w:top w:type="dxa" w:w="80"/>
              <w:left w:type="dxa" w:w="120"/>
              <w:bottom w:type="dxa" w:w="80"/>
              <w:right w:type="dxa" w:w="120"/>
            </w:tcMar>
          </w:tcPr>
          <w:p>
            <w:pPr>
              <w:spacing w:after="0" w:before="0" w:line="260"/>
            </w:pPr>
            <w:r>
              <w:rPr>
                <w:rFonts w:ascii="Calibri" w:cs="Calibri" w:eastAsia="Calibri" w:hAnsi="Calibri"/>
                <w:b/>
                <w:bCs/>
                <w:color w:val="6B7688"/>
                <w:sz w:val="21"/>
                <w:szCs w:val="21"/>
              </w:rPr>
              <w:t xml:space="preserve">S</w:t>
            </w:r>
          </w:p>
        </w:tc>
        <w:tc>
          <w:tcPr>
            <w:tcW w:type="dxa" w:w="3400"/>
            <w:shd w:fill="F2F5FA" w:color="auto" w:val="clear"/>
            <w:tcMar>
              <w:top w:type="dxa" w:w="80"/>
              <w:left w:type="dxa" w:w="120"/>
              <w:bottom w:type="dxa" w:w="80"/>
              <w:right w:type="dxa" w:w="120"/>
            </w:tcMar>
          </w:tcPr>
          <w:p>
            <w:pPr>
              <w:spacing w:after="0" w:before="0" w:line="260"/>
            </w:pPr>
            <w:r>
              <w:rPr>
                <w:rFonts w:ascii="Calibri" w:cs="Calibri" w:eastAsia="Calibri" w:hAnsi="Calibri"/>
                <w:b/>
                <w:bCs/>
                <w:color w:val="0F1B33"/>
                <w:sz w:val="21"/>
                <w:szCs w:val="21"/>
              </w:rPr>
              <w:t xml:space="preserve">Business Standard — Bharat InvITs Association coverage</w:t>
            </w:r>
          </w:p>
          <w:p>
            <w:pPr>
              <w:spacing w:after="0" w:before="60" w:line="260"/>
            </w:pPr>
            <w:hyperlink w:history="1" r:id="rIdylefhs0f7_xkhofis9zgj">
              <w:r>
                <w:rPr>
                  <w:rFonts w:ascii="Calibri" w:cs="Calibri" w:eastAsia="Calibri" w:hAnsi="Calibri"/>
                  <w:color w:val="2F5FE0"/>
                  <w:sz w:val="21"/>
                  <w:szCs w:val="21"/>
                  <w:u w:val="single"/>
                </w:rPr>
                <w:t xml:space="preserve">https://www.business-standard.com/markets</w:t>
              </w:r>
            </w:hyperlink>
          </w:p>
        </w:tc>
        <w:tc>
          <w:tcPr>
            <w:tcW w:type="dxa" w:w="5226"/>
            <w:shd w:fill="F2F5FA"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InvIT sector ₹7 trillion today, projected ₹21 trillion by FY30. We use the ₹1.00 L Cr non-institutional share.</w:t>
            </w:r>
          </w:p>
        </w:tc>
      </w:tr>
      <w:tr>
        <w:tc>
          <w:tcPr>
            <w:tcW w:type="dxa" w:w="400"/>
            <w:shd w:fill="FFFFFF" w:color="auto" w:val="clear"/>
            <w:tcMar>
              <w:top w:type="dxa" w:w="80"/>
              <w:left w:type="dxa" w:w="120"/>
              <w:bottom w:type="dxa" w:w="80"/>
              <w:right w:type="dxa" w:w="120"/>
            </w:tcMar>
          </w:tcPr>
          <w:p>
            <w:pPr>
              <w:spacing w:after="0" w:before="0" w:line="260"/>
            </w:pPr>
            <w:r>
              <w:rPr>
                <w:rFonts w:ascii="Calibri" w:cs="Calibri" w:eastAsia="Calibri" w:hAnsi="Calibri"/>
                <w:b/>
                <w:bCs/>
                <w:color w:val="6B7688"/>
                <w:sz w:val="21"/>
                <w:szCs w:val="21"/>
              </w:rPr>
              <w:t xml:space="preserve">S</w:t>
            </w:r>
          </w:p>
        </w:tc>
        <w:tc>
          <w:tcPr>
            <w:tcW w:type="dxa" w:w="3400"/>
            <w:shd w:fill="FFFFFF" w:color="auto" w:val="clear"/>
            <w:tcMar>
              <w:top w:type="dxa" w:w="80"/>
              <w:left w:type="dxa" w:w="120"/>
              <w:bottom w:type="dxa" w:w="80"/>
              <w:right w:type="dxa" w:w="120"/>
            </w:tcMar>
          </w:tcPr>
          <w:p>
            <w:pPr>
              <w:spacing w:after="0" w:before="0" w:line="260"/>
            </w:pPr>
            <w:r>
              <w:rPr>
                <w:rFonts w:ascii="Calibri" w:cs="Calibri" w:eastAsia="Calibri" w:hAnsi="Calibri"/>
                <w:b/>
                <w:bCs/>
                <w:color w:val="0F1B33"/>
                <w:sz w:val="21"/>
                <w:szCs w:val="21"/>
              </w:rPr>
              <w:t xml:space="preserve">ICICI Direct / NSE market statistics</w:t>
            </w:r>
          </w:p>
          <w:p>
            <w:pPr>
              <w:spacing w:after="0" w:before="60" w:line="260"/>
            </w:pPr>
            <w:hyperlink w:history="1" r:id="rId900omcczdgessgwtcat6n">
              <w:r>
                <w:rPr>
                  <w:rFonts w:ascii="Calibri" w:cs="Calibri" w:eastAsia="Calibri" w:hAnsi="Calibri"/>
                  <w:color w:val="2F5FE0"/>
                  <w:sz w:val="21"/>
                  <w:szCs w:val="21"/>
                  <w:u w:val="single"/>
                </w:rPr>
                <w:t xml:space="preserve">https://www.icicidirect.com/research/equity/trending-news</w:t>
              </w:r>
            </w:hyperlink>
          </w:p>
        </w:tc>
        <w:tc>
          <w:tcPr>
            <w:tcW w:type="dxa" w:w="5226"/>
            <w:shd w:fill="FFFFFF"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About 26 crore accounts, 13.1 crore unique investors</w:t>
            </w:r>
          </w:p>
        </w:tc>
      </w:tr>
      <w:tr>
        <w:tc>
          <w:tcPr>
            <w:tcW w:type="dxa" w:w="400"/>
            <w:shd w:fill="F2F5FA" w:color="auto" w:val="clear"/>
            <w:tcMar>
              <w:top w:type="dxa" w:w="80"/>
              <w:left w:type="dxa" w:w="120"/>
              <w:bottom w:type="dxa" w:w="80"/>
              <w:right w:type="dxa" w:w="120"/>
            </w:tcMar>
          </w:tcPr>
          <w:p>
            <w:pPr>
              <w:spacing w:after="0" w:before="0" w:line="260"/>
            </w:pPr>
            <w:r>
              <w:rPr>
                <w:rFonts w:ascii="Calibri" w:cs="Calibri" w:eastAsia="Calibri" w:hAnsi="Calibri"/>
                <w:b/>
                <w:bCs/>
                <w:color w:val="6B7688"/>
                <w:sz w:val="21"/>
                <w:szCs w:val="21"/>
              </w:rPr>
              <w:t xml:space="preserve">S</w:t>
            </w:r>
          </w:p>
        </w:tc>
        <w:tc>
          <w:tcPr>
            <w:tcW w:type="dxa" w:w="3400"/>
            <w:shd w:fill="F2F5FA" w:color="auto" w:val="clear"/>
            <w:tcMar>
              <w:top w:type="dxa" w:w="80"/>
              <w:left w:type="dxa" w:w="120"/>
              <w:bottom w:type="dxa" w:w="80"/>
              <w:right w:type="dxa" w:w="120"/>
            </w:tcMar>
          </w:tcPr>
          <w:p>
            <w:pPr>
              <w:spacing w:after="0" w:before="0" w:line="260"/>
            </w:pPr>
            <w:r>
              <w:rPr>
                <w:rFonts w:ascii="Calibri" w:cs="Calibri" w:eastAsia="Calibri" w:hAnsi="Calibri"/>
                <w:b/>
                <w:bCs/>
                <w:color w:val="0F1B33"/>
                <w:sz w:val="21"/>
                <w:szCs w:val="21"/>
              </w:rPr>
              <w:t xml:space="preserve">Exchange activity data, August 2026</w:t>
            </w:r>
          </w:p>
          <w:p>
            <w:pPr>
              <w:spacing w:after="0" w:before="60" w:line="260"/>
            </w:pPr>
            <w:hyperlink w:history="1" r:id="rIdvwsh3bny1avqm6gd4vytq">
              <w:r>
                <w:rPr>
                  <w:rFonts w:ascii="Calibri" w:cs="Calibri" w:eastAsia="Calibri" w:hAnsi="Calibri"/>
                  <w:color w:val="2F5FE0"/>
                  <w:sz w:val="21"/>
                  <w:szCs w:val="21"/>
                  <w:u w:val="single"/>
                </w:rPr>
                <w:t xml:space="preserve">https://exchanges.broker/</w:t>
              </w:r>
            </w:hyperlink>
          </w:p>
        </w:tc>
        <w:tc>
          <w:tcPr>
            <w:tcW w:type="dxa" w:w="5226"/>
            <w:shd w:fill="F2F5FA"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4.60 crore active clients — the denominator behind the 55% SAM filter</w:t>
            </w:r>
          </w:p>
        </w:tc>
      </w:tr>
      <w:tr>
        <w:tc>
          <w:tcPr>
            <w:tcW w:type="dxa" w:w="400"/>
            <w:shd w:fill="FFFFFF" w:color="auto" w:val="clear"/>
            <w:tcMar>
              <w:top w:type="dxa" w:w="80"/>
              <w:left w:type="dxa" w:w="120"/>
              <w:bottom w:type="dxa" w:w="80"/>
              <w:right w:type="dxa" w:w="120"/>
            </w:tcMar>
          </w:tcPr>
          <w:p>
            <w:pPr>
              <w:spacing w:after="0" w:before="0" w:line="260"/>
            </w:pPr>
            <w:r>
              <w:rPr>
                <w:rFonts w:ascii="Calibri" w:cs="Calibri" w:eastAsia="Calibri" w:hAnsi="Calibri"/>
                <w:b/>
                <w:bCs/>
                <w:color w:val="6B7688"/>
                <w:sz w:val="21"/>
                <w:szCs w:val="21"/>
              </w:rPr>
              <w:t xml:space="preserve">S</w:t>
            </w:r>
          </w:p>
        </w:tc>
        <w:tc>
          <w:tcPr>
            <w:tcW w:type="dxa" w:w="3400"/>
            <w:shd w:fill="FFFFFF" w:color="auto" w:val="clear"/>
            <w:tcMar>
              <w:top w:type="dxa" w:w="80"/>
              <w:left w:type="dxa" w:w="120"/>
              <w:bottom w:type="dxa" w:w="80"/>
              <w:right w:type="dxa" w:w="120"/>
            </w:tcMar>
          </w:tcPr>
          <w:p>
            <w:pPr>
              <w:spacing w:after="0" w:before="0" w:line="260"/>
            </w:pPr>
            <w:r>
              <w:rPr>
                <w:rFonts w:ascii="Calibri" w:cs="Calibri" w:eastAsia="Calibri" w:hAnsi="Calibri"/>
                <w:b/>
                <w:bCs/>
                <w:color w:val="0F1B33"/>
                <w:sz w:val="21"/>
                <w:szCs w:val="21"/>
              </w:rPr>
              <w:t xml:space="preserve">Angel One — mutual fund investor statistics</w:t>
            </w:r>
          </w:p>
          <w:p>
            <w:pPr>
              <w:spacing w:after="0" w:before="60" w:line="260"/>
            </w:pPr>
            <w:hyperlink w:history="1" r:id="rIdslub1e6dgwxbxxzhfpq4s">
              <w:r>
                <w:rPr>
                  <w:rFonts w:ascii="Calibri" w:cs="Calibri" w:eastAsia="Calibri" w:hAnsi="Calibri"/>
                  <w:color w:val="2F5FE0"/>
                  <w:sz w:val="21"/>
                  <w:szCs w:val="21"/>
                  <w:u w:val="single"/>
                </w:rPr>
                <w:t xml:space="preserve">https://www.angelone.in/knowledge-center/mutual-funds</w:t>
              </w:r>
            </w:hyperlink>
          </w:p>
        </w:tc>
        <w:tc>
          <w:tcPr>
            <w:tcW w:type="dxa" w:w="5226"/>
            <w:shd w:fill="FFFFFF"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6.09 crore unique mutual fund investors</w:t>
            </w:r>
          </w:p>
        </w:tc>
      </w:tr>
      <w:tr>
        <w:tc>
          <w:tcPr>
            <w:tcW w:type="dxa" w:w="400"/>
            <w:shd w:fill="F2F5FA" w:color="auto" w:val="clear"/>
            <w:tcMar>
              <w:top w:type="dxa" w:w="80"/>
              <w:left w:type="dxa" w:w="120"/>
              <w:bottom w:type="dxa" w:w="80"/>
              <w:right w:type="dxa" w:w="120"/>
            </w:tcMar>
          </w:tcPr>
          <w:p>
            <w:pPr>
              <w:spacing w:after="0" w:before="0" w:line="260"/>
            </w:pPr>
            <w:r>
              <w:rPr>
                <w:rFonts w:ascii="Calibri" w:cs="Calibri" w:eastAsia="Calibri" w:hAnsi="Calibri"/>
                <w:b/>
                <w:bCs/>
                <w:color w:val="6B7688"/>
                <w:sz w:val="21"/>
                <w:szCs w:val="21"/>
              </w:rPr>
              <w:t xml:space="preserve">S</w:t>
            </w:r>
          </w:p>
        </w:tc>
        <w:tc>
          <w:tcPr>
            <w:tcW w:type="dxa" w:w="3400"/>
            <w:shd w:fill="F2F5FA" w:color="auto" w:val="clear"/>
            <w:tcMar>
              <w:top w:type="dxa" w:w="80"/>
              <w:left w:type="dxa" w:w="120"/>
              <w:bottom w:type="dxa" w:w="80"/>
              <w:right w:type="dxa" w:w="120"/>
            </w:tcMar>
          </w:tcPr>
          <w:p>
            <w:pPr>
              <w:spacing w:after="0" w:before="0" w:line="260"/>
            </w:pPr>
            <w:r>
              <w:rPr>
                <w:rFonts w:ascii="Calibri" w:cs="Calibri" w:eastAsia="Calibri" w:hAnsi="Calibri"/>
                <w:b/>
                <w:bCs/>
                <w:color w:val="0F1B33"/>
                <w:sz w:val="21"/>
                <w:szCs w:val="21"/>
              </w:rPr>
              <w:t xml:space="preserve">IBEF — mutual fund industry</w:t>
            </w:r>
          </w:p>
          <w:p>
            <w:pPr>
              <w:spacing w:after="0" w:before="60" w:line="260"/>
            </w:pPr>
            <w:hyperlink w:history="1" r:id="rIdmxfownmrunpy369cajm3y">
              <w:r>
                <w:rPr>
                  <w:rFonts w:ascii="Calibri" w:cs="Calibri" w:eastAsia="Calibri" w:hAnsi="Calibri"/>
                  <w:color w:val="2F5FE0"/>
                  <w:sz w:val="21"/>
                  <w:szCs w:val="21"/>
                  <w:u w:val="single"/>
                </w:rPr>
                <w:t xml:space="preserve">https://www.ibef.org/industry/mutual-funds-india</w:t>
              </w:r>
            </w:hyperlink>
          </w:p>
        </w:tc>
        <w:tc>
          <w:tcPr>
            <w:tcW w:type="dxa" w:w="5226"/>
            <w:shd w:fill="F2F5FA"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FY26 mutual fund AUM and SIP inflow cross-checks</w:t>
            </w:r>
          </w:p>
        </w:tc>
      </w:tr>
      <w:tr>
        <w:tc>
          <w:tcPr>
            <w:tcW w:type="dxa" w:w="400"/>
            <w:shd w:fill="FFFFFF" w:color="auto" w:val="clear"/>
            <w:tcMar>
              <w:top w:type="dxa" w:w="80"/>
              <w:left w:type="dxa" w:w="120"/>
              <w:bottom w:type="dxa" w:w="80"/>
              <w:right w:type="dxa" w:w="120"/>
            </w:tcMar>
          </w:tcPr>
          <w:p>
            <w:pPr>
              <w:spacing w:after="0" w:before="0" w:line="260"/>
            </w:pPr>
            <w:r>
              <w:rPr>
                <w:rFonts w:ascii="Calibri" w:cs="Calibri" w:eastAsia="Calibri" w:hAnsi="Calibri"/>
                <w:b/>
                <w:bCs/>
                <w:color w:val="6B7688"/>
                <w:sz w:val="21"/>
                <w:szCs w:val="21"/>
              </w:rPr>
              <w:t xml:space="preserve">S</w:t>
            </w:r>
          </w:p>
        </w:tc>
        <w:tc>
          <w:tcPr>
            <w:tcW w:type="dxa" w:w="3400"/>
            <w:shd w:fill="FFFFFF" w:color="auto" w:val="clear"/>
            <w:tcMar>
              <w:top w:type="dxa" w:w="80"/>
              <w:left w:type="dxa" w:w="120"/>
              <w:bottom w:type="dxa" w:w="80"/>
              <w:right w:type="dxa" w:w="120"/>
            </w:tcMar>
          </w:tcPr>
          <w:p>
            <w:pPr>
              <w:spacing w:after="0" w:before="0" w:line="260"/>
            </w:pPr>
            <w:r>
              <w:rPr>
                <w:rFonts w:ascii="Calibri" w:cs="Calibri" w:eastAsia="Calibri" w:hAnsi="Calibri"/>
                <w:b/>
                <w:bCs/>
                <w:color w:val="0F1B33"/>
                <w:sz w:val="21"/>
                <w:szCs w:val="21"/>
              </w:rPr>
              <w:t xml:space="preserve">Trading Economics — USD/INR</w:t>
            </w:r>
          </w:p>
          <w:p>
            <w:pPr>
              <w:spacing w:after="0" w:before="60" w:line="260"/>
            </w:pPr>
            <w:hyperlink w:history="1" r:id="rIddmnfcz2ply42w92fefua4">
              <w:r>
                <w:rPr>
                  <w:rFonts w:ascii="Calibri" w:cs="Calibri" w:eastAsia="Calibri" w:hAnsi="Calibri"/>
                  <w:color w:val="2F5FE0"/>
                  <w:sz w:val="21"/>
                  <w:szCs w:val="21"/>
                  <w:u w:val="single"/>
                </w:rPr>
                <w:t xml:space="preserve">https://tradingeconomics.com/india/currency</w:t>
              </w:r>
            </w:hyperlink>
          </w:p>
        </w:tc>
        <w:tc>
          <w:tcPr>
            <w:tcW w:type="dxa" w:w="5226"/>
            <w:shd w:fill="FFFFFF"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₹95.99 to the dollar, 18 September 2026; rupee down 8.95% year on year</w:t>
            </w:r>
          </w:p>
        </w:tc>
      </w:tr>
    </w:tbl>
    <w:p>
      <w:pPr>
        <w:pStyle w:val="Heading2"/>
        <w:keepNext/>
        <w:spacing w:after="120" w:before="320"/>
      </w:pPr>
      <w:r>
        <w:rPr>
          <w:rFonts w:ascii="Arial" w:cs="Arial" w:eastAsia="Arial" w:hAnsi="Arial"/>
          <w:b/>
          <w:bCs/>
          <w:color w:val="2F5FE0"/>
          <w:sz w:val="24"/>
          <w:szCs w:val="24"/>
        </w:rPr>
        <w:t xml:space="preserve">10.2  Problem, demand and competitive data</w:t>
      </w:r>
    </w:p>
    <w:tbl>
      <w:tblPr>
        <w:tblW w:type="dxa" w:w="9026"/>
        <w:tblBorders>
          <w:top w:val="single" w:color="DCE3F0" w:sz="4"/>
          <w:left w:val="single" w:color="DCE3F0" w:sz="4"/>
          <w:bottom w:val="single" w:color="DCE3F0" w:sz="4"/>
          <w:right w:val="single" w:color="DCE3F0" w:sz="4"/>
          <w:insideH w:val="single" w:color="DCE3F0" w:sz="4"/>
          <w:insideV w:val="single" w:color="DCE3F0" w:sz="4"/>
        </w:tblBorders>
      </w:tblPr>
      <w:tblGrid>
        <w:gridCol w:w="400"/>
        <w:gridCol w:w="3400"/>
        <w:gridCol w:w="5226"/>
      </w:tblGrid>
      <w:tr>
        <w:trPr>
          <w:tblHeader/>
        </w:trPr>
        <w:tc>
          <w:tcPr>
            <w:tcW w:type="dxa" w:w="400"/>
            <w:shd w:fill="0F1B33" w:color="auto" w:val="clear"/>
            <w:tcMar>
              <w:top w:type="dxa" w:w="90"/>
              <w:left w:type="dxa" w:w="120"/>
              <w:bottom w:type="dxa" w:w="90"/>
              <w:right w:type="dxa" w:w="120"/>
            </w:tcMar>
          </w:tcPr>
          <w:p>
            <w:pPr>
              <w:spacing w:after="0" w:line="260"/>
            </w:pPr>
            <w:r>
              <w:rPr>
                <w:rFonts w:ascii="Arial" w:cs="Arial" w:eastAsia="Arial" w:hAnsi="Arial"/>
                <w:b/>
                <w:bCs/>
                <w:color w:val="FFFFFF"/>
                <w:sz w:val="19"/>
                <w:szCs w:val="19"/>
              </w:rPr>
              <w:t xml:space="preserve"/>
            </w:r>
          </w:p>
        </w:tc>
        <w:tc>
          <w:tcPr>
            <w:tcW w:type="dxa" w:w="3400"/>
            <w:shd w:fill="0F1B33" w:color="auto" w:val="clear"/>
            <w:tcMar>
              <w:top w:type="dxa" w:w="90"/>
              <w:left w:type="dxa" w:w="120"/>
              <w:bottom w:type="dxa" w:w="90"/>
              <w:right w:type="dxa" w:w="120"/>
            </w:tcMar>
          </w:tcPr>
          <w:p>
            <w:pPr>
              <w:spacing w:after="0" w:line="260"/>
            </w:pPr>
            <w:r>
              <w:rPr>
                <w:rFonts w:ascii="Arial" w:cs="Arial" w:eastAsia="Arial" w:hAnsi="Arial"/>
                <w:b/>
                <w:bCs/>
                <w:color w:val="FFFFFF"/>
                <w:sz w:val="19"/>
                <w:szCs w:val="19"/>
              </w:rPr>
              <w:t xml:space="preserve">Source</w:t>
            </w:r>
          </w:p>
        </w:tc>
        <w:tc>
          <w:tcPr>
            <w:tcW w:type="dxa" w:w="5226"/>
            <w:shd w:fill="0F1B33" w:color="auto" w:val="clear"/>
            <w:tcMar>
              <w:top w:type="dxa" w:w="90"/>
              <w:left w:type="dxa" w:w="120"/>
              <w:bottom w:type="dxa" w:w="90"/>
              <w:right w:type="dxa" w:w="120"/>
            </w:tcMar>
          </w:tcPr>
          <w:p>
            <w:pPr>
              <w:spacing w:after="0" w:line="260"/>
            </w:pPr>
            <w:r>
              <w:rPr>
                <w:rFonts w:ascii="Arial" w:cs="Arial" w:eastAsia="Arial" w:hAnsi="Arial"/>
                <w:b/>
                <w:bCs/>
                <w:color w:val="FFFFFF"/>
                <w:sz w:val="19"/>
                <w:szCs w:val="19"/>
              </w:rPr>
              <w:t xml:space="preserve">What we take from it</w:t>
            </w:r>
          </w:p>
        </w:tc>
      </w:tr>
      <w:tr>
        <w:tc>
          <w:tcPr>
            <w:tcW w:type="dxa" w:w="400"/>
            <w:shd w:fill="FFFFFF" w:color="auto" w:val="clear"/>
            <w:tcMar>
              <w:top w:type="dxa" w:w="80"/>
              <w:left w:type="dxa" w:w="120"/>
              <w:bottom w:type="dxa" w:w="80"/>
              <w:right w:type="dxa" w:w="120"/>
            </w:tcMar>
          </w:tcPr>
          <w:p>
            <w:pPr>
              <w:spacing w:after="0" w:before="0" w:line="260"/>
            </w:pPr>
            <w:r>
              <w:rPr>
                <w:rFonts w:ascii="Calibri" w:cs="Calibri" w:eastAsia="Calibri" w:hAnsi="Calibri"/>
                <w:b/>
                <w:bCs/>
                <w:color w:val="2F5FE0"/>
                <w:sz w:val="21"/>
                <w:szCs w:val="21"/>
              </w:rPr>
              <w:t xml:space="preserve">P</w:t>
            </w:r>
          </w:p>
        </w:tc>
        <w:tc>
          <w:tcPr>
            <w:tcW w:type="dxa" w:w="3400"/>
            <w:shd w:fill="FFFFFF" w:color="auto" w:val="clear"/>
            <w:tcMar>
              <w:top w:type="dxa" w:w="80"/>
              <w:left w:type="dxa" w:w="120"/>
              <w:bottom w:type="dxa" w:w="80"/>
              <w:right w:type="dxa" w:w="120"/>
            </w:tcMar>
          </w:tcPr>
          <w:p>
            <w:pPr>
              <w:spacing w:after="0" w:before="0" w:line="260"/>
            </w:pPr>
            <w:r>
              <w:rPr>
                <w:rFonts w:ascii="Calibri" w:cs="Calibri" w:eastAsia="Calibri" w:hAnsi="Calibri"/>
                <w:b/>
                <w:bCs/>
                <w:color w:val="0F1B33"/>
                <w:sz w:val="21"/>
                <w:szCs w:val="21"/>
              </w:rPr>
              <w:t xml:space="preserve">SEBI — Profit &amp; Loss of Individual Traders in Equity F&amp;O, July 2025</w:t>
            </w:r>
          </w:p>
          <w:p>
            <w:pPr>
              <w:spacing w:after="0" w:before="60" w:line="260"/>
            </w:pPr>
            <w:hyperlink w:history="1" r:id="rIddddrilniyublcab1eg-wu">
              <w:r>
                <w:rPr>
                  <w:rFonts w:ascii="Calibri" w:cs="Calibri" w:eastAsia="Calibri" w:hAnsi="Calibri"/>
                  <w:color w:val="2F5FE0"/>
                  <w:sz w:val="21"/>
                  <w:szCs w:val="21"/>
                  <w:u w:val="single"/>
                </w:rPr>
                <w:t xml:space="preserve">https://www.sebi.gov.in/reports-and-statistics/research/jul-2025</w:t>
              </w:r>
            </w:hyperlink>
          </w:p>
        </w:tc>
        <w:tc>
          <w:tcPr>
            <w:tcW w:type="dxa" w:w="5226"/>
            <w:shd w:fill="FFFFFF"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9 in 10 individual F&amp;O traders lost money in FY25; ₹1.06 lakh crore of aggregate losses</w:t>
            </w:r>
          </w:p>
        </w:tc>
      </w:tr>
      <w:tr>
        <w:tc>
          <w:tcPr>
            <w:tcW w:type="dxa" w:w="400"/>
            <w:shd w:fill="F2F5FA" w:color="auto" w:val="clear"/>
            <w:tcMar>
              <w:top w:type="dxa" w:w="80"/>
              <w:left w:type="dxa" w:w="120"/>
              <w:bottom w:type="dxa" w:w="80"/>
              <w:right w:type="dxa" w:w="120"/>
            </w:tcMar>
          </w:tcPr>
          <w:p>
            <w:pPr>
              <w:spacing w:after="0" w:before="0" w:line="260"/>
            </w:pPr>
            <w:r>
              <w:rPr>
                <w:rFonts w:ascii="Calibri" w:cs="Calibri" w:eastAsia="Calibri" w:hAnsi="Calibri"/>
                <w:b/>
                <w:bCs/>
                <w:color w:val="2F5FE0"/>
                <w:sz w:val="21"/>
                <w:szCs w:val="21"/>
              </w:rPr>
              <w:t xml:space="preserve">P</w:t>
            </w:r>
          </w:p>
        </w:tc>
        <w:tc>
          <w:tcPr>
            <w:tcW w:type="dxa" w:w="3400"/>
            <w:shd w:fill="F2F5FA" w:color="auto" w:val="clear"/>
            <w:tcMar>
              <w:top w:type="dxa" w:w="80"/>
              <w:left w:type="dxa" w:w="120"/>
              <w:bottom w:type="dxa" w:w="80"/>
              <w:right w:type="dxa" w:w="120"/>
            </w:tcMar>
          </w:tcPr>
          <w:p>
            <w:pPr>
              <w:spacing w:after="0" w:before="0" w:line="260"/>
            </w:pPr>
            <w:r>
              <w:rPr>
                <w:rFonts w:ascii="Calibri" w:cs="Calibri" w:eastAsia="Calibri" w:hAnsi="Calibri"/>
                <w:b/>
                <w:bCs/>
                <w:color w:val="0F1B33"/>
                <w:sz w:val="21"/>
                <w:szCs w:val="21"/>
              </w:rPr>
              <w:t xml:space="preserve">SEBI — Master Circular for Investment Advisers, 27 June 2025</w:t>
            </w:r>
          </w:p>
          <w:p>
            <w:pPr>
              <w:spacing w:after="0" w:before="60" w:line="260"/>
            </w:pPr>
            <w:hyperlink w:history="1" r:id="rIdgmhp89air-r3spjhtjoss">
              <w:r>
                <w:rPr>
                  <w:rFonts w:ascii="Calibri" w:cs="Calibri" w:eastAsia="Calibri" w:hAnsi="Calibri"/>
                  <w:color w:val="2F5FE0"/>
                  <w:sz w:val="21"/>
                  <w:szCs w:val="21"/>
                  <w:u w:val="single"/>
                </w:rPr>
                <w:t xml:space="preserve">https://www.sebi.gov.in/legal/master-circulars</w:t>
              </w:r>
            </w:hyperlink>
          </w:p>
        </w:tc>
        <w:tc>
          <w:tcPr>
            <w:tcW w:type="dxa" w:w="5226"/>
            <w:shd w:fill="F2F5FA"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Fee cap: 2.5% of assets under advice or ₹1,51,000 a year per individual client; no cap on non-individual or accredited clients</w:t>
            </w:r>
          </w:p>
        </w:tc>
      </w:tr>
      <w:tr>
        <w:tc>
          <w:tcPr>
            <w:tcW w:type="dxa" w:w="400"/>
            <w:shd w:fill="FFFFFF" w:color="auto" w:val="clear"/>
            <w:tcMar>
              <w:top w:type="dxa" w:w="80"/>
              <w:left w:type="dxa" w:w="120"/>
              <w:bottom w:type="dxa" w:w="80"/>
              <w:right w:type="dxa" w:w="120"/>
            </w:tcMar>
          </w:tcPr>
          <w:p>
            <w:pPr>
              <w:spacing w:after="0" w:before="0" w:line="260"/>
            </w:pPr>
            <w:r>
              <w:rPr>
                <w:rFonts w:ascii="Calibri" w:cs="Calibri" w:eastAsia="Calibri" w:hAnsi="Calibri"/>
                <w:b/>
                <w:bCs/>
                <w:color w:val="2F5FE0"/>
                <w:sz w:val="21"/>
                <w:szCs w:val="21"/>
              </w:rPr>
              <w:t xml:space="preserve">P</w:t>
            </w:r>
          </w:p>
        </w:tc>
        <w:tc>
          <w:tcPr>
            <w:tcW w:type="dxa" w:w="3400"/>
            <w:shd w:fill="FFFFFF" w:color="auto" w:val="clear"/>
            <w:tcMar>
              <w:top w:type="dxa" w:w="80"/>
              <w:left w:type="dxa" w:w="120"/>
              <w:bottom w:type="dxa" w:w="80"/>
              <w:right w:type="dxa" w:w="120"/>
            </w:tcMar>
          </w:tcPr>
          <w:p>
            <w:pPr>
              <w:spacing w:after="0" w:before="0" w:line="260"/>
            </w:pPr>
            <w:r>
              <w:rPr>
                <w:rFonts w:ascii="Calibri" w:cs="Calibri" w:eastAsia="Calibri" w:hAnsi="Calibri"/>
                <w:b/>
                <w:bCs/>
                <w:color w:val="0F1B33"/>
                <w:sz w:val="21"/>
                <w:szCs w:val="21"/>
              </w:rPr>
              <w:t xml:space="preserve">SEBI — Research Analyst Guidelines, 8 January 2025</w:t>
            </w:r>
          </w:p>
          <w:p>
            <w:pPr>
              <w:spacing w:after="0" w:before="60" w:line="260"/>
            </w:pPr>
            <w:hyperlink w:history="1" r:id="rIdmqyxspetqavcnmagzrz0h">
              <w:r>
                <w:rPr>
                  <w:rFonts w:ascii="Calibri" w:cs="Calibri" w:eastAsia="Calibri" w:hAnsi="Calibri"/>
                  <w:color w:val="2F5FE0"/>
                  <w:sz w:val="21"/>
                  <w:szCs w:val="21"/>
                  <w:u w:val="single"/>
                </w:rPr>
                <w:t xml:space="preserve">https://www.sebi.gov.in/legal/circulars</w:t>
              </w:r>
            </w:hyperlink>
          </w:p>
        </w:tc>
        <w:tc>
          <w:tcPr>
            <w:tcW w:type="dxa" w:w="5226"/>
            <w:shd w:fill="FFFFFF"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Research analyst fee cap of ₹1,51,000 a year per client</w:t>
            </w:r>
          </w:p>
        </w:tc>
      </w:tr>
      <w:tr>
        <w:tc>
          <w:tcPr>
            <w:tcW w:type="dxa" w:w="400"/>
            <w:shd w:fill="F2F5FA" w:color="auto" w:val="clear"/>
            <w:tcMar>
              <w:top w:type="dxa" w:w="80"/>
              <w:left w:type="dxa" w:w="120"/>
              <w:bottom w:type="dxa" w:w="80"/>
              <w:right w:type="dxa" w:w="120"/>
            </w:tcMar>
          </w:tcPr>
          <w:p>
            <w:pPr>
              <w:spacing w:after="0" w:before="0" w:line="260"/>
            </w:pPr>
            <w:r>
              <w:rPr>
                <w:rFonts w:ascii="Calibri" w:cs="Calibri" w:eastAsia="Calibri" w:hAnsi="Calibri"/>
                <w:b/>
                <w:bCs/>
                <w:color w:val="6B7688"/>
                <w:sz w:val="21"/>
                <w:szCs w:val="21"/>
              </w:rPr>
              <w:t xml:space="preserve">S</w:t>
            </w:r>
          </w:p>
        </w:tc>
        <w:tc>
          <w:tcPr>
            <w:tcW w:type="dxa" w:w="3400"/>
            <w:shd w:fill="F2F5FA" w:color="auto" w:val="clear"/>
            <w:tcMar>
              <w:top w:type="dxa" w:w="80"/>
              <w:left w:type="dxa" w:w="120"/>
              <w:bottom w:type="dxa" w:w="80"/>
              <w:right w:type="dxa" w:w="120"/>
            </w:tcMar>
          </w:tcPr>
          <w:p>
            <w:pPr>
              <w:spacing w:after="0" w:before="0" w:line="260"/>
            </w:pPr>
            <w:r>
              <w:rPr>
                <w:rFonts w:ascii="Calibri" w:cs="Calibri" w:eastAsia="Calibri" w:hAnsi="Calibri"/>
                <w:b/>
                <w:bCs/>
                <w:color w:val="0F1B33"/>
                <w:sz w:val="21"/>
                <w:szCs w:val="21"/>
              </w:rPr>
              <w:t xml:space="preserve">The Ken — "SEBI-registered advisors are an endangered species", 2025</w:t>
            </w:r>
          </w:p>
          <w:p>
            <w:pPr>
              <w:spacing w:after="0" w:before="60" w:line="260"/>
            </w:pPr>
            <w:hyperlink w:history="1" r:id="rIddgnnmq3vzptmvuhenccs-">
              <w:r>
                <w:rPr>
                  <w:rFonts w:ascii="Calibri" w:cs="Calibri" w:eastAsia="Calibri" w:hAnsi="Calibri"/>
                  <w:color w:val="2F5FE0"/>
                  <w:sz w:val="21"/>
                  <w:szCs w:val="21"/>
                  <w:u w:val="single"/>
                </w:rPr>
                <w:t xml:space="preserve">https://the-ken.com/</w:t>
              </w:r>
            </w:hyperlink>
          </w:p>
        </w:tc>
        <w:tc>
          <w:tcPr>
            <w:tcW w:type="dxa" w:w="5226"/>
            <w:shd w:fill="F2F5FA"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Fewer than 1,000 registered investment advisers serving 20+ crore investors</w:t>
            </w:r>
          </w:p>
        </w:tc>
      </w:tr>
      <w:tr>
        <w:tc>
          <w:tcPr>
            <w:tcW w:type="dxa" w:w="400"/>
            <w:shd w:fill="FFFFFF" w:color="auto" w:val="clear"/>
            <w:tcMar>
              <w:top w:type="dxa" w:w="80"/>
              <w:left w:type="dxa" w:w="120"/>
              <w:bottom w:type="dxa" w:w="80"/>
              <w:right w:type="dxa" w:w="120"/>
            </w:tcMar>
          </w:tcPr>
          <w:p>
            <w:pPr>
              <w:spacing w:after="0" w:before="0" w:line="260"/>
            </w:pPr>
            <w:r>
              <w:rPr>
                <w:rFonts w:ascii="Calibri" w:cs="Calibri" w:eastAsia="Calibri" w:hAnsi="Calibri"/>
                <w:b/>
                <w:bCs/>
                <w:color w:val="6B7688"/>
                <w:sz w:val="21"/>
                <w:szCs w:val="21"/>
              </w:rPr>
              <w:t xml:space="preserve">S</w:t>
            </w:r>
          </w:p>
        </w:tc>
        <w:tc>
          <w:tcPr>
            <w:tcW w:type="dxa" w:w="3400"/>
            <w:shd w:fill="FFFFFF" w:color="auto" w:val="clear"/>
            <w:tcMar>
              <w:top w:type="dxa" w:w="80"/>
              <w:left w:type="dxa" w:w="120"/>
              <w:bottom w:type="dxa" w:w="80"/>
              <w:right w:type="dxa" w:w="120"/>
            </w:tcMar>
          </w:tcPr>
          <w:p>
            <w:pPr>
              <w:spacing w:after="0" w:before="0" w:line="260"/>
            </w:pPr>
            <w:r>
              <w:rPr>
                <w:rFonts w:ascii="Calibri" w:cs="Calibri" w:eastAsia="Calibri" w:hAnsi="Calibri"/>
                <w:b/>
                <w:bCs/>
                <w:color w:val="0F1B33"/>
                <w:sz w:val="21"/>
                <w:szCs w:val="21"/>
              </w:rPr>
              <w:t xml:space="preserve">Trade Brains — adviser and analyst registration counts, 2026</w:t>
            </w:r>
          </w:p>
          <w:p>
            <w:pPr>
              <w:spacing w:after="0" w:before="60" w:line="260"/>
            </w:pPr>
            <w:hyperlink w:history="1" r:id="rIdmvarod6ag5sot7jbl1ez3">
              <w:r>
                <w:rPr>
                  <w:rFonts w:ascii="Calibri" w:cs="Calibri" w:eastAsia="Calibri" w:hAnsi="Calibri"/>
                  <w:color w:val="2F5FE0"/>
                  <w:sz w:val="21"/>
                  <w:szCs w:val="21"/>
                  <w:u w:val="single"/>
                </w:rPr>
                <w:t xml:space="preserve">https://tradebrains.in/</w:t>
              </w:r>
            </w:hyperlink>
          </w:p>
        </w:tc>
        <w:tc>
          <w:tcPr>
            <w:tcW w:type="dxa" w:w="5226"/>
            <w:shd w:fill="FFFFFF"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Cross-check: 973 RIAs and 1,330 research analysts</w:t>
            </w:r>
          </w:p>
        </w:tc>
      </w:tr>
      <w:tr>
        <w:tc>
          <w:tcPr>
            <w:tcW w:type="dxa" w:w="400"/>
            <w:shd w:fill="F2F5FA" w:color="auto" w:val="clear"/>
            <w:tcMar>
              <w:top w:type="dxa" w:w="80"/>
              <w:left w:type="dxa" w:w="120"/>
              <w:bottom w:type="dxa" w:w="80"/>
              <w:right w:type="dxa" w:w="120"/>
            </w:tcMar>
          </w:tcPr>
          <w:p>
            <w:pPr>
              <w:spacing w:after="0" w:before="0" w:line="260"/>
            </w:pPr>
            <w:r>
              <w:rPr>
                <w:rFonts w:ascii="Calibri" w:cs="Calibri" w:eastAsia="Calibri" w:hAnsi="Calibri"/>
                <w:b/>
                <w:bCs/>
                <w:color w:val="6B7688"/>
                <w:sz w:val="21"/>
                <w:szCs w:val="21"/>
              </w:rPr>
              <w:t xml:space="preserve">S</w:t>
            </w:r>
          </w:p>
        </w:tc>
        <w:tc>
          <w:tcPr>
            <w:tcW w:type="dxa" w:w="3400"/>
            <w:shd w:fill="F2F5FA" w:color="auto" w:val="clear"/>
            <w:tcMar>
              <w:top w:type="dxa" w:w="80"/>
              <w:left w:type="dxa" w:w="120"/>
              <w:bottom w:type="dxa" w:w="80"/>
              <w:right w:type="dxa" w:w="120"/>
            </w:tcMar>
          </w:tcPr>
          <w:p>
            <w:pPr>
              <w:spacing w:after="0" w:before="0" w:line="260"/>
            </w:pPr>
            <w:r>
              <w:rPr>
                <w:rFonts w:ascii="Calibri" w:cs="Calibri" w:eastAsia="Calibri" w:hAnsi="Calibri"/>
                <w:b/>
                <w:bCs/>
                <w:color w:val="0F1B33"/>
                <w:sz w:val="21"/>
                <w:szCs w:val="21"/>
              </w:rPr>
              <w:t xml:space="preserve">Capgemini — World Wealth Report 2026</w:t>
            </w:r>
          </w:p>
          <w:p>
            <w:pPr>
              <w:spacing w:after="0" w:before="60" w:line="260"/>
            </w:pPr>
            <w:hyperlink w:history="1" r:id="rIdnftaekwzuserznaaartc5">
              <w:r>
                <w:rPr>
                  <w:rFonts w:ascii="Calibri" w:cs="Calibri" w:eastAsia="Calibri" w:hAnsi="Calibri"/>
                  <w:color w:val="2F5FE0"/>
                  <w:sz w:val="21"/>
                  <w:szCs w:val="21"/>
                  <w:u w:val="single"/>
                </w:rPr>
                <w:t xml:space="preserve">https://www.capgemini.com/insights/research-library/world-wealth-report/</w:t>
              </w:r>
            </w:hyperlink>
          </w:p>
        </w:tc>
        <w:tc>
          <w:tcPr>
            <w:tcW w:type="dxa" w:w="5226"/>
            <w:shd w:fill="F2F5FA"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390,000 Indian HNWIs holding US$1.64 trillion, growing about 3% a year</w:t>
            </w:r>
          </w:p>
        </w:tc>
      </w:tr>
      <w:tr>
        <w:tc>
          <w:tcPr>
            <w:tcW w:type="dxa" w:w="400"/>
            <w:shd w:fill="FFFFFF" w:color="auto" w:val="clear"/>
            <w:tcMar>
              <w:top w:type="dxa" w:w="80"/>
              <w:left w:type="dxa" w:w="120"/>
              <w:bottom w:type="dxa" w:w="80"/>
              <w:right w:type="dxa" w:w="120"/>
            </w:tcMar>
          </w:tcPr>
          <w:p>
            <w:pPr>
              <w:spacing w:after="0" w:before="0" w:line="260"/>
            </w:pPr>
            <w:r>
              <w:rPr>
                <w:rFonts w:ascii="Calibri" w:cs="Calibri" w:eastAsia="Calibri" w:hAnsi="Calibri"/>
                <w:b/>
                <w:bCs/>
                <w:color w:val="6B7688"/>
                <w:sz w:val="21"/>
                <w:szCs w:val="21"/>
              </w:rPr>
              <w:t xml:space="preserve">S</w:t>
            </w:r>
          </w:p>
        </w:tc>
        <w:tc>
          <w:tcPr>
            <w:tcW w:type="dxa" w:w="3400"/>
            <w:shd w:fill="FFFFFF" w:color="auto" w:val="clear"/>
            <w:tcMar>
              <w:top w:type="dxa" w:w="80"/>
              <w:left w:type="dxa" w:w="120"/>
              <w:bottom w:type="dxa" w:w="80"/>
              <w:right w:type="dxa" w:w="120"/>
            </w:tcMar>
          </w:tcPr>
          <w:p>
            <w:pPr>
              <w:spacing w:after="0" w:before="0" w:line="260"/>
            </w:pPr>
            <w:r>
              <w:rPr>
                <w:rFonts w:ascii="Calibri" w:cs="Calibri" w:eastAsia="Calibri" w:hAnsi="Calibri"/>
                <w:b/>
                <w:bCs/>
                <w:color w:val="0F1B33"/>
                <w:sz w:val="21"/>
                <w:szCs w:val="21"/>
              </w:rPr>
              <w:t xml:space="preserve">Mordor Intelligence — India retail brokerage market</w:t>
            </w:r>
          </w:p>
          <w:p>
            <w:pPr>
              <w:spacing w:after="0" w:before="60" w:line="260"/>
            </w:pPr>
            <w:hyperlink w:history="1" r:id="rIdmkbvjqz3bb9b_7uovllyv">
              <w:r>
                <w:rPr>
                  <w:rFonts w:ascii="Calibri" w:cs="Calibri" w:eastAsia="Calibri" w:hAnsi="Calibri"/>
                  <w:color w:val="2F5FE0"/>
                  <w:sz w:val="21"/>
                  <w:szCs w:val="21"/>
                  <w:u w:val="single"/>
                </w:rPr>
                <w:t xml:space="preserve">https://www.mordorintelligence.com/industry-reports/india-retail-brokerage-market</w:t>
              </w:r>
            </w:hyperlink>
          </w:p>
        </w:tc>
        <w:tc>
          <w:tcPr>
            <w:tcW w:type="dxa" w:w="5226"/>
            <w:shd w:fill="FFFFFF"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US$6.98 bn in 2026 rising to US$13.09 bn by 2031</w:t>
            </w:r>
          </w:p>
        </w:tc>
      </w:tr>
      <w:tr>
        <w:tc>
          <w:tcPr>
            <w:tcW w:type="dxa" w:w="400"/>
            <w:shd w:fill="F2F5FA" w:color="auto" w:val="clear"/>
            <w:tcMar>
              <w:top w:type="dxa" w:w="80"/>
              <w:left w:type="dxa" w:w="120"/>
              <w:bottom w:type="dxa" w:w="80"/>
              <w:right w:type="dxa" w:w="120"/>
            </w:tcMar>
          </w:tcPr>
          <w:p>
            <w:pPr>
              <w:spacing w:after="0" w:before="0" w:line="260"/>
            </w:pPr>
            <w:r>
              <w:rPr>
                <w:rFonts w:ascii="Calibri" w:cs="Calibri" w:eastAsia="Calibri" w:hAnsi="Calibri"/>
                <w:b/>
                <w:bCs/>
                <w:color w:val="6B7688"/>
                <w:sz w:val="21"/>
                <w:szCs w:val="21"/>
              </w:rPr>
              <w:t xml:space="preserve">S</w:t>
            </w:r>
          </w:p>
        </w:tc>
        <w:tc>
          <w:tcPr>
            <w:tcW w:type="dxa" w:w="3400"/>
            <w:shd w:fill="F2F5FA" w:color="auto" w:val="clear"/>
            <w:tcMar>
              <w:top w:type="dxa" w:w="80"/>
              <w:left w:type="dxa" w:w="120"/>
              <w:bottom w:type="dxa" w:w="80"/>
              <w:right w:type="dxa" w:w="120"/>
            </w:tcMar>
          </w:tcPr>
          <w:p>
            <w:pPr>
              <w:spacing w:after="0" w:before="0" w:line="260"/>
            </w:pPr>
            <w:r>
              <w:rPr>
                <w:rFonts w:ascii="Calibri" w:cs="Calibri" w:eastAsia="Calibri" w:hAnsi="Calibri"/>
                <w:b/>
                <w:bCs/>
                <w:color w:val="0F1B33"/>
                <w:sz w:val="21"/>
                <w:szCs w:val="21"/>
              </w:rPr>
              <w:t xml:space="preserve">TechSci Research — India FinTech Market Report</w:t>
            </w:r>
          </w:p>
          <w:p>
            <w:pPr>
              <w:spacing w:after="0" w:before="60" w:line="260"/>
            </w:pPr>
            <w:hyperlink w:history="1" r:id="rIdpzovlbblhggrevlyuh4ox">
              <w:r>
                <w:rPr>
                  <w:rFonts w:ascii="Calibri" w:cs="Calibri" w:eastAsia="Calibri" w:hAnsi="Calibri"/>
                  <w:color w:val="2F5FE0"/>
                  <w:sz w:val="21"/>
                  <w:szCs w:val="21"/>
                  <w:u w:val="single"/>
                </w:rPr>
                <w:t xml:space="preserve">https://www.techsciresearch.com/report/india-fintech-market/</w:t>
              </w:r>
            </w:hyperlink>
          </w:p>
        </w:tc>
        <w:tc>
          <w:tcPr>
            <w:tcW w:type="dxa" w:w="5226"/>
            <w:shd w:fill="F2F5FA"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US$112 bn in 2024 to US$550 bn by 2030</w:t>
            </w:r>
          </w:p>
        </w:tc>
      </w:tr>
      <w:tr>
        <w:tc>
          <w:tcPr>
            <w:tcW w:type="dxa" w:w="400"/>
            <w:shd w:fill="FFFFFF" w:color="auto" w:val="clear"/>
            <w:tcMar>
              <w:top w:type="dxa" w:w="80"/>
              <w:left w:type="dxa" w:w="120"/>
              <w:bottom w:type="dxa" w:w="80"/>
              <w:right w:type="dxa" w:w="120"/>
            </w:tcMar>
          </w:tcPr>
          <w:p>
            <w:pPr>
              <w:spacing w:after="0" w:before="0" w:line="260"/>
            </w:pPr>
            <w:r>
              <w:rPr>
                <w:rFonts w:ascii="Calibri" w:cs="Calibri" w:eastAsia="Calibri" w:hAnsi="Calibri"/>
                <w:b/>
                <w:bCs/>
                <w:color w:val="6B7688"/>
                <w:sz w:val="21"/>
                <w:szCs w:val="21"/>
              </w:rPr>
              <w:t xml:space="preserve">S</w:t>
            </w:r>
          </w:p>
        </w:tc>
        <w:tc>
          <w:tcPr>
            <w:tcW w:type="dxa" w:w="3400"/>
            <w:shd w:fill="FFFFFF" w:color="auto" w:val="clear"/>
            <w:tcMar>
              <w:top w:type="dxa" w:w="80"/>
              <w:left w:type="dxa" w:w="120"/>
              <w:bottom w:type="dxa" w:w="80"/>
              <w:right w:type="dxa" w:w="120"/>
            </w:tcMar>
          </w:tcPr>
          <w:p>
            <w:pPr>
              <w:spacing w:after="0" w:before="0" w:line="260"/>
            </w:pPr>
            <w:r>
              <w:rPr>
                <w:rFonts w:ascii="Calibri" w:cs="Calibri" w:eastAsia="Calibri" w:hAnsi="Calibri"/>
                <w:b/>
                <w:bCs/>
                <w:color w:val="0F1B33"/>
                <w:sz w:val="21"/>
                <w:szCs w:val="21"/>
              </w:rPr>
              <w:t xml:space="preserve">Trendlyne — subscription plans</w:t>
            </w:r>
          </w:p>
          <w:p>
            <w:pPr>
              <w:spacing w:after="0" w:before="60" w:line="260"/>
            </w:pPr>
            <w:hyperlink w:history="1" r:id="rIdqozwslm-yjtaxt5lce8d5">
              <w:r>
                <w:rPr>
                  <w:rFonts w:ascii="Calibri" w:cs="Calibri" w:eastAsia="Calibri" w:hAnsi="Calibri"/>
                  <w:color w:val="2F5FE0"/>
                  <w:sz w:val="21"/>
                  <w:szCs w:val="21"/>
                  <w:u w:val="single"/>
                </w:rPr>
                <w:t xml:space="preserve">https://trendlyne.com/subscription/plans/</w:t>
              </w:r>
            </w:hyperlink>
          </w:p>
        </w:tc>
        <w:tc>
          <w:tcPr>
            <w:tcW w:type="dxa" w:w="5226"/>
            <w:shd w:fill="FFFFFF"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₹310 a month domestic versus ₹1,500–2,000 a month for global tiers — the ~5× global premium</w:t>
            </w:r>
          </w:p>
        </w:tc>
      </w:tr>
      <w:tr>
        <w:tc>
          <w:tcPr>
            <w:tcW w:type="dxa" w:w="400"/>
            <w:shd w:fill="F2F5FA" w:color="auto" w:val="clear"/>
            <w:tcMar>
              <w:top w:type="dxa" w:w="80"/>
              <w:left w:type="dxa" w:w="120"/>
              <w:bottom w:type="dxa" w:w="80"/>
              <w:right w:type="dxa" w:w="120"/>
            </w:tcMar>
          </w:tcPr>
          <w:p>
            <w:pPr>
              <w:spacing w:after="0" w:before="0" w:line="260"/>
            </w:pPr>
            <w:r>
              <w:rPr>
                <w:rFonts w:ascii="Calibri" w:cs="Calibri" w:eastAsia="Calibri" w:hAnsi="Calibri"/>
                <w:b/>
                <w:bCs/>
                <w:color w:val="6B7688"/>
                <w:sz w:val="21"/>
                <w:szCs w:val="21"/>
              </w:rPr>
              <w:t xml:space="preserve">S</w:t>
            </w:r>
          </w:p>
        </w:tc>
        <w:tc>
          <w:tcPr>
            <w:tcW w:type="dxa" w:w="3400"/>
            <w:shd w:fill="F2F5FA" w:color="auto" w:val="clear"/>
            <w:tcMar>
              <w:top w:type="dxa" w:w="80"/>
              <w:left w:type="dxa" w:w="120"/>
              <w:bottom w:type="dxa" w:w="80"/>
              <w:right w:type="dxa" w:w="120"/>
            </w:tcMar>
          </w:tcPr>
          <w:p>
            <w:pPr>
              <w:spacing w:after="0" w:before="0" w:line="260"/>
            </w:pPr>
            <w:r>
              <w:rPr>
                <w:rFonts w:ascii="Calibri" w:cs="Calibri" w:eastAsia="Calibri" w:hAnsi="Calibri"/>
                <w:b/>
                <w:bCs/>
                <w:color w:val="0F1B33"/>
                <w:sz w:val="21"/>
                <w:szCs w:val="21"/>
              </w:rPr>
              <w:t xml:space="preserve">Competitor websites and public app listings, 2026</w:t>
            </w:r>
          </w:p>
        </w:tc>
        <w:tc>
          <w:tcPr>
            <w:tcW w:type="dxa" w:w="5226"/>
            <w:shd w:fill="F2F5FA"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Kalpi.ai, Wright Research, Ionic Wealth, MyFi and Dezerv positioning, pricing and user counts</w:t>
            </w:r>
          </w:p>
        </w:tc>
      </w:tr>
    </w:tbl>
    <w:p>
      <w:pPr>
        <w:pStyle w:val="Heading2"/>
        <w:keepNext/>
        <w:spacing w:after="120" w:before="320"/>
      </w:pPr>
      <w:r>
        <w:rPr>
          <w:rFonts w:ascii="Arial" w:cs="Arial" w:eastAsia="Arial" w:hAnsi="Arial"/>
          <w:b/>
          <w:bCs/>
          <w:color w:val="2F5FE0"/>
          <w:sz w:val="24"/>
          <w:szCs w:val="24"/>
        </w:rPr>
        <w:t xml:space="preserve">10.3  Our own documents</w:t>
      </w:r>
    </w:p>
    <w:tbl>
      <w:tblPr>
        <w:tblW w:type="dxa" w:w="9026"/>
        <w:tblBorders>
          <w:top w:val="single" w:color="DCE3F0" w:sz="4"/>
          <w:left w:val="single" w:color="DCE3F0" w:sz="4"/>
          <w:bottom w:val="single" w:color="DCE3F0" w:sz="4"/>
          <w:right w:val="single" w:color="DCE3F0" w:sz="4"/>
          <w:insideH w:val="single" w:color="DCE3F0" w:sz="4"/>
          <w:insideV w:val="single" w:color="DCE3F0" w:sz="4"/>
        </w:tblBorders>
      </w:tblPr>
      <w:tblGrid>
        <w:gridCol w:w="3400"/>
        <w:gridCol w:w="5626"/>
      </w:tblGrid>
      <w:tr>
        <w:trPr>
          <w:tblHeader/>
        </w:trPr>
        <w:tc>
          <w:tcPr>
            <w:tcW w:type="dxa" w:w="3400"/>
            <w:shd w:fill="0F1B33" w:color="auto" w:val="clear"/>
            <w:tcMar>
              <w:top w:type="dxa" w:w="90"/>
              <w:left w:type="dxa" w:w="120"/>
              <w:bottom w:type="dxa" w:w="90"/>
              <w:right w:type="dxa" w:w="120"/>
            </w:tcMar>
          </w:tcPr>
          <w:p>
            <w:pPr>
              <w:spacing w:after="0" w:line="260"/>
            </w:pPr>
            <w:r>
              <w:rPr>
                <w:rFonts w:ascii="Arial" w:cs="Arial" w:eastAsia="Arial" w:hAnsi="Arial"/>
                <w:b/>
                <w:bCs/>
                <w:color w:val="FFFFFF"/>
                <w:sz w:val="19"/>
                <w:szCs w:val="19"/>
              </w:rPr>
              <w:t xml:space="preserve">Document</w:t>
            </w:r>
          </w:p>
        </w:tc>
        <w:tc>
          <w:tcPr>
            <w:tcW w:type="dxa" w:w="5626"/>
            <w:shd w:fill="0F1B33" w:color="auto" w:val="clear"/>
            <w:tcMar>
              <w:top w:type="dxa" w:w="90"/>
              <w:left w:type="dxa" w:w="120"/>
              <w:bottom w:type="dxa" w:w="90"/>
              <w:right w:type="dxa" w:w="120"/>
            </w:tcMar>
          </w:tcPr>
          <w:p>
            <w:pPr>
              <w:spacing w:after="0" w:line="260"/>
            </w:pPr>
            <w:r>
              <w:rPr>
                <w:rFonts w:ascii="Arial" w:cs="Arial" w:eastAsia="Arial" w:hAnsi="Arial"/>
                <w:b/>
                <w:bCs/>
                <w:color w:val="FFFFFF"/>
                <w:sz w:val="19"/>
                <w:szCs w:val="19"/>
              </w:rPr>
              <w:t xml:space="preserve">What the deck takes from it</w:t>
            </w:r>
          </w:p>
        </w:tc>
      </w:tr>
      <w:tr>
        <w:tc>
          <w:tcPr>
            <w:tcW w:type="dxa" w:w="3400"/>
            <w:shd w:fill="FFFFFF" w:color="auto" w:val="clear"/>
            <w:tcMar>
              <w:top w:type="dxa" w:w="80"/>
              <w:left w:type="dxa" w:w="120"/>
              <w:bottom w:type="dxa" w:w="80"/>
              <w:right w:type="dxa" w:w="120"/>
            </w:tcMar>
          </w:tcPr>
          <w:p>
            <w:pPr>
              <w:spacing w:after="0" w:before="0" w:line="260"/>
            </w:pPr>
            <w:r>
              <w:rPr>
                <w:rFonts w:ascii="Calibri" w:cs="Calibri" w:eastAsia="Calibri" w:hAnsi="Calibri"/>
                <w:b/>
                <w:bCs/>
                <w:color w:val="0F1B33"/>
                <w:sz w:val="21"/>
                <w:szCs w:val="21"/>
              </w:rPr>
              <w:t xml:space="preserve">Nxance Financial Sheet.xlsx</w:t>
            </w:r>
          </w:p>
        </w:tc>
        <w:tc>
          <w:tcPr>
            <w:tcW w:type="dxa" w:w="5626"/>
            <w:shd w:fill="FFFFFF"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Monthly burn curve (₹27.6 L → ₹76.91 L, ₹61.97 L average, ₹11.10 Cr total) · use of funds · valuation and dilution · business-model subscriber ramp · hiring plan and people cost · exit sensitivities</w:t>
            </w:r>
          </w:p>
        </w:tc>
      </w:tr>
      <w:tr>
        <w:tc>
          <w:tcPr>
            <w:tcW w:type="dxa" w:w="3400"/>
            <w:shd w:fill="F2F5FA" w:color="auto" w:val="clear"/>
            <w:tcMar>
              <w:top w:type="dxa" w:w="80"/>
              <w:left w:type="dxa" w:w="120"/>
              <w:bottom w:type="dxa" w:w="80"/>
              <w:right w:type="dxa" w:w="120"/>
            </w:tcMar>
          </w:tcPr>
          <w:p>
            <w:pPr>
              <w:spacing w:after="0" w:before="0" w:line="260"/>
            </w:pPr>
            <w:r>
              <w:rPr>
                <w:rFonts w:ascii="Calibri" w:cs="Calibri" w:eastAsia="Calibri" w:hAnsi="Calibri"/>
                <w:b/>
                <w:bCs/>
                <w:color w:val="0F1B33"/>
                <w:sz w:val="21"/>
                <w:szCs w:val="21"/>
              </w:rPr>
              <w:t xml:space="preserve">Funding tranche schedule (PDF, September 2026)</w:t>
            </w:r>
          </w:p>
        </w:tc>
        <w:tc>
          <w:tcPr>
            <w:tcW w:type="dxa" w:w="5626"/>
            <w:shd w:fill="F2F5FA"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The three-tranche structure: ₹2.74 Cr / ₹5.27 Cr / ₹4.48 Cr at 6% / 7% / 7%, with deliverables per tranche. Supersedes the four-tranche version still sitting in the workbook.</w:t>
            </w:r>
          </w:p>
        </w:tc>
      </w:tr>
      <w:tr>
        <w:tc>
          <w:tcPr>
            <w:tcW w:type="dxa" w:w="3400"/>
            <w:shd w:fill="FFFFFF" w:color="auto" w:val="clear"/>
            <w:tcMar>
              <w:top w:type="dxa" w:w="80"/>
              <w:left w:type="dxa" w:w="120"/>
              <w:bottom w:type="dxa" w:w="80"/>
              <w:right w:type="dxa" w:w="120"/>
            </w:tcMar>
          </w:tcPr>
          <w:p>
            <w:pPr>
              <w:spacing w:after="0" w:before="0" w:line="260"/>
            </w:pPr>
            <w:r>
              <w:rPr>
                <w:rFonts w:ascii="Calibri" w:cs="Calibri" w:eastAsia="Calibri" w:hAnsi="Calibri"/>
                <w:b/>
                <w:bCs/>
                <w:color w:val="0F1B33"/>
                <w:sz w:val="21"/>
                <w:szCs w:val="21"/>
              </w:rPr>
              <w:t xml:space="preserve">Health Check engine specification</w:t>
            </w:r>
          </w:p>
        </w:tc>
        <w:tc>
          <w:tcPr>
            <w:tcW w:type="dxa" w:w="5626"/>
            <w:shd w:fill="FFFFFF"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26 quantitative sub-engines</w:t>
            </w:r>
          </w:p>
        </w:tc>
      </w:tr>
      <w:tr>
        <w:tc>
          <w:tcPr>
            <w:tcW w:type="dxa" w:w="3400"/>
            <w:shd w:fill="F2F5FA" w:color="auto" w:val="clear"/>
            <w:tcMar>
              <w:top w:type="dxa" w:w="80"/>
              <w:left w:type="dxa" w:w="120"/>
              <w:bottom w:type="dxa" w:w="80"/>
              <w:right w:type="dxa" w:w="120"/>
            </w:tcMar>
          </w:tcPr>
          <w:p>
            <w:pPr>
              <w:spacing w:after="0" w:before="0" w:line="260"/>
            </w:pPr>
            <w:r>
              <w:rPr>
                <w:rFonts w:ascii="Calibri" w:cs="Calibri" w:eastAsia="Calibri" w:hAnsi="Calibri"/>
                <w:b/>
                <w:bCs/>
                <w:color w:val="0F1B33"/>
                <w:sz w:val="21"/>
                <w:szCs w:val="21"/>
              </w:rPr>
              <w:t xml:space="preserve">Construction engine specification</w:t>
            </w:r>
          </w:p>
        </w:tc>
        <w:tc>
          <w:tcPr>
            <w:tcW w:type="dxa" w:w="5626"/>
            <w:shd w:fill="F2F5FA"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26 quantitative sub-engines</w:t>
            </w:r>
          </w:p>
        </w:tc>
      </w:tr>
      <w:tr>
        <w:tc>
          <w:tcPr>
            <w:tcW w:type="dxa" w:w="3400"/>
            <w:shd w:fill="FFFFFF" w:color="auto" w:val="clear"/>
            <w:tcMar>
              <w:top w:type="dxa" w:w="80"/>
              <w:left w:type="dxa" w:w="120"/>
              <w:bottom w:type="dxa" w:w="80"/>
              <w:right w:type="dxa" w:w="120"/>
            </w:tcMar>
          </w:tcPr>
          <w:p>
            <w:pPr>
              <w:spacing w:after="0" w:before="0" w:line="260"/>
            </w:pPr>
            <w:r>
              <w:rPr>
                <w:rFonts w:ascii="Calibri" w:cs="Calibri" w:eastAsia="Calibri" w:hAnsi="Calibri"/>
                <w:b/>
                <w:bCs/>
                <w:color w:val="0F1B33"/>
                <w:sz w:val="21"/>
                <w:szCs w:val="21"/>
              </w:rPr>
              <w:t xml:space="preserve">NxanceLM specification</w:t>
            </w:r>
          </w:p>
        </w:tc>
        <w:tc>
          <w:tcPr>
            <w:tcW w:type="dxa" w:w="5626"/>
            <w:shd w:fill="FFFFFF"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18 language mini-engines</w:t>
            </w:r>
          </w:p>
        </w:tc>
      </w:tr>
      <w:tr>
        <w:tc>
          <w:tcPr>
            <w:tcW w:type="dxa" w:w="3400"/>
            <w:shd w:fill="F2F5FA" w:color="auto" w:val="clear"/>
            <w:tcMar>
              <w:top w:type="dxa" w:w="80"/>
              <w:left w:type="dxa" w:w="120"/>
              <w:bottom w:type="dxa" w:w="80"/>
              <w:right w:type="dxa" w:w="120"/>
            </w:tcMar>
          </w:tcPr>
          <w:p>
            <w:pPr>
              <w:spacing w:after="0" w:before="0" w:line="260"/>
            </w:pPr>
            <w:r>
              <w:rPr>
                <w:rFonts w:ascii="Calibri" w:cs="Calibri" w:eastAsia="Calibri" w:hAnsi="Calibri"/>
                <w:b/>
                <w:bCs/>
                <w:color w:val="0F1B33"/>
                <w:sz w:val="21"/>
                <w:szCs w:val="21"/>
              </w:rPr>
              <w:t xml:space="preserve">Our own user and investor conversation records</w:t>
            </w:r>
          </w:p>
        </w:tc>
        <w:tc>
          <w:tcPr>
            <w:tcW w:type="dxa" w:w="5626"/>
            <w:shd w:fill="F2F5FA" w:color="auto" w:val="clear"/>
            <w:tcMar>
              <w:top w:type="dxa" w:w="80"/>
              <w:left w:type="dxa" w:w="120"/>
              <w:bottom w:type="dxa" w:w="80"/>
              <w:right w:type="dxa" w:w="120"/>
            </w:tcMar>
          </w:tcPr>
          <w:p>
            <w:pPr>
              <w:spacing w:after="0" w:before="0" w:line="260"/>
            </w:pPr>
            <w:r>
              <w:rPr>
                <w:rFonts w:ascii="Calibri" w:cs="Calibri" w:eastAsia="Calibri" w:hAnsi="Calibri"/>
                <w:color w:val="3A4657"/>
                <w:sz w:val="21"/>
                <w:szCs w:val="21"/>
              </w:rPr>
              <w:t xml:space="preserve">All traction figures: 12 conversations, 8 of 12, 50 early Construction users, 500+ waitlist</w:t>
            </w:r>
          </w:p>
        </w:tc>
      </w:tr>
    </w:tbl>
    <w:p>
      <w:pPr>
        <w:spacing w:after="300"/>
      </w:pPr>
    </w:p>
    <w:p>
      <w:pPr>
        <w:spacing w:after="140" w:before="200" w:line="280"/>
      </w:pPr>
      <w:r>
        <w:rPr>
          <w:rFonts w:ascii="Calibri" w:cs="Calibri" w:eastAsia="Calibri" w:hAnsi="Calibri"/>
          <w:b/>
          <w:bCs/>
          <w:color w:val="0F1B33"/>
          <w:sz w:val="21"/>
          <w:szCs w:val="21"/>
        </w:rPr>
        <w:t xml:space="preserve">A closing note on discipline. </w:t>
      </w:r>
      <w:r>
        <w:rPr>
          <w:rFonts w:ascii="Calibri" w:cs="Calibri" w:eastAsia="Calibri" w:hAnsi="Calibri"/>
          <w:color w:val="3A4657"/>
          <w:sz w:val="21"/>
          <w:szCs w:val="21"/>
        </w:rPr>
        <w:t xml:space="preserve">Five separate errors were found and corrected while building this model, and the largest — worth about ₹40 lakh crore of phantom assets — survived several review passes before a single unexpected question exposed it. The market number in the deck is now right because it was rebuilt twice from different directions until the two agreed. Hold every future number to the same test.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6B7688"/>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CE3F0" w:sz="4" w:space="4"/>
      </w:pBdr>
      <w:spacing w:after="200"/>
      <w:jc w:val="right"/>
    </w:pPr>
    <w:r>
      <w:rPr>
        <w:rFonts w:ascii="Arial" w:cs="Arial" w:eastAsia="Arial" w:hAnsi="Arial"/>
        <w:color w:val="6B7688"/>
        <w:sz w:val="16"/>
        <w:szCs w:val="16"/>
      </w:rPr>
      <w:t xml:space="preserve">Nxance  ·  Founders' Reference  ·  September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A465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hm-9vmerwe7bkddudpze-" Type="http://schemas.openxmlformats.org/officeDocument/2006/relationships/hyperlink" Target="https://nsearchives.nseindia.com/web/sites/default/files/inline-files/India%20Ownership%20Report_June%202025.pdf" TargetMode="External"/><Relationship Id="rIdt2bpsiskeuaavgqzimgdm" Type="http://schemas.openxmlformats.org/officeDocument/2006/relationships/hyperlink" Target="https://www.amfiindia.com/investor-corner/knowledge-center/industry-trends" TargetMode="External"/><Relationship Id="rId0qbgdvopyp81v79-o9c0-" Type="http://schemas.openxmlformats.org/officeDocument/2006/relationships/hyperlink" Target="https://www.amfiindia.com/research-information/amfi-monthly" TargetMode="External"/><Relationship Id="rIdfr-btpn5nbnlad8pnltcz" Type="http://schemas.openxmlformats.org/officeDocument/2006/relationships/hyperlink" Target="https://www.sebi.gov.in/statistics/assets-managed.html" TargetMode="External"/><Relationship Id="rIdbwr_yd82bt_flnz4zejz2" Type="http://schemas.openxmlformats.org/officeDocument/2006/relationships/hyperlink" Target="https://www.sebi.gov.in/statistics/1392982252002.html" TargetMode="External"/><Relationship Id="rIdoxrkbjo6-iiwmzqxadn8t" Type="http://schemas.openxmlformats.org/officeDocument/2006/relationships/hyperlink" Target="https://www.sebi.gov.in/statistics/1392982252005.html" TargetMode="External"/><Relationship Id="rIdctwl-kmtmwwdxoy7_xkis" Type="http://schemas.openxmlformats.org/officeDocument/2006/relationships/hyperlink" Target="https://www.rbi.org.in/Scripts/BS_ViewBulletin.aspx" TargetMode="External"/><Relationship Id="rIdia4ifhqkteblj1iknalp-" Type="http://schemas.openxmlformats.org/officeDocument/2006/relationships/hyperlink" Target="https://www.rbi.org.in/Scripts/BS_PressReleaseDisplay.aspx" TargetMode="External"/><Relationship Id="rIdiflcxmd_ph7ka7oe8d9vb" Type="http://schemas.openxmlformats.org/officeDocument/2006/relationships/hyperlink" Target="https://www.businesstoday.in/markets" TargetMode="External"/><Relationship Id="rIdylefhs0f7_xkhofis9zgj" Type="http://schemas.openxmlformats.org/officeDocument/2006/relationships/hyperlink" Target="https://www.business-standard.com/markets" TargetMode="External"/><Relationship Id="rId900omcczdgessgwtcat6n" Type="http://schemas.openxmlformats.org/officeDocument/2006/relationships/hyperlink" Target="https://www.icicidirect.com/research/equity/trending-news" TargetMode="External"/><Relationship Id="rIdvwsh3bny1avqm6gd4vytq" Type="http://schemas.openxmlformats.org/officeDocument/2006/relationships/hyperlink" Target="https://exchanges.broker/" TargetMode="External"/><Relationship Id="rIdslub1e6dgwxbxxzhfpq4s" Type="http://schemas.openxmlformats.org/officeDocument/2006/relationships/hyperlink" Target="https://www.angelone.in/knowledge-center/mutual-funds" TargetMode="External"/><Relationship Id="rIdmxfownmrunpy369cajm3y" Type="http://schemas.openxmlformats.org/officeDocument/2006/relationships/hyperlink" Target="https://www.ibef.org/industry/mutual-funds-india" TargetMode="External"/><Relationship Id="rIddmnfcz2ply42w92fefua4" Type="http://schemas.openxmlformats.org/officeDocument/2006/relationships/hyperlink" Target="https://tradingeconomics.com/india/currency" TargetMode="External"/><Relationship Id="rIddddrilniyublcab1eg-wu" Type="http://schemas.openxmlformats.org/officeDocument/2006/relationships/hyperlink" Target="https://www.sebi.gov.in/reports-and-statistics/research/jul-2025" TargetMode="External"/><Relationship Id="rIdgmhp89air-r3spjhtjoss" Type="http://schemas.openxmlformats.org/officeDocument/2006/relationships/hyperlink" Target="https://www.sebi.gov.in/legal/master-circulars" TargetMode="External"/><Relationship Id="rIdmqyxspetqavcnmagzrz0h" Type="http://schemas.openxmlformats.org/officeDocument/2006/relationships/hyperlink" Target="https://www.sebi.gov.in/legal/circulars" TargetMode="External"/><Relationship Id="rIddgnnmq3vzptmvuhenccs-" Type="http://schemas.openxmlformats.org/officeDocument/2006/relationships/hyperlink" Target="https://the-ken.com/" TargetMode="External"/><Relationship Id="rIdmvarod6ag5sot7jbl1ez3" Type="http://schemas.openxmlformats.org/officeDocument/2006/relationships/hyperlink" Target="https://tradebrains.in/" TargetMode="External"/><Relationship Id="rIdnftaekwzuserznaaartc5" Type="http://schemas.openxmlformats.org/officeDocument/2006/relationships/hyperlink" Target="https://www.capgemini.com/insights/research-library/world-wealth-report/" TargetMode="External"/><Relationship Id="rIdmkbvjqz3bb9b_7uovllyv" Type="http://schemas.openxmlformats.org/officeDocument/2006/relationships/hyperlink" Target="https://www.mordorintelligence.com/industry-reports/india-retail-brokerage-market" TargetMode="External"/><Relationship Id="rIdpzovlbblhggrevlyuh4ox" Type="http://schemas.openxmlformats.org/officeDocument/2006/relationships/hyperlink" Target="https://www.techsciresearch.com/report/india-fintech-market/" TargetMode="External"/><Relationship Id="rIdqozwslm-yjtaxt5lce8d5" Type="http://schemas.openxmlformats.org/officeDocument/2006/relationships/hyperlink" Target="https://trendlyne.com/subscription/plans/" TargetMode="External"/><Relationship Id="rId3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Nxance Investor Deck — Founders' Reference</dc:title>
  <dc:creator>Ohshn Intelligence LLP</dc:creator>
  <dc:description>Source links and plain-language calculations behind every number in the Nxance investor deck.</dc:description>
  <cp:lastModifiedBy>Un-named</cp:lastModifiedBy>
  <cp:revision>1</cp:revision>
  <dcterms:created xsi:type="dcterms:W3CDTF">2026-09-20T13:49:50.765Z</dcterms:created>
  <dcterms:modified xsi:type="dcterms:W3CDTF">2026-09-20T13:49:50.766Z</dcterms:modified>
</cp:coreProperties>
</file>

<file path=docProps/custom.xml><?xml version="1.0" encoding="utf-8"?>
<Properties xmlns="http://schemas.openxmlformats.org/officeDocument/2006/custom-properties" xmlns:vt="http://schemas.openxmlformats.org/officeDocument/2006/docPropsVTypes"/>
</file>