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drawing>
          <wp:inline distT="0" distB="0" distL="0" distR="0">
            <wp:extent cx="20002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/>
      </w:pPr>
      <w:r>
        <w:rPr>
          <w:rFonts w:ascii="Calibri" w:cs="Calibri" w:eastAsia="Calibri" w:hAnsi="Calibri"/>
          <w:i/>
          <w:iCs/>
          <w:color w:val="555A73"/>
          <w:sz w:val="20"/>
          <w:szCs w:val="20"/>
        </w:rPr>
        <w:t xml:space="preserve">An investment intelligence platform — not an advisory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55A73"/>
          <w:spacing w:val="20"/>
          <w:sz w:val="20"/>
          <w:szCs w:val="20"/>
        </w:rPr>
        <w:t xml:space="preserve">TECHNOLOGY RESEARCH &amp; BUILD PLAN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2142B"/>
          <w:sz w:val="40"/>
          <w:szCs w:val="40"/>
        </w:rPr>
        <w:t xml:space="preserve">Quant Engines, Third-Party AI Integration &amp; Infrastructure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A73"/>
          <w:sz w:val="22"/>
          <w:szCs w:val="22"/>
        </w:rPr>
        <w:t xml:space="preserve">September 2026  ·  Technical reference for engineering &amp; hiring planning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0. Key Clarification — What Nxance Builds vs. What It Buys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This document sets the technology plan straight on one point that changes the entire scope: Nxance does not build, train, or fine-tune its own language model — not even a self-hosted open-source fine-tune. NxanceLM's chat layer runs entirely on a third-party LLM, accessed via API.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What Nxance does build, train, and own outright: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Health Check Engine — 26 sub-engines, deterministic quant math, calibrated in-house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Construction Engine — 26 sub-engines, deterministic quant math, calibrated in-house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Terminal — the market data / news dashboard, zero AI, entirely Nxance's own data pipeline and UI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A1D2E"/>
          <w:sz w:val="22"/>
          <w:szCs w:val="22"/>
        </w:rPr>
        <w:t xml:space="preserve">"Trained" for the two engines means something different from AI training: it means their scoring weights (the Selection Engine's 16-layer FIT score, the Health Score) are calibrated — hand-set by domain judgment, then backtested against historical data — not learned by a neural network. This is the honest, accurate way to describe the engines' "training" without overstating it as machine learning.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This single decision removes GPU training clusters, fine-tuning pipelines, and ML-training hires from the entire plan below — those are the biggest cost and complexity items a technology plan like this usually carries, and none of them apply here.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1. What "Build" Means, Per Component</w:t>
      </w:r>
    </w:p>
    <w:tbl>
      <w:tblPr>
        <w:tblW w:type="dxa" w:w="10000"/>
        <w:tblBorders>
          <w:top w:val="single" w:color="CBD0E0" w:sz="2"/>
          <w:left w:val="single" w:color="CBD0E0" w:sz="2"/>
          <w:bottom w:val="single" w:color="CBD0E0" w:sz="2"/>
          <w:right w:val="single" w:color="CBD0E0" w:sz="2"/>
          <w:insideH w:val="single" w:color="CBD0E0" w:sz="2"/>
          <w:insideV w:val="single" w:color="CBD0E0" w:sz="2"/>
        </w:tblBorders>
      </w:tblPr>
      <w:tblGrid>
        <w:gridCol w:w="2500"/>
        <w:gridCol w:w="5100"/>
        <w:gridCol w:w="2400"/>
      </w:tblGrid>
      <w:tr>
        <w:trPr>
          <w:cantSplit/>
          <w:tblHeader/>
        </w:trPr>
        <w:tc>
          <w:tcPr>
            <w:tcW w:type="dxa" w:w="25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"build" means</w:t>
            </w:r>
          </w:p>
        </w:tc>
        <w:tc>
          <w:tcPr>
            <w:tcW w:type="dxa" w:w="24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owns it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Health Check Engine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Write and calibrate 26 sub-engines in Python/Rust — gap analysis, risk metrics, Monte Carlo forecasting, backtesting, tax rules, etc.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Nxance engineering — fully owned IP</w:t>
            </w:r>
          </w:p>
        </w:tc>
      </w:tr>
      <w:tr>
        <w:trPr>
          <w:cantSplit/>
        </w:trPr>
        <w:tc>
          <w:tcPr>
            <w:tcW w:type="dxa" w:w="2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Construction Engine</w:t>
            </w:r>
          </w:p>
        </w:tc>
        <w:tc>
          <w:tcPr>
            <w:tcW w:type="dxa" w:w="51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Write and calibrate 26 sub-engines — Black-Litterman allocation, MVO, Selection Engine, correlation, rebalancing, etc.</w:t>
            </w:r>
          </w:p>
        </w:tc>
        <w:tc>
          <w:tcPr>
            <w:tcW w:type="dxa" w:w="2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Nxance engineering — fully owned IP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Terminal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Build the data pipeline (market/news feeds) and the dashboard UI — no AI involved at all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Nxance engineering — fully owned IP</w:t>
            </w:r>
          </w:p>
        </w:tc>
      </w:tr>
      <w:tr>
        <w:trPr>
          <w:cantSplit/>
        </w:trPr>
        <w:tc>
          <w:tcPr>
            <w:tcW w:type="dxa" w:w="2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NxanceLM (chat layer)</w:t>
            </w:r>
          </w:p>
        </w:tc>
        <w:tc>
          <w:tcPr>
            <w:tcW w:type="dxa" w:w="51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Integrate a third-party LLM via API, wrap it in retrieval (RAG) over Nxance's own data, and wrap that in Number Guard so it never states an unverified figure</w:t>
            </w:r>
          </w:p>
        </w:tc>
        <w:tc>
          <w:tcPr>
            <w:tcW w:type="dxa" w:w="2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Nxance engineering integrates; the model itself is licensed, not owned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2. Health Check Engine — All 26 Sub-Engines</w:t>
      </w:r>
    </w:p>
    <w:tbl>
      <w:tblPr>
        <w:tblW w:type="dxa" w:w="10000"/>
        <w:tblBorders>
          <w:top w:val="single" w:color="CBD0E0" w:sz="2"/>
          <w:left w:val="single" w:color="CBD0E0" w:sz="2"/>
          <w:bottom w:val="single" w:color="CBD0E0" w:sz="2"/>
          <w:right w:val="single" w:color="CBD0E0" w:sz="2"/>
          <w:insideH w:val="single" w:color="CBD0E0" w:sz="2"/>
          <w:insideV w:val="single" w:color="CBD0E0" w:sz="2"/>
        </w:tblBorders>
      </w:tblPr>
      <w:tblGrid>
        <w:gridCol w:w="700"/>
        <w:gridCol w:w="2900"/>
        <w:gridCol w:w="6400"/>
      </w:tblGrid>
      <w:tr>
        <w:trPr>
          <w:cantSplit/>
          <w:tblHeader/>
        </w:trPr>
        <w:tc>
          <w:tcPr>
            <w:tcW w:type="dxa" w:w="7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Sub-engine</w:t>
            </w:r>
          </w:p>
        </w:tc>
        <w:tc>
          <w:tcPr>
            <w:tcW w:type="dxa" w:w="64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Analysis Engine (gap-finder)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Compares what's held vs. what's needed for the goal; surfaces every gap with its root cause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02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Risk Analysis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Volatility, Sharpe/Sortino ratio, VaR/CVaR, max drawdown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03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Fraud Gate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Screens holdings against SEBI enforcement and governance flags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04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Behaviour Analysis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Reads crash-reaction and check-frequency answers into a risk archetype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05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Tax Efficiency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LTCG/STCG-aware nudges before any suggested sell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06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Forecasting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Goal-probability via Monte Carlo simulation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07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Guidance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Turns gaps into a ranked, explained list of fixes — an intelligence layer, not a lone decision-maker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08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Selection Engine (16 layers)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Scores replacement candidates across 16 weighted factors; shared with Construction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09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Backtesting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Replays the portfolio through historical crashes (2008, 2020 COVID, etc.)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Analysis &amp; Managing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Ongoing watch after the report is delivered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Rebalancing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Flags drift beyond a set threshold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Redesigning Engine (SIP)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Adjusts an ongoing SIP plan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Peer Comparison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Percentile ranking against an anonymized user base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Goal-Drift Watchdog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Detects when a stated goal or timeline has changed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Portfolio Action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Adds an approved fix to the tracked Portfolio section; no real broker order is placed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16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User Behaviour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Shapes every gap/fix to observed behaviour, not just stated answers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17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Quantum Supervisor (Q-Core)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Global optimality re-check; simulated classically for this build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18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NxanceLM Integration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Wraps the third-party LLM in retrieval + Number Guard to explain every gap and fix in plain language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19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Data Intelligence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Nightly pre-computation of the scored instrument universe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20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Speed &amp; Orchestration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Owns the under-10-second response budget; parallelizes the engine DAG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Report Card &amp; Tracking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Generates the downloadable report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22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Asset Universe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Eligibility across the 8 launch asset classes (equity, MF, FD, bonds, gold, ETF, commodities, currency)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23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Scenario Sandbox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Runs "what if" simulations on demand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24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Number Guard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Cross-checks every rupee/percent/date the AI outputs against the source engine result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25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Peer Intelligence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Crowd-level patterns — ships now, activates once enough anonymized users exist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26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Compliance &amp; Audit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Every visible number traces to an engine_id, a version, and an input snapshot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3. Construction Engine — All 26 Sub-Engines</w:t>
      </w:r>
    </w:p>
    <w:tbl>
      <w:tblPr>
        <w:tblW w:type="dxa" w:w="10000"/>
        <w:tblBorders>
          <w:top w:val="single" w:color="CBD0E0" w:sz="2"/>
          <w:left w:val="single" w:color="CBD0E0" w:sz="2"/>
          <w:bottom w:val="single" w:color="CBD0E0" w:sz="2"/>
          <w:right w:val="single" w:color="CBD0E0" w:sz="2"/>
          <w:insideH w:val="single" w:color="CBD0E0" w:sz="2"/>
          <w:insideV w:val="single" w:color="CBD0E0" w:sz="2"/>
        </w:tblBorders>
      </w:tblPr>
      <w:tblGrid>
        <w:gridCol w:w="700"/>
        <w:gridCol w:w="2900"/>
        <w:gridCol w:w="6400"/>
      </w:tblGrid>
      <w:tr>
        <w:trPr>
          <w:cantSplit/>
          <w:tblHeader/>
        </w:trPr>
        <w:tc>
          <w:tcPr>
            <w:tcW w:type="dxa" w:w="7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Sub-engine</w:t>
            </w:r>
          </w:p>
        </w:tc>
        <w:tc>
          <w:tcPr>
            <w:tcW w:type="dxa" w:w="64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Profile &amp; Goal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Turns questionnaire answers into a structured profile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02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Asset Allocation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Black-Litterman — blends market-implied returns with the user's stated view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03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Selection Engine (16 layers)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Scores every candidate instrument 0-100 across 16 weighted factors; shared with Health Check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04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Constraint + Fraud Screen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Applies exclusions and the fraud list before allocation runs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05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Correlation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Correlation matrix across candidate instruments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06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MVO Optimisation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Markowitz mean-variance portfolio-weight solver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07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QAOA Quantum Optimisation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Long-term R&amp;D track — classical MVO covers this in practice today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08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Backtesting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Replays the candidate portfolio through historical crashes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09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Risk Analysis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Same risk math as Health Check's, run on the proposed portfolio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Tax-Aware Optimiser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Adjusts allocation for tax efficiency before finalizing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Analysis &amp; Managing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Post-build ongoing watch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Rebalancing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Shared with Health Check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Redesigning Engine (SIP)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Adjusts the SIP schedule over time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Portfolio Action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Adds an approved allocation/rebalance to the tracked Portfolio; no real order placed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Life-Event Adaptation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Reacts to a stated life change (job loss, marriage, new goal)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16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User Behaviour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Shared with Health Check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17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Quantum Supervisor (Q-Core)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Shared, simulated for this build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18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NxanceLM Integration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Explains every allocation decision ("why this fund") via the third-party LLM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19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Data Intelligence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Shared nightly-scored universe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20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Speed &amp; Orchestration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Owns under-10-second build time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Multi-Goal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Builds/allocates across more than one simultaneous goal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22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Scenario Sandbox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"What if I invest more/less" simulation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23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Asset Universe &amp; Eligibility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Shared with Health Check's asset universe engine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24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Number Guard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Shared verifier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25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Peer Intelligence Engine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Shared — ships now, activates once enough users exist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26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Compliance &amp; Audit Engine</w:t>
            </w:r>
          </w:p>
        </w:tc>
        <w:tc>
          <w:tcPr>
            <w:tcW w:type="dxa" w:w="6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Shared audit trail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4. Quant Technique Research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Every formula behind Health Check and Construction traces to published, decades-old research — none of it is original R&amp;D.</w:t>
      </w:r>
    </w:p>
    <w:tbl>
      <w:tblPr>
        <w:tblW w:type="dxa" w:w="10000"/>
        <w:tblBorders>
          <w:top w:val="single" w:color="CBD0E0" w:sz="2"/>
          <w:left w:val="single" w:color="CBD0E0" w:sz="2"/>
          <w:bottom w:val="single" w:color="CBD0E0" w:sz="2"/>
          <w:right w:val="single" w:color="CBD0E0" w:sz="2"/>
          <w:insideH w:val="single" w:color="CBD0E0" w:sz="2"/>
          <w:insideV w:val="single" w:color="CBD0E0" w:sz="2"/>
        </w:tblBorders>
      </w:tblPr>
      <w:tblGrid>
        <w:gridCol w:w="2500"/>
        <w:gridCol w:w="2700"/>
        <w:gridCol w:w="2900"/>
        <w:gridCol w:w="1900"/>
      </w:tblGrid>
      <w:tr>
        <w:trPr>
          <w:cantSplit/>
          <w:tblHeader/>
        </w:trPr>
        <w:tc>
          <w:tcPr>
            <w:tcW w:type="dxa" w:w="25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7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Research basis</w:t>
            </w:r>
          </w:p>
        </w:tc>
        <w:tc>
          <w:tcPr>
            <w:tcW w:type="dxa" w:w="29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solves</w:t>
            </w:r>
          </w:p>
        </w:tc>
        <w:tc>
          <w:tcPr>
            <w:tcW w:type="dxa" w:w="19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Mean-Variance Optimization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Markowitz, 1952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Foundation of return/risk portfolio construction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PyPortfolioOpt, cvxpy</w:t>
            </w:r>
          </w:p>
        </w:tc>
      </w:tr>
      <w:tr>
        <w:trPr>
          <w:cantSplit/>
        </w:trPr>
        <w:tc>
          <w:tcPr>
            <w:tcW w:type="dxa" w:w="2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Black-Litterman allocation</w:t>
            </w:r>
          </w:p>
        </w:tc>
        <w:tc>
          <w:tcPr>
            <w:tcW w:type="dxa" w:w="2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Black &amp; Litterman, Goldman Sachs, 1990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Blends market equilibrium with an investor's stated view</w:t>
            </w:r>
          </w:p>
        </w:tc>
        <w:tc>
          <w:tcPr>
            <w:tcW w:type="dxa" w:w="1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PyPortfolioOpt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Monte Carlo simulation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Law of Large Numbers / CLT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Goal-probability forecasting across thousands of paths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numpy (vectorized)</w:t>
            </w:r>
          </w:p>
        </w:tc>
      </w:tr>
      <w:tr>
        <w:trPr>
          <w:cantSplit/>
        </w:trPr>
        <w:tc>
          <w:tcPr>
            <w:tcW w:type="dxa" w:w="2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XIRR / IRR solving</w:t>
            </w:r>
          </w:p>
        </w:tc>
        <w:tc>
          <w:tcPr>
            <w:tcW w:type="dxa" w:w="2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Newton-Raphson / Brent's method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Cash-flow-based return calculation</w:t>
            </w:r>
          </w:p>
        </w:tc>
        <w:tc>
          <w:tcPr>
            <w:tcW w:type="dxa" w:w="1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scipy.optimize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Ledoit-Wolf shrinkage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Ledoit &amp; Wolf, 2003–2004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Stabilizes covariance estimation for MVO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scikit-learn, PyPortfolioOpt</w:t>
            </w:r>
          </w:p>
        </w:tc>
      </w:tr>
      <w:tr>
        <w:trPr>
          <w:cantSplit/>
        </w:trPr>
        <w:tc>
          <w:tcPr>
            <w:tcW w:type="dxa" w:w="2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Hierarchical Risk Parity</w:t>
            </w:r>
          </w:p>
        </w:tc>
        <w:tc>
          <w:tcPr>
            <w:tcW w:type="dxa" w:w="2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López de Prado, 2016</w:t>
            </w:r>
          </w:p>
        </w:tc>
        <w:tc>
          <w:tcPr>
            <w:tcW w:type="dxa" w:w="2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MVO alternative — avoids matrix-inversion instability</w:t>
            </w:r>
          </w:p>
        </w:tc>
        <w:tc>
          <w:tcPr>
            <w:tcW w:type="dxa" w:w="19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PyPortfolioOpt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5. How to Build — Flow</w:t>
      </w:r>
    </w:p>
    <w:p>
      <w:pPr>
        <w:spacing w:after="100" w:before="100"/>
        <w:jc w:val="center"/>
      </w:pPr>
      <w:r>
        <w:drawing>
          <wp:inline distT="0" distB="0" distL="0" distR="0">
            <wp:extent cx="58293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A73"/>
          <w:sz w:val="18"/>
          <w:szCs w:val="18"/>
        </w:rPr>
        <w:t xml:space="preserve">Sequenced so Health Check and Construction are demoable before any AI integration begins.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Step 1 — Auth + Users + Plans: no engine dependency, pure foundation.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Step 2 — Number Guard + Retrieval (RAG) pair: build these before the rest of the AI layer, since every AI-touching feature depends on them existing and passing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Step 3 — Health Check + Construction engines: wire the 26+26 sub-engines behind API endpoints. This is where nearly all of the quant work lives, and it needs zero AI to function or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Step 4 — Dashboard: depends on Step 3 for portfolio 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Step 5 — Reports: depends on Step 3, adds Monte Carlo distribution output and portfolio beta/overlap 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Step 6 — Billing/paywall gating: one shared has_feature(user, flag) helper, applied consistently rather than scattered per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Step 7 — Terminal: independent, can be built in parallel with Steps 1–6, zero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Step 8 — NxanceLM chat integration: deliberately last — this is a thin integration layer (third-party API + RAG + Number Guard wrapper), not a build project of its own, and it depends on the engines above already producing trustworthy numbers to narrate.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A1D2E"/>
          <w:sz w:val="22"/>
          <w:szCs w:val="22"/>
        </w:rPr>
        <w:t xml:space="preserve">This order means Health Check and Construction — the actual quant product — can be built, tested, and demoed end-to-end before a single line of AI-integration code is written.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6. Technology Stack</w:t>
      </w:r>
    </w:p>
    <w:tbl>
      <w:tblPr>
        <w:tblW w:type="dxa" w:w="10000"/>
        <w:tblBorders>
          <w:top w:val="single" w:color="CBD0E0" w:sz="2"/>
          <w:left w:val="single" w:color="CBD0E0" w:sz="2"/>
          <w:bottom w:val="single" w:color="CBD0E0" w:sz="2"/>
          <w:right w:val="single" w:color="CBD0E0" w:sz="2"/>
          <w:insideH w:val="single" w:color="CBD0E0" w:sz="2"/>
          <w:insideV w:val="single" w:color="CBD0E0" w:sz="2"/>
        </w:tblBorders>
      </w:tblPr>
      <w:tblGrid>
        <w:gridCol w:w="2700"/>
        <w:gridCol w:w="3500"/>
        <w:gridCol w:w="3800"/>
      </w:tblGrid>
      <w:tr>
        <w:trPr>
          <w:cantSplit/>
          <w:tblHeader/>
        </w:trPr>
        <w:tc>
          <w:tcPr>
            <w:tcW w:type="dxa" w:w="27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Engines (quant/ML math)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Python — numpy, pandas, scipy, PyPortfolioOpt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Mature, well-tested libraries implement every formula out of the box</w:t>
            </w:r>
          </w:p>
        </w:tc>
      </w:tr>
      <w:tr>
        <w:trPr>
          <w:cantSplit/>
        </w:trPr>
        <w:tc>
          <w:tcPr>
            <w:tcW w:type="dxa" w:w="2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Latency-critical / Number Guard</w:t>
            </w:r>
          </w:p>
        </w:tc>
        <w:tc>
          <w:tcPr>
            <w:tcW w:type="dxa" w:w="3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Rust</w:t>
            </w:r>
          </w:p>
        </w:tc>
        <w:tc>
          <w:tcPr>
            <w:tcW w:type="dxa" w:w="38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Fast, airtight — runs on every AI response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Orchestration / execution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Go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Clean concurrency for the engine DAG</w:t>
            </w:r>
          </w:p>
        </w:tc>
      </w:tr>
      <w:tr>
        <w:trPr>
          <w:cantSplit/>
        </w:trPr>
        <w:tc>
          <w:tcPr>
            <w:tcW w:type="dxa" w:w="2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TypeScript / React</w:t>
            </w:r>
          </w:p>
        </w:tc>
        <w:tc>
          <w:tcPr>
            <w:tcW w:type="dxa" w:w="38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Matches the existing liquid-glass prototype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Core data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Postgres (via Supabase)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Relational data — users, portfolios, holdings, reports</w:t>
            </w:r>
          </w:p>
        </w:tc>
      </w:tr>
      <w:tr>
        <w:trPr>
          <w:cantSplit/>
        </w:trPr>
        <w:tc>
          <w:tcPr>
            <w:tcW w:type="dxa" w:w="2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Time-series price data</w:t>
            </w:r>
          </w:p>
        </w:tc>
        <w:tc>
          <w:tcPr>
            <w:tcW w:type="dxa" w:w="3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TimescaleDB extension</w:t>
            </w:r>
          </w:p>
        </w:tc>
        <w:tc>
          <w:tcPr>
            <w:tcW w:type="dxa" w:w="38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Drop-in Postgres extension, no new infra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Cache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Redis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Nightly-precomputed scores served fast at request time</w:t>
            </w:r>
          </w:p>
        </w:tc>
      </w:tr>
      <w:tr>
        <w:trPr>
          <w:cantSplit/>
        </w:trPr>
        <w:tc>
          <w:tcPr>
            <w:tcW w:type="dxa" w:w="2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RAG / vector search</w:t>
            </w:r>
          </w:p>
        </w:tc>
        <w:tc>
          <w:tcPr>
            <w:tcW w:type="dxa" w:w="3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pgvector to start, Qdrant if scale demands it</w:t>
            </w:r>
          </w:p>
        </w:tc>
        <w:tc>
          <w:tcPr>
            <w:tcW w:type="dxa" w:w="38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Grounds the third-party LLM in Nxance's own data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Event streaming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Kafka / NATS (as scale requires)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Decouples services as the system grows</w:t>
            </w:r>
          </w:p>
        </w:tc>
      </w:tr>
      <w:tr>
        <w:trPr>
          <w:cantSplit/>
        </w:trPr>
        <w:tc>
          <w:tcPr>
            <w:tcW w:type="dxa" w:w="27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Railway to start, dedicated infra later</w:t>
            </w:r>
          </w:p>
        </w:tc>
        <w:tc>
          <w:tcPr>
            <w:tcW w:type="dxa" w:w="38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Cheap, fast to deploy, clear upgrade path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7. Third-Party LLM Options for NxanceLM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Since NxanceLM is a third-party model accessed via API, the choice is commercial, not technical — which vendor's API is called, not what gets trained.</w:t>
      </w:r>
    </w:p>
    <w:tbl>
      <w:tblPr>
        <w:tblW w:type="dxa" w:w="10000"/>
        <w:tblBorders>
          <w:top w:val="single" w:color="CBD0E0" w:sz="2"/>
          <w:left w:val="single" w:color="CBD0E0" w:sz="2"/>
          <w:bottom w:val="single" w:color="CBD0E0" w:sz="2"/>
          <w:right w:val="single" w:color="CBD0E0" w:sz="2"/>
          <w:insideH w:val="single" w:color="CBD0E0" w:sz="2"/>
          <w:insideV w:val="single" w:color="CBD0E0" w:sz="2"/>
        </w:tblBorders>
      </w:tblPr>
      <w:tblGrid>
        <w:gridCol w:w="2600"/>
        <w:gridCol w:w="3400"/>
        <w:gridCol w:w="4000"/>
      </w:tblGrid>
      <w:tr>
        <w:trPr>
          <w:cantSplit/>
          <w:tblHeader/>
        </w:trPr>
        <w:tc>
          <w:tcPr>
            <w:tcW w:type="dxa" w:w="26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 / model</w:t>
            </w:r>
          </w:p>
        </w:tc>
        <w:tc>
          <w:tcPr>
            <w:tcW w:type="dxa" w:w="34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40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Consideration for Nxance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Strong instruction-following, careful with factual claims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Pairs well with a strict Number Guard wrapper</w:t>
            </w:r>
          </w:p>
        </w:tc>
      </w:tr>
      <w:tr>
        <w:trPr>
          <w:cantSplit/>
        </w:trPr>
        <w:tc>
          <w:tcPr>
            <w:tcW w:type="dxa" w:w="26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GPT API (OpenAI)</w:t>
            </w:r>
          </w:p>
        </w:tc>
        <w:tc>
          <w:tcPr>
            <w:tcW w:type="dxa" w:w="3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Broad ecosystem, strong multilingual support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Widely used in fintech copilots already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Gemini API (Google)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Strong multimodal and retrieval integration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Worth benchmarking for Hindi/Hinglish quality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A1D2E"/>
          <w:sz w:val="22"/>
          <w:szCs w:val="22"/>
        </w:rPr>
        <w:t xml:space="preserve">Recommendation: benchmark two providers head-to-head on real Nxance narration tasks (explaining a gap, explaining an allocation) before committing — cost, Hinglish quality, and latency all vary enough to matter, and switching later is a config change, not a rebuild, as long as the RAG/Number Guard wrapper stays provider-agnostic.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8. RAG / Vector Database Infrastructure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This is what lets the third-party model answer using Nxance's own data (SEBI circulars, AMFI data, RBI communications, engine outputs) instead of its general training data.</w:t>
      </w:r>
    </w:p>
    <w:tbl>
      <w:tblPr>
        <w:tblW w:type="dxa" w:w="10000"/>
        <w:tblBorders>
          <w:top w:val="single" w:color="CBD0E0" w:sz="2"/>
          <w:left w:val="single" w:color="CBD0E0" w:sz="2"/>
          <w:bottom w:val="single" w:color="CBD0E0" w:sz="2"/>
          <w:right w:val="single" w:color="CBD0E0" w:sz="2"/>
          <w:insideH w:val="single" w:color="CBD0E0" w:sz="2"/>
          <w:insideV w:val="single" w:color="CBD0E0" w:sz="2"/>
        </w:tblBorders>
      </w:tblPr>
      <w:tblGrid>
        <w:gridCol w:w="1800"/>
        <w:gridCol w:w="3000"/>
        <w:gridCol w:w="3400"/>
        <w:gridCol w:w="1800"/>
      </w:tblGrid>
      <w:tr>
        <w:trPr>
          <w:cantSplit/>
          <w:tblHeader/>
        </w:trPr>
        <w:tc>
          <w:tcPr>
            <w:tcW w:type="dxa" w:w="18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34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8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Scale ceiling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pgvector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Extension on existing Postgres/Supabase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Early-stage — no new infra, joins with relational data in one query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Comfortable to ~5–10M vectors</w:t>
            </w:r>
          </w:p>
        </w:tc>
      </w:tr>
      <w:tr>
        <w:trPr>
          <w:cantSplit/>
        </w:trPr>
        <w:tc>
          <w:tcPr>
            <w:tcW w:type="dxa" w:w="18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Qdrant</w:t>
            </w:r>
          </w:p>
        </w:tc>
        <w:tc>
          <w:tcPr>
            <w:tcW w:type="dxa" w:w="3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Cloud, BYOC, or self-host (Rust)</w:t>
            </w:r>
          </w:p>
        </w:tc>
        <w:tc>
          <w:tcPr>
            <w:tcW w:type="dxa" w:w="3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Complex filtering, multi-tenancy, horizontal scale</w:t>
            </w:r>
          </w:p>
        </w:tc>
        <w:tc>
          <w:tcPr>
            <w:tcW w:type="dxa" w:w="18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Billions across a cluster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A1D2E"/>
          <w:sz w:val="22"/>
          <w:szCs w:val="22"/>
        </w:rPr>
        <w:t xml:space="preserve">Recommendation: start on pgvector — it lives inside the stack already decided (Postgres/Supabase), so there is no new service to operate. Move to Qdrant only if the retrieval corpus or filtering needs outgrow it.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9. Equipment &amp; Infrastructure Needs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Because there is no in-house model training, the equipment list is short and inexpensive relative to a typical AI-startup plan: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Developer workstations/laptops — standard development machines for the team, no special GPU requirement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Cloud hosting — Railway to start (matches the decided stack), scales with usage rather than requiring upfront hardware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Database hosting — Supabase-managed Postgres to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Market data vendor subscription — a licensed NSE/BSE/MCX data feed (e.g. an authorized vendor such as Global Datafeeds) — a recurring cost, not equipment, but budgeted alongside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News feed subscription — a budgeted news API rather than ad-hoc scraping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Standard dev tooling — GitHub/GitLab, CI/CD (GitHub Actions), error monitoring (e.g. Sentry)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1A1D2E"/>
          <w:sz w:val="22"/>
          <w:szCs w:val="22"/>
        </w:rPr>
        <w:t xml:space="preserve">No GPU training cluster, no dedicated ML hardware, and no data-center commitment are needed anywhere in this plan — that entire category of cost is removed by using a third-party LLM.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10. Team &amp; Hiring Plan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Roles needed to build and run this plan, with the ML/AI-training roles from earlier plans removed and replaced by a much lighter integration role:</w:t>
      </w:r>
    </w:p>
    <w:tbl>
      <w:tblPr>
        <w:tblW w:type="dxa" w:w="10000"/>
        <w:tblBorders>
          <w:top w:val="single" w:color="CBD0E0" w:sz="2"/>
          <w:left w:val="single" w:color="CBD0E0" w:sz="2"/>
          <w:bottom w:val="single" w:color="CBD0E0" w:sz="2"/>
          <w:right w:val="single" w:color="CBD0E0" w:sz="2"/>
          <w:insideH w:val="single" w:color="CBD0E0" w:sz="2"/>
          <w:insideV w:val="single" w:color="CBD0E0" w:sz="2"/>
        </w:tblBorders>
      </w:tblPr>
      <w:tblGrid>
        <w:gridCol w:w="2500"/>
        <w:gridCol w:w="5100"/>
        <w:gridCol w:w="2400"/>
      </w:tblGrid>
      <w:tr>
        <w:trPr>
          <w:cantSplit/>
          <w:tblHeader/>
        </w:trPr>
        <w:tc>
          <w:tcPr>
            <w:tcW w:type="dxa" w:w="25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400"/>
            <w:shd w:fill="1214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CTO / Technical founder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Overall architecture, Number Guard design authority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Founding — in place (Raghav)</w:t>
            </w:r>
          </w:p>
        </w:tc>
      </w:tr>
      <w:tr>
        <w:trPr>
          <w:cantSplit/>
        </w:trPr>
        <w:tc>
          <w:tcPr>
            <w:tcW w:type="dxa" w:w="2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Quant Engineer — Health Check</w:t>
            </w:r>
          </w:p>
        </w:tc>
        <w:tc>
          <w:tcPr>
            <w:tcW w:type="dxa" w:w="51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The 26 Health Check sub-engines, their calibration and backtesting</w:t>
            </w:r>
          </w:p>
        </w:tc>
        <w:tc>
          <w:tcPr>
            <w:tcW w:type="dxa" w:w="2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Core, earliest hire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Quant Engineer — Construction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The 26 Construction sub-engines, their calibration and backtesting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Core, earliest hire</w:t>
            </w:r>
          </w:p>
        </w:tc>
      </w:tr>
      <w:tr>
        <w:trPr>
          <w:cantSplit/>
        </w:trPr>
        <w:tc>
          <w:tcPr>
            <w:tcW w:type="dxa" w:w="2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Backend Engineer(s)</w:t>
            </w:r>
          </w:p>
        </w:tc>
        <w:tc>
          <w:tcPr>
            <w:tcW w:type="dxa" w:w="51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FastAPI layer, Postgres schema, data ingestion pipeline</w:t>
            </w:r>
          </w:p>
        </w:tc>
        <w:tc>
          <w:tcPr>
            <w:tcW w:type="dxa" w:w="2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Core, early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AI Integration Engineer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Third-party LLM API integration, RAG pipeline, prompt design, Number Guard wrapper — not a model-training role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Core, but only after the engines exist to narrate</w:t>
            </w:r>
          </w:p>
        </w:tc>
      </w:tr>
      <w:tr>
        <w:trPr>
          <w:cantSplit/>
        </w:trPr>
        <w:tc>
          <w:tcPr>
            <w:tcW w:type="dxa" w:w="2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51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React/TypeScript, Terminal UI, the liquid-glass design system</w:t>
            </w:r>
          </w:p>
        </w:tc>
        <w:tc>
          <w:tcPr>
            <w:tcW w:type="dxa" w:w="2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Core, early — can run in parallel with backend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DevOps / Security Engineer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Infrastructure, encryption, deployment pipeline, incident response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Early-mid — before real user data flows</w:t>
            </w:r>
          </w:p>
        </w:tc>
      </w:tr>
      <w:tr>
        <w:trPr>
          <w:cantSplit/>
        </w:trPr>
        <w:tc>
          <w:tcPr>
            <w:tcW w:type="dxa" w:w="25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QA / Test Engineer</w:t>
            </w:r>
          </w:p>
        </w:tc>
        <w:tc>
          <w:tcPr>
            <w:tcW w:type="dxa" w:w="51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Quant-correctness testing, adversarial Number Guard testing</w:t>
            </w:r>
          </w:p>
        </w:tc>
        <w:tc>
          <w:tcPr>
            <w:tcW w:type="dxa" w:w="2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Early-mid — as soon as engines exist to test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Compliance Advisor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SEBI-RIA registration scope, DPDP consent design — can start as a consultant, not necessarily a full-time hire initially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D2E"/>
                <w:sz w:val="20"/>
                <w:szCs w:val="20"/>
              </w:rPr>
              <w:t xml:space="preserve">Parallel workstream — start now given registration timelines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A1D2E"/>
          <w:sz w:val="22"/>
          <w:szCs w:val="22"/>
        </w:rPr>
        <w:t xml:space="preserve">Notably absent from this list, compared to a typical AI-startup hiring plan: an ML Engineer or AI training specialist. Because NxanceLM is a third-party model, that skill set isn't needed — the AI Integration Engineer role above is an API-integration and prompt-engineering skill set, materially cheaper to hire for and faster to onboard than a model-training specialist.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11. Performance Architecture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Target: under 10 seconds for an interactive Health Check or Construction 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A nightly batch job (Data Intelligence Engine) pre-scores the full instrument universe once — not recomputed per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At request time, engines read from this pre-scored universe (Postgres, hot data cached in Redis).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Independent sub-engines (Risk, Correlation, Tax, Behaviour) run concurrently, not sequentially, inside a parallel engine DAG.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Rust hot paths handle Number Guard and any other latency-critical calculation.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A1D2E"/>
          <w:sz w:val="22"/>
          <w:szCs w:val="22"/>
        </w:rPr>
        <w:t xml:space="preserve">The expensive computation happens off the user's request path entirely — this is what makes the sub-10-second target realistic without special hardware.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12. Security &amp; Compliance-Relevant Technology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Encryption at rest for PAN, holdings, and financial goal data — never logged in plaintext, including error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TLS everywhere, including internal service-to-service calls as infrastructure grows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A versioned audit trail — every computed number traces to an engine_id, a version, and an input-data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Regulatory mode gating (Analytics / Research / Personalized Intelligence / Execution) enforced at the API layer, not left as policy 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Consent-scoped behavioral tracking — its own toggle, separate from account-creation consent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A defined retention policy on uploaded CAS/broker files that may contain PAN or date-of-birth data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13. 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Dropping in-house LLM training removes the single most expensive and highest-risk line item from the technology plan — GPUs, ML-training hires, and a training pipeline all disappear.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What remains to build — Health Check, Construction, Terminal — is 90%+ deterministic math with 70+ years of published research behind it, not novel AI research.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The AI Integration Engineer role (third-party API + RAG + Number Guard) is materially cheaper and faster to hire for than an ML/fine-tuning specialist would have been.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Every user-visible number still traces to an engine_id + version + input snapshot — the trust story doesn't weaken just because the model itself is bought, not built.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2142B"/>
          <w:sz w:val="30"/>
          <w:szCs w:val="30"/>
        </w:rPr>
        <w:t xml:space="preserve">14. Sources &amp; References</w:t>
      </w:r>
    </w:p>
    <w:p>
      <w:pPr>
        <w:pStyle w:val="Heading2"/>
        <w:spacing w:after="140" w:before="280"/>
      </w:pPr>
      <w:r>
        <w:rPr>
          <w:rFonts w:ascii="Cambria" w:cs="Cambria" w:eastAsia="Cambria" w:hAnsi="Cambria"/>
          <w:b/>
          <w:bCs/>
          <w:color w:val="1A6BFF"/>
          <w:sz w:val="24"/>
          <w:szCs w:val="24"/>
        </w:rPr>
        <w:t xml:space="preserve">Internal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Health Check / Construction / NxanceLM v3.1–v3.2 engine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Nxance Backend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Nxance Technical Architecture, Quant Engine &amp; AI System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Nxance Build Document (companion engineering document)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MIT Quant Bible (quant methods reference)</w:t>
      </w:r>
    </w:p>
    <w:p>
      <w:pPr>
        <w:pStyle w:val="Heading2"/>
        <w:spacing w:after="140" w:before="280"/>
      </w:pPr>
      <w:r>
        <w:rPr>
          <w:rFonts w:ascii="Cambria" w:cs="Cambria" w:eastAsia="Cambria" w:hAnsi="Cambria"/>
          <w:b/>
          <w:bCs/>
          <w:color w:val="1A6BFF"/>
          <w:sz w:val="24"/>
          <w:szCs w:val="24"/>
        </w:rPr>
        <w:t xml:space="preserve">External research (Sep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Vector database comparison — noqta.tn, guptadeepak.com, techsy.io (2026 production RAG benchmarks)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India market-data vendor landscape — marketcalls.in, datarade.ai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Quant finance techniques — standard published research (Markowitz 1952; Black &amp; Litterman 1990; Ledoit &amp; Wolf 2003–04; López de Prado 2016)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88533193365eafaa34ee8bcb70264e20fb0292.png"/><Relationship Id="rId8" Type="http://schemas.openxmlformats.org/officeDocument/2006/relationships/image" Target="media/2a75fa61d12faf87b612400ed54d5f20279b08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2026-09-20T18:02:49.702Z</dcterms:created>
  <dcterms:modified xsi:type="dcterms:W3CDTF">2026-09-20T18:02:49.702Z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