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6480"/>
      </w:tblGrid>
      <w:tr>
        <w:tc>
          <w:tcPr>
            <w:tcW w:type="dxa" w:w="4320"/>
            <w:vAlign w:val="center"/>
          </w:tcPr>
          <w:p>
            <w:r>
              <w:drawing>
                <wp:inline distT="0" distB="0" distL="0" distR="0">
                  <wp:extent cx="1238250" cy="695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Investment intelligence, engineered for precision.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2"/>
                <w:szCs w:val="12"/>
              </w:rPr>
              <w:t xml:space="preserve">OHSHN INTELLIGENCE LLP  ·  LIVE AT NXANCE-MVP.VERCEL.APP</w:t>
            </w:r>
          </w:p>
        </w:tc>
      </w:tr>
    </w:tbl>
    <w:p>
      <w:pPr>
        <w:pBdr>
          <w:bottom w:val="single" w:color="2F5EFF" w:sz="8" w:space="4"/>
        </w:pBdr>
        <w:spacing w:after="140" w:before="100"/>
      </w:pPr>
      <w:r>
        <w:rPr>
          <w:sz w:val="2"/>
          <w:szCs w:val="2"/>
        </w:rP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  <w:tcMar>
              <w:right w:type="dxa" w:w="16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2F5EFF"/>
                <w:spacing w:val="12"/>
                <w:sz w:val="14"/>
                <w:szCs w:val="14"/>
              </w:rPr>
              <w:t xml:space="preserve">THE PROBLEM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Retail India invests blind, loses quietly, and has almost nowhere to turn for real advice.</w:t>
            </w:r>
          </w:p>
          <w:p>
            <w:pPr>
              <w:spacing w:after="40"/>
              <w:ind w:left="180"/>
            </w:pPr>
            <w:r>
              <w:rPr>
                <w:rFonts w:ascii="Arial" w:cs="Arial" w:eastAsia="Arial" w:hAnsi="Arial"/>
                <w:b/>
                <w:bCs/>
                <w:color w:val="2F5EFF"/>
                <w:sz w:val="16"/>
                <w:szCs w:val="16"/>
              </w:rPr>
              <w:t xml:space="preserve">—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21.6 Cr demat accounts, most with no professional guidance</w:t>
            </w:r>
          </w:p>
          <w:p>
            <w:pPr>
              <w:spacing w:after="40"/>
              <w:ind w:left="180"/>
            </w:pPr>
            <w:r>
              <w:rPr>
                <w:rFonts w:ascii="Arial" w:cs="Arial" w:eastAsia="Arial" w:hAnsi="Arial"/>
                <w:b/>
                <w:bCs/>
                <w:color w:val="2F5EFF"/>
                <w:sz w:val="16"/>
                <w:szCs w:val="16"/>
              </w:rPr>
              <w:t xml:space="preserve">—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9 in 10 individual F&amp;O traders lost money in FY25 (₹1.06 lakh Cr)</w:t>
            </w:r>
          </w:p>
          <w:p>
            <w:pPr>
              <w:spacing w:after="40"/>
              <w:ind w:left="180"/>
            </w:pPr>
            <w:r>
              <w:rPr>
                <w:rFonts w:ascii="Arial" w:cs="Arial" w:eastAsia="Arial" w:hAnsi="Arial"/>
                <w:b/>
                <w:bCs/>
                <w:color w:val="2F5EFF"/>
                <w:sz w:val="16"/>
                <w:szCs w:val="16"/>
              </w:rPr>
              <w:t xml:space="preserve">—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&lt;1,000 SEBI-registered advisers for 20+ Cr investors</w:t>
            </w:r>
          </w:p>
        </w:tc>
        <w:tc>
          <w:tcPr>
            <w:tcW w:type="dxa" w:w="5400"/>
            <w:tcMar>
              <w:left w:type="dxa" w:w="16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2F5EFF"/>
                <w:spacing w:val="12"/>
                <w:sz w:val="14"/>
                <w:szCs w:val="14"/>
              </w:rPr>
              <w:t xml:space="preserve">THE SOLUTION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One app, three engines: Health Check, Construction, and NxanceLM — AI that explains why.</w:t>
            </w:r>
          </w:p>
          <w:p>
            <w:pPr>
              <w:spacing w:after="40"/>
              <w:ind w:left="180"/>
            </w:pPr>
            <w:r>
              <w:rPr>
                <w:rFonts w:ascii="Arial" w:cs="Arial" w:eastAsia="Arial" w:hAnsi="Arial"/>
                <w:b/>
                <w:bCs/>
                <w:color w:val="2F5EFF"/>
                <w:sz w:val="16"/>
                <w:szCs w:val="16"/>
              </w:rPr>
              <w:t xml:space="preserve">—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Health Check: 26 sub-engines diagnose existing holdings (XIRR, VaR/CVaR, Sharpe/Sortino, Monte Carlo, FinBERT sentiment) into a 0–100 score</w:t>
            </w:r>
          </w:p>
          <w:p>
            <w:pPr>
              <w:spacing w:after="40"/>
              <w:ind w:left="180"/>
            </w:pPr>
            <w:r>
              <w:rPr>
                <w:rFonts w:ascii="Arial" w:cs="Arial" w:eastAsia="Arial" w:hAnsi="Arial"/>
                <w:b/>
                <w:bCs/>
                <w:color w:val="2F5EFF"/>
                <w:sz w:val="16"/>
                <w:szCs w:val="16"/>
              </w:rPr>
              <w:t xml:space="preserve">—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Construction: builds an optimized portfolio (Black-Litterman + Ledoit-Wolf) from goals &amp; risk profile</w:t>
            </w:r>
          </w:p>
          <w:p>
            <w:pPr>
              <w:spacing w:after="40"/>
              <w:ind w:left="180"/>
            </w:pPr>
            <w:r>
              <w:rPr>
                <w:rFonts w:ascii="Arial" w:cs="Arial" w:eastAsia="Arial" w:hAnsi="Arial"/>
                <w:b/>
                <w:bCs/>
                <w:color w:val="2F5EFF"/>
                <w:sz w:val="16"/>
                <w:szCs w:val="16"/>
              </w:rPr>
              <w:t xml:space="preserve">—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NxanceLM: AI + live market terminal explaining every output in plain English/Hindi, backed by an evidence trail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F5EFF"/>
          <w:spacing w:val="12"/>
          <w:sz w:val="14"/>
          <w:szCs w:val="14"/>
        </w:rPr>
        <w:t xml:space="preserve">MARKET OPPORTUNITY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00"/>
        <w:gridCol w:w="3600"/>
        <w:gridCol w:w="3600"/>
      </w:tblGrid>
      <w:tr>
        <w:tc>
          <w:tcPr>
            <w:tcW w:type="pct" w:w="33.3%"/>
            <w:shd w:fill="EAF0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$2.3T TAM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2"/>
                <w:szCs w:val="12"/>
              </w:rPr>
              <w:t xml:space="preserve">India wealth mgmt AUM by FY29</w:t>
            </w:r>
          </w:p>
        </w:tc>
        <w:tc>
          <w:tcPr>
            <w:tcW w:type="pct" w:w="33.3%"/>
            <w:shd w:fill="EAF0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21.6 Cr SAM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2"/>
                <w:szCs w:val="12"/>
              </w:rPr>
              <w:t xml:space="preserve">Demat holders w/o a regulated adviser</w:t>
            </w:r>
          </w:p>
        </w:tc>
        <w:tc>
          <w:tcPr>
            <w:tcW w:type="pct" w:w="33.3%"/>
            <w:shd w:fill="EAF0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4.52 Cr SOM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2"/>
                <w:szCs w:val="12"/>
              </w:rPr>
              <w:t xml:space="preserve">Active trading accounts — reachable base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At just 0.5% conversion of active trading accounts to a ₹499–999/month subscription, reachable revenue already exceeds ₹100 Cr ARR.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72"/>
        <w:gridCol w:w="3564"/>
        <w:gridCol w:w="3564"/>
      </w:tblGrid>
      <w:tr>
        <w:tc>
          <w:tcPr>
            <w:tcW w:type="dxa" w:w="3672"/>
            <w:tcMar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2F5EFF"/>
                <w:spacing w:val="12"/>
                <w:sz w:val="14"/>
                <w:szCs w:val="14"/>
              </w:rPr>
              <w:t xml:space="preserve">BUSINESS MODEL</w:t>
            </w:r>
          </w:p>
          <w:p>
            <w:pPr>
              <w:spacing w:after="40"/>
              <w:ind w:left="180"/>
            </w:pPr>
            <w:r>
              <w:rPr>
                <w:rFonts w:ascii="Arial" w:cs="Arial" w:eastAsia="Arial" w:hAnsi="Arial"/>
                <w:b/>
                <w:bCs/>
                <w:color w:val="2F5EFF"/>
                <w:sz w:val="16"/>
                <w:szCs w:val="16"/>
              </w:rPr>
              <w:t xml:space="preserve">—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Free Health Check hook; ₹99 one-time unlock</w:t>
            </w:r>
          </w:p>
          <w:p>
            <w:pPr>
              <w:spacing w:after="40"/>
              <w:ind w:left="180"/>
            </w:pPr>
            <w:r>
              <w:rPr>
                <w:rFonts w:ascii="Arial" w:cs="Arial" w:eastAsia="Arial" w:hAnsi="Arial"/>
                <w:b/>
                <w:bCs/>
                <w:color w:val="2F5EFF"/>
                <w:sz w:val="16"/>
                <w:szCs w:val="16"/>
              </w:rPr>
              <w:t xml:space="preserve">—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Tiers: Starter ₹399, Growth ₹899, Pro ₹1,499/mo</w:t>
            </w:r>
          </w:p>
          <w:p>
            <w:pPr>
              <w:spacing w:after="40"/>
              <w:ind w:left="180"/>
            </w:pPr>
            <w:r>
              <w:rPr>
                <w:rFonts w:ascii="Arial" w:cs="Arial" w:eastAsia="Arial" w:hAnsi="Arial"/>
                <w:b/>
                <w:bCs/>
                <w:color w:val="2F5EFF"/>
                <w:sz w:val="16"/>
                <w:szCs w:val="16"/>
              </w:rPr>
              <w:t xml:space="preserve">—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Later: HNI advisory fees + B2B engine licensing</w:t>
            </w:r>
          </w:p>
        </w:tc>
        <w:tc>
          <w:tcPr>
            <w:tcW w:type="dxa" w:w="3564"/>
            <w:tcMar>
              <w:left w:type="dxa" w:w="60"/>
              <w:right w:type="dxa" w:w="6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2F5EFF"/>
                <w:spacing w:val="12"/>
                <w:sz w:val="14"/>
                <w:szCs w:val="14"/>
              </w:rPr>
              <w:t xml:space="preserve">WHY NXANCE WINS</w:t>
            </w:r>
          </w:p>
          <w:p>
            <w:pPr>
              <w:spacing w:after="40"/>
              <w:ind w:left="180"/>
            </w:pPr>
            <w:r>
              <w:rPr>
                <w:rFonts w:ascii="Arial" w:cs="Arial" w:eastAsia="Arial" w:hAnsi="Arial"/>
                <w:b/>
                <w:bCs/>
                <w:color w:val="2F5EFF"/>
                <w:sz w:val="16"/>
                <w:szCs w:val="16"/>
              </w:rPr>
              <w:t xml:space="preserve">—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Diagnosis before advice — not just another builder</w:t>
            </w:r>
          </w:p>
          <w:p>
            <w:pPr>
              <w:spacing w:after="40"/>
              <w:ind w:left="180"/>
            </w:pPr>
            <w:r>
              <w:rPr>
                <w:rFonts w:ascii="Arial" w:cs="Arial" w:eastAsia="Arial" w:hAnsi="Arial"/>
                <w:b/>
                <w:bCs/>
                <w:color w:val="2F5EFF"/>
                <w:sz w:val="16"/>
                <w:szCs w:val="16"/>
              </w:rPr>
              <w:t xml:space="preserve">—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Explainable, evidence-backed — never a black box</w:t>
            </w:r>
          </w:p>
          <w:p>
            <w:pPr>
              <w:spacing w:after="40"/>
              <w:ind w:left="180"/>
            </w:pPr>
            <w:r>
              <w:rPr>
                <w:rFonts w:ascii="Arial" w:cs="Arial" w:eastAsia="Arial" w:hAnsi="Arial"/>
                <w:b/>
                <w:bCs/>
                <w:color w:val="2F5EFF"/>
                <w:sz w:val="16"/>
                <w:szCs w:val="16"/>
              </w:rPr>
              <w:t xml:space="preserve">—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Flat subscription — no AUM or commission conflicts</w:t>
            </w:r>
          </w:p>
          <w:p>
            <w:pPr>
              <w:spacing w:after="40"/>
              <w:ind w:left="180"/>
            </w:pPr>
            <w:r>
              <w:rPr>
                <w:rFonts w:ascii="Arial" w:cs="Arial" w:eastAsia="Arial" w:hAnsi="Arial"/>
                <w:b/>
                <w:bCs/>
                <w:color w:val="2F5EFF"/>
                <w:sz w:val="16"/>
                <w:szCs w:val="16"/>
              </w:rPr>
              <w:t xml:space="preserve">—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Broker- and asset-agnostic</w:t>
            </w:r>
          </w:p>
        </w:tc>
        <w:tc>
          <w:tcPr>
            <w:tcW w:type="dxa" w:w="3564"/>
            <w:tcMar>
              <w:lef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2F5EFF"/>
                <w:spacing w:val="12"/>
                <w:sz w:val="14"/>
                <w:szCs w:val="14"/>
              </w:rPr>
              <w:t xml:space="preserve">TRACTION</w:t>
            </w:r>
          </w:p>
          <w:p>
            <w:pPr>
              <w:spacing w:after="40"/>
              <w:ind w:left="180"/>
            </w:pPr>
            <w:r>
              <w:rPr>
                <w:rFonts w:ascii="Arial" w:cs="Arial" w:eastAsia="Arial" w:hAnsi="Arial"/>
                <w:b/>
                <w:bCs/>
                <w:color w:val="2F5EFF"/>
                <w:sz w:val="16"/>
                <w:szCs w:val="16"/>
              </w:rPr>
              <w:t xml:space="preserve">—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12 investor interviews; 8 would pay</w:t>
            </w:r>
          </w:p>
          <w:p>
            <w:pPr>
              <w:spacing w:after="40"/>
              <w:ind w:left="180"/>
            </w:pPr>
            <w:r>
              <w:rPr>
                <w:rFonts w:ascii="Arial" w:cs="Arial" w:eastAsia="Arial" w:hAnsi="Arial"/>
                <w:b/>
                <w:bCs/>
                <w:color w:val="2F5EFF"/>
                <w:sz w:val="16"/>
                <w:szCs w:val="16"/>
              </w:rPr>
              <w:t xml:space="preserve">—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50 users tested the working prototype</w:t>
            </w:r>
          </w:p>
          <w:p>
            <w:pPr>
              <w:spacing w:after="40"/>
              <w:ind w:left="180"/>
            </w:pPr>
            <w:r>
              <w:rPr>
                <w:rFonts w:ascii="Arial" w:cs="Arial" w:eastAsia="Arial" w:hAnsi="Arial"/>
                <w:b/>
                <w:bCs/>
                <w:color w:val="2F5EFF"/>
                <w:sz w:val="16"/>
                <w:szCs w:val="16"/>
              </w:rPr>
              <w:t xml:space="preserve">—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500 signed up on the pre-launch waitlist</w:t>
            </w:r>
          </w:p>
          <w:p>
            <w:pPr>
              <w:spacing w:after="40"/>
              <w:ind w:left="180"/>
            </w:pPr>
            <w:r>
              <w:rPr>
                <w:rFonts w:ascii="Arial" w:cs="Arial" w:eastAsia="Arial" w:hAnsi="Arial"/>
                <w:b/>
                <w:bCs/>
                <w:color w:val="2F5EFF"/>
                <w:sz w:val="16"/>
                <w:szCs w:val="16"/>
              </w:rPr>
              <w:t xml:space="preserve">—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Full clickable frontend across all 3 engines built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F5EFF"/>
          <w:spacing w:val="12"/>
          <w:sz w:val="14"/>
          <w:szCs w:val="14"/>
        </w:rPr>
        <w:t xml:space="preserve">THE ASK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pct" w:w="25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₹12.49 Cr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3F5"/>
                <w:sz w:val="12"/>
                <w:szCs w:val="12"/>
              </w:rPr>
              <w:t xml:space="preserve">Funding ask, for 20% equity</w:t>
            </w:r>
          </w:p>
        </w:tc>
        <w:tc>
          <w:tcPr>
            <w:tcW w:type="pct" w:w="25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₹49.95 Cr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3F5"/>
                <w:sz w:val="12"/>
                <w:szCs w:val="12"/>
              </w:rPr>
              <w:t xml:space="preserve">Pre-money valuation</w:t>
            </w:r>
          </w:p>
        </w:tc>
        <w:tc>
          <w:tcPr>
            <w:tcW w:type="pct" w:w="25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18 months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3F5"/>
                <w:sz w:val="12"/>
                <w:szCs w:val="12"/>
              </w:rPr>
              <w:t xml:space="preserve">Runway: MBP → Public V1 → institutional pilots</w:t>
            </w:r>
          </w:p>
        </w:tc>
        <w:tc>
          <w:tcPr>
            <w:tcW w:type="pct" w:w="25%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8–15x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3F5"/>
                <w:sz w:val="12"/>
                <w:szCs w:val="12"/>
              </w:rPr>
              <w:t xml:space="preserve">Typical wealthtech M&amp;A revenue multiple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Capital funds the full 18-month build; ₹76.05L projected subscription revenue (75 → 600 → 2,200 subscribers) is modeled as upside, not netted against the ask.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F5EFF"/>
          <w:spacing w:val="12"/>
          <w:sz w:val="14"/>
          <w:szCs w:val="14"/>
        </w:rPr>
        <w:t xml:space="preserve">TEAM — FOUR FOUNDERS, FULL-TIME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2A4A"/>
          <w:sz w:val="15"/>
          <w:szCs w:val="15"/>
        </w:rPr>
        <w:t xml:space="preserve">Abhishek (CEO)</w:t>
      </w:r>
      <w:r>
        <w:rPr>
          <w:rFonts w:ascii="Arial" w:cs="Arial" w:eastAsia="Arial" w:hAnsi="Arial"/>
          <w:color w:val="222222"/>
          <w:sz w:val="14"/>
          <w:szCs w:val="14"/>
        </w:rPr>
        <w:t xml:space="preserve"> — investment analyst &amp; product builder, trades equity/derivatives, has managed live portfolios.   </w:t>
      </w:r>
      <w:r>
        <w:rPr>
          <w:rFonts w:ascii="Arial" w:cs="Arial" w:eastAsia="Arial" w:hAnsi="Arial"/>
          <w:b/>
          <w:bCs/>
          <w:color w:val="1B2A4A"/>
          <w:sz w:val="15"/>
          <w:szCs w:val="15"/>
        </w:rPr>
        <w:t xml:space="preserve">Raghav Kripasthya (CTO)</w:t>
      </w:r>
      <w:r>
        <w:rPr>
          <w:rFonts w:ascii="Arial" w:cs="Arial" w:eastAsia="Arial" w:hAnsi="Arial"/>
          <w:color w:val="222222"/>
          <w:sz w:val="14"/>
          <w:szCs w:val="14"/>
        </w:rPr>
        <w:t xml:space="preserve"> — AI engineer/data scientist across healthcare, defense, computer vision.   </w:t>
      </w:r>
      <w:r>
        <w:rPr>
          <w:rFonts w:ascii="Arial" w:cs="Arial" w:eastAsia="Arial" w:hAnsi="Arial"/>
          <w:b/>
          <w:bCs/>
          <w:color w:val="1B2A4A"/>
          <w:sz w:val="15"/>
          <w:szCs w:val="15"/>
        </w:rPr>
        <w:t xml:space="preserve">Deepesh Khemka (CIO)</w:t>
      </w:r>
      <w:r>
        <w:rPr>
          <w:rFonts w:ascii="Arial" w:cs="Arial" w:eastAsia="Arial" w:hAnsi="Arial"/>
          <w:color w:val="222222"/>
          <w:sz w:val="14"/>
          <w:szCs w:val="14"/>
        </w:rPr>
        <w:t xml:space="preserve"> — CFA Level III (pending), capital markets &amp; wealth management.   </w:t>
      </w:r>
      <w:r>
        <w:rPr>
          <w:rFonts w:ascii="Arial" w:cs="Arial" w:eastAsia="Arial" w:hAnsi="Arial"/>
          <w:b/>
          <w:bCs/>
          <w:color w:val="1B2A4A"/>
          <w:sz w:val="15"/>
          <w:szCs w:val="15"/>
        </w:rPr>
        <w:t xml:space="preserve">Bhaskar Pandey (COO)</w:t>
      </w:r>
      <w:r>
        <w:rPr>
          <w:rFonts w:ascii="Arial" w:cs="Arial" w:eastAsia="Arial" w:hAnsi="Arial"/>
          <w:color w:val="222222"/>
          <w:sz w:val="14"/>
          <w:szCs w:val="14"/>
        </w:rPr>
        <w:t xml:space="preserve"> — AI/ML &amp; enterprise automation, 28+ npm packages shipped.</w:t>
      </w:r>
    </w:p>
    <w:p>
      <w:pPr>
        <w:pBdr>
          <w:top w:val="single" w:color="CCCCCC" w:sz="4" w:space="4"/>
        </w:pBdr>
        <w:spacing w:before="40"/>
        <w:jc w:val="center"/>
      </w:pPr>
      <w:r>
        <w:rPr>
          <w:rFonts w:ascii="Arial" w:cs="Arial" w:eastAsia="Arial" w:hAnsi="Arial"/>
          <w:i/>
          <w:iCs/>
          <w:color w:val="555555"/>
          <w:sz w:val="13"/>
          <w:szCs w:val="13"/>
        </w:rPr>
        <w:t xml:space="preserve">Every rupee, properly understood.   ·   nxance-mvp.vercel.app   ·   Ohshn Intelligence LLP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9ef48e548443639d40b24a10b982d96ad348e5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2026-09-12T18:26:43.011Z</dcterms:created>
  <dcterms:modified xsi:type="dcterms:W3CDTF">2026-09-12T18:26:43.021Z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