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B0832B"/>
          <w:sz w:val="17"/>
          <w:szCs w:val="17"/>
        </w:rPr>
        <w:t xml:space="preserve">NEST  •  TRAINER REFERENCE (STAFF ONLY)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42"/>
          <w:szCs w:val="42"/>
        </w:rPr>
        <w:t xml:space="preserve">Day 2 — Model Data Stories</w:t>
      </w:r>
    </w:p>
    <w:p>
      <w:pPr>
        <w:pBdr>
          <w:bottom w:val="single" w:color="C0272D" w:sz="14" w:space="8"/>
        </w:pBd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22"/>
          <w:szCs w:val="22"/>
        </w:rPr>
        <w:t xml:space="preserve">One worked story spine per dataset — for the 3-chart showcase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0272D" w:sz="1"/>
              <w:left w:val="single" w:color="C0272D" w:sz="18"/>
              <w:bottom w:val="single" w:color="C0272D" w:sz="1"/>
              <w:right w:val="single" w:color="C0272D" w:sz="1"/>
            </w:tcBorders>
            <w:shd w:fill="FAE8E7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20"/>
                <w:szCs w:val="20"/>
              </w:rPr>
              <w:t xml:space="preserve">Trainer-only — read before the showcase.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These are illustrative model answers for the synthetic datasets — the exact strongest driver can vary a little by team. Don't show students before they explore; reveal only to unstick a team. What matters is a story that is consistent and ends in an action.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7A1719" w:sz="20"/>
              <w:bottom w:val="single" w:color="E3D3D3" w:sz="1"/>
              <w:right w:val="single" w:color="E3D3D3" w:sz="1"/>
            </w:tcBorders>
            <w:tcMar>
              <w:top w:type="dxa" w:w="13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1719"/>
                <w:sz w:val="22"/>
                <w:szCs w:val="22"/>
              </w:rPr>
              <w:t xml:space="preserve">Dataset 1 — Procurement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5F5C"/>
                <w:sz w:val="18"/>
                <w:szCs w:val="18"/>
              </w:rPr>
              <w:t xml:space="preserve">(target: On-Time Delivery)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Setup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Some suppliers deliver late far more often than others.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Clue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late ones tend to have much longer lead times.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Proof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Lead time and late delivery move together (heatmap); a few suppliers show very long lead times.</w:t>
            </w:r>
          </w:p>
          <w:tbl>
            <w:tblPr>
              <w:tblW w:type="dxa" w:w="8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46"/>
            </w:tblGrid>
            <w:tr>
              <w:tc>
                <w:tcPr>
                  <w:tcW w:type="dxa" w:w="8946"/>
                  <w:tcBorders>
                    <w:top w:val="single" w:color="B0832B" w:sz="1"/>
                    <w:left w:val="single" w:color="B0832B" w:sz="14"/>
                    <w:bottom w:val="single" w:color="B0832B" w:sz="1"/>
                    <w:right w:val="single" w:color="B0832B" w:sz="1"/>
                  </w:tcBorders>
                  <w:shd w:fill="F5ECD9" w:val="clear"/>
                  <w:tcMar>
                    <w:top w:type="dxa" w:w="70"/>
                    <w:left w:type="dxa" w:w="14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8A6420"/>
                      <w:sz w:val="19"/>
                      <w:szCs w:val="19"/>
                    </w:rPr>
                    <w:t xml:space="preserve">Headline (the action) →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22222"/>
                      <w:sz w:val="19"/>
                      <w:szCs w:val="19"/>
                    </w:rPr>
                    <w:t xml:space="preserve">Set a maximum lead-time limit and renegotiate or drop the slowest suppliers.</w:t>
                  </w:r>
                </w:p>
              </w:tc>
            </w:tr>
          </w:tbl>
          <w:p/>
        </w:tc>
      </w:tr>
    </w:tbl>
    <w:p>
      <w:pPr>
        <w:spacing w:after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7A1719" w:sz="20"/>
              <w:bottom w:val="single" w:color="E3D3D3" w:sz="1"/>
              <w:right w:val="single" w:color="E3D3D3" w:sz="1"/>
            </w:tcBorders>
            <w:tcMar>
              <w:top w:type="dxa" w:w="13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1719"/>
                <w:sz w:val="22"/>
                <w:szCs w:val="22"/>
              </w:rPr>
              <w:t xml:space="preserve">Dataset 2 — Logistics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5F5C"/>
                <w:sz w:val="18"/>
                <w:szCs w:val="18"/>
              </w:rPr>
              <w:t xml:space="preserve">(target: Delivery Status)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Setup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noticeable share of shipments arrive late.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Clue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Late deliveries cluster around one vehicle type and longer distances.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Proof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Distance and actual delivery hours correlate; outcome-by-vehicle shows one type is worst.</w:t>
            </w:r>
          </w:p>
          <w:tbl>
            <w:tblPr>
              <w:tblW w:type="dxa" w:w="8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46"/>
            </w:tblGrid>
            <w:tr>
              <w:tc>
                <w:tcPr>
                  <w:tcW w:type="dxa" w:w="8946"/>
                  <w:tcBorders>
                    <w:top w:val="single" w:color="B0832B" w:sz="1"/>
                    <w:left w:val="single" w:color="B0832B" w:sz="14"/>
                    <w:bottom w:val="single" w:color="B0832B" w:sz="1"/>
                    <w:right w:val="single" w:color="B0832B" w:sz="1"/>
                  </w:tcBorders>
                  <w:shd w:fill="F5ECD9" w:val="clear"/>
                  <w:tcMar>
                    <w:top w:type="dxa" w:w="70"/>
                    <w:left w:type="dxa" w:w="14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8A6420"/>
                      <w:sz w:val="19"/>
                      <w:szCs w:val="19"/>
                    </w:rPr>
                    <w:t xml:space="preserve">Headline (the action) →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22222"/>
                      <w:sz w:val="19"/>
                      <w:szCs w:val="19"/>
                    </w:rPr>
                    <w:t xml:space="preserve">Reassign long-distance routes away from the worst-performing vehicle type.</w:t>
                  </w:r>
                </w:p>
              </w:tc>
            </w:tr>
          </w:tbl>
          <w:p/>
        </w:tc>
      </w:tr>
    </w:tbl>
    <w:p>
      <w:pPr>
        <w:spacing w:after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7A1719" w:sz="20"/>
              <w:bottom w:val="single" w:color="E3D3D3" w:sz="1"/>
              <w:right w:val="single" w:color="E3D3D3" w:sz="1"/>
            </w:tcBorders>
            <w:tcMar>
              <w:top w:type="dxa" w:w="13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1719"/>
                <w:sz w:val="22"/>
                <w:szCs w:val="22"/>
              </w:rPr>
              <w:t xml:space="preserve">Dataset 3 — Sales / Retail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5F5C"/>
                <w:sz w:val="18"/>
                <w:szCs w:val="18"/>
              </w:rPr>
              <w:t xml:space="preserve">(target: Returned)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Setup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One product category is returned far more than the others.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Clue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That same category also gets the deepest discounts.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Proof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Discount % and returns move together (heatmap); a few impossible &gt;100% discounts were removed as errors.</w:t>
            </w:r>
          </w:p>
          <w:tbl>
            <w:tblPr>
              <w:tblW w:type="dxa" w:w="8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46"/>
            </w:tblGrid>
            <w:tr>
              <w:tc>
                <w:tcPr>
                  <w:tcW w:type="dxa" w:w="8946"/>
                  <w:tcBorders>
                    <w:top w:val="single" w:color="B0832B" w:sz="1"/>
                    <w:left w:val="single" w:color="B0832B" w:sz="14"/>
                    <w:bottom w:val="single" w:color="B0832B" w:sz="1"/>
                    <w:right w:val="single" w:color="B0832B" w:sz="1"/>
                  </w:tcBorders>
                  <w:shd w:fill="F5ECD9" w:val="clear"/>
                  <w:tcMar>
                    <w:top w:type="dxa" w:w="70"/>
                    <w:left w:type="dxa" w:w="14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8A6420"/>
                      <w:sz w:val="19"/>
                      <w:szCs w:val="19"/>
                    </w:rPr>
                    <w:t xml:space="preserve">Headline (the action) →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22222"/>
                      <w:sz w:val="19"/>
                      <w:szCs w:val="19"/>
                    </w:rPr>
                    <w:t xml:space="preserve">Stop deep-discounting that category to cut returns.</w:t>
                  </w:r>
                </w:p>
              </w:tc>
            </w:tr>
          </w:tbl>
          <w:p/>
        </w:tc>
      </w:tr>
    </w:tbl>
    <w:p>
      <w:pPr>
        <w:spacing w:after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7A1719" w:sz="20"/>
              <w:bottom w:val="single" w:color="E3D3D3" w:sz="1"/>
              <w:right w:val="single" w:color="E3D3D3" w:sz="1"/>
            </w:tcBorders>
            <w:tcMar>
              <w:top w:type="dxa" w:w="13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1719"/>
                <w:sz w:val="22"/>
                <w:szCs w:val="22"/>
              </w:rPr>
              <w:t xml:space="preserve">Dataset 4 — Marketing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5F5C"/>
                <w:sz w:val="18"/>
                <w:szCs w:val="18"/>
              </w:rPr>
              <w:t xml:space="preserve">(target: High ROI)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Setup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Only some campaigns deliver a high return on spend.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Clue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The high-ROI ones sit on particular channels, not the biggest budgets.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Proof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Spend alone barely correlates with ROI, while channel and conversions do; impressions had extreme outliers.</w:t>
            </w:r>
          </w:p>
          <w:tbl>
            <w:tblPr>
              <w:tblW w:type="dxa" w:w="8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46"/>
            </w:tblGrid>
            <w:tr>
              <w:tc>
                <w:tcPr>
                  <w:tcW w:type="dxa" w:w="8946"/>
                  <w:tcBorders>
                    <w:top w:val="single" w:color="B0832B" w:sz="1"/>
                    <w:left w:val="single" w:color="B0832B" w:sz="14"/>
                    <w:bottom w:val="single" w:color="B0832B" w:sz="1"/>
                    <w:right w:val="single" w:color="B0832B" w:sz="1"/>
                  </w:tcBorders>
                  <w:shd w:fill="F5ECD9" w:val="clear"/>
                  <w:tcMar>
                    <w:top w:type="dxa" w:w="70"/>
                    <w:left w:type="dxa" w:w="14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8A6420"/>
                      <w:sz w:val="19"/>
                      <w:szCs w:val="19"/>
                    </w:rPr>
                    <w:t xml:space="preserve">Headline (the action) →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22222"/>
                      <w:sz w:val="19"/>
                      <w:szCs w:val="19"/>
                    </w:rPr>
                    <w:t xml:space="preserve">Shift budget toward high-ROI channels instead of chasing raw impressions.</w:t>
                  </w:r>
                </w:p>
              </w:tc>
            </w:tr>
          </w:tbl>
          <w:p/>
        </w:tc>
      </w:tr>
    </w:tbl>
    <w:p>
      <w:pPr>
        <w:spacing w:after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7A1719" w:sz="20"/>
              <w:bottom w:val="single" w:color="E3D3D3" w:sz="1"/>
              <w:right w:val="single" w:color="E3D3D3" w:sz="1"/>
            </w:tcBorders>
            <w:tcMar>
              <w:top w:type="dxa" w:w="13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1719"/>
                <w:sz w:val="22"/>
                <w:szCs w:val="22"/>
              </w:rPr>
              <w:t xml:space="preserve">Dataset 5 — Inventory / Warehouse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5F5C"/>
                <w:sz w:val="18"/>
                <w:szCs w:val="18"/>
              </w:rPr>
              <w:t xml:space="preserve">(target: Stockout Risk)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Setup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Certain products keep hitting stockout risk.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Clue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Those products sell fast but sit on low reorder levels.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19"/>
                <w:szCs w:val="19"/>
              </w:rPr>
              <w:t xml:space="preserve">Proof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Units-sold and stockout risk correlate, while the reorder level is set too low for them.</w:t>
            </w:r>
          </w:p>
          <w:tbl>
            <w:tblPr>
              <w:tblW w:type="dxa" w:w="8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46"/>
            </w:tblGrid>
            <w:tr>
              <w:tc>
                <w:tcPr>
                  <w:tcW w:type="dxa" w:w="8946"/>
                  <w:tcBorders>
                    <w:top w:val="single" w:color="B0832B" w:sz="1"/>
                    <w:left w:val="single" w:color="B0832B" w:sz="14"/>
                    <w:bottom w:val="single" w:color="B0832B" w:sz="1"/>
                    <w:right w:val="single" w:color="B0832B" w:sz="1"/>
                  </w:tcBorders>
                  <w:shd w:fill="F5ECD9" w:val="clear"/>
                  <w:tcMar>
                    <w:top w:type="dxa" w:w="70"/>
                    <w:left w:type="dxa" w:w="14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8A6420"/>
                      <w:sz w:val="19"/>
                      <w:szCs w:val="19"/>
                    </w:rPr>
                    <w:t xml:space="preserve">Headline (the action) →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22222"/>
                      <w:sz w:val="19"/>
                      <w:szCs w:val="19"/>
                    </w:rPr>
                    <w:t xml:space="preserve">Raise reorder levels for the fast-moving products to prevent stockouts.</w:t>
                  </w:r>
                </w:p>
              </w:tc>
            </w:tr>
          </w:tbl>
          <w:p/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3D3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A5F5C"/>
        <w:sz w:val="14"/>
        <w:szCs w:val="14"/>
      </w:rPr>
      <w:t xml:space="preserve">NEST  •  Staff-only — do not distribute to students  —  Page </w:t>
    </w:r>
    <w:r>
      <w:rPr>
        <w:color w:val="6A5F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3D3" w:sz="4" w:space="4"/>
      </w:pBdr>
      <w:tabs>
        <w:tab w:val="right" w:pos="9506"/>
      </w:tabs>
    </w:pPr>
    <w:r>
      <w:rPr>
        <w:rFonts w:ascii="Calibri" w:cs="Calibri" w:eastAsia="Calibri" w:hAnsi="Calibri"/>
        <w:b/>
        <w:bCs/>
        <w:i w:val="false"/>
        <w:iCs w:val="false"/>
        <w:color w:val="6A5F5C"/>
        <w:sz w:val="15"/>
        <w:szCs w:val="15"/>
      </w:rPr>
      <w:t xml:space="preserve">NEST  •  Trainer Reference (Staff Only)</w:t>
    </w:r>
    <w:r>
      <w:rPr>
        <w:rFonts w:ascii="Calibri" w:cs="Calibri" w:eastAsia="Calibri" w:hAnsi="Calibri"/>
        <w:b w:val="false"/>
        <w:bCs w:val="false"/>
        <w:i w:val="false"/>
        <w:iCs w:val="false"/>
        <w:color w:val="6A5F5C"/>
        <w:sz w:val="15"/>
        <w:szCs w:val="15"/>
      </w:rPr>
      <w:t xml:space="preserve">	Day 2 — Model Data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 Day 2 — Model Data Stories (Trainer Reference)</dc:title>
  <dc:creator>NEST</dc:creator>
  <cp:lastModifiedBy>Un-named</cp:lastModifiedBy>
  <cp:revision>1</cp:revision>
  <dcterms:created xsi:type="dcterms:W3CDTF">2026-07-05T05:33:49.311Z</dcterms:created>
  <dcterms:modified xsi:type="dcterms:W3CDTF">2026-07-05T05:33:49.322Z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