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3C2A"/>
          <w:sz w:val="72"/>
          <w:szCs w:val="72"/>
        </w:rPr>
        <w:t xml:space="preserve">TEN-FIFTY5</w:t>
      </w:r>
    </w:p>
    <w:p>
      <w:pPr>
        <w:spacing w:after="100"/>
        <w:jc w:val="center"/>
      </w:pPr>
      <w:r>
        <w:rPr>
          <w:rFonts w:ascii="Arial" w:cs="Arial" w:eastAsia="Arial" w:hAnsi="Arial"/>
          <w:color w:val="C9A84C"/>
          <w:spacing w:val="200"/>
          <w:sz w:val="28"/>
          <w:szCs w:val="28"/>
        </w:rPr>
        <w:t xml:space="preserve">TENNIS ANALYTICS PLATFORM</w:t>
      </w:r>
    </w:p>
    <w:p>
      <w:pPr>
        <w:spacing w:after="600"/>
        <w:jc w:val="center"/>
      </w:pPr>
      <w:r>
        <w:rPr>
          <w:color w:val="C9A84C"/>
        </w:rPr>
        <w:t xml:space="preserve">_______________________________________________</w:t>
      </w:r>
    </w:p>
    <w:p>
      <w:pPr>
        <w:spacing w:after="200"/>
        <w:jc w:val="center"/>
      </w:pPr>
      <w:r>
        <w:rPr>
          <w:rFonts w:ascii="Arial" w:cs="Arial" w:eastAsia="Arial" w:hAnsi="Arial"/>
          <w:b/>
          <w:bCs/>
          <w:color w:val="1A3C2A"/>
          <w:sz w:val="36"/>
          <w:szCs w:val="36"/>
        </w:rPr>
        <w:t xml:space="preserve">GO-TO-MARKET STRATEGY</w:t>
      </w:r>
    </w:p>
    <w:p>
      <w:pPr>
        <w:spacing w:after="100"/>
        <w:jc w:val="center"/>
      </w:pPr>
      <w:r>
        <w:rPr>
          <w:rFonts w:ascii="Arial" w:cs="Arial" w:eastAsia="Arial" w:hAnsi="Arial"/>
          <w:i/>
          <w:iCs/>
          <w:color w:val="0F3460"/>
          <w:sz w:val="24"/>
          <w:szCs w:val="24"/>
        </w:rPr>
        <w:t xml:space="preserve">Competitive Analysis, Positioning, Pricing &amp; Website Design Brief</w:t>
      </w:r>
    </w:p>
    <w:p>
      <w:pPr>
        <w:spacing w:after="2000"/>
        <w:jc w:val="center"/>
      </w:pPr>
      <w:r>
        <w:rPr>
          <w:rFonts w:ascii="Arial" w:cs="Arial" w:eastAsia="Arial" w:hAnsi="Arial"/>
          <w:color w:val="666666"/>
          <w:sz w:val="22"/>
          <w:szCs w:val="22"/>
        </w:rPr>
        <w:t xml:space="preserve">April 2026  |  Prepared for Launch</w:t>
      </w:r>
    </w:p>
    <w:p>
      <w:pPr>
        <w:jc w:val="center"/>
      </w:pPr>
      <w:r>
        <w:rPr>
          <w:rFonts w:ascii="Arial" w:cs="Arial" w:eastAsia="Arial" w:hAnsi="Arial"/>
          <w:b/>
          <w:bCs/>
          <w:color w:val="E94560"/>
          <w:sz w:val="20"/>
          <w:szCs w:val="20"/>
        </w:rPr>
        <w:t xml:space="preserve">CONFIDENTIAL</w:t>
      </w:r>
    </w:p>
    <w:p>
      <w:r>
        <w:br w:type="page"/>
      </w:r>
    </w:p>
    <w:p>
      <w:pPr>
        <w:pStyle w:val="Heading1"/>
      </w:pPr>
      <w:r>
        <w:t xml:space="preserve">Contents</w:t>
      </w:r>
    </w:p>
    <w:p>
      <w:pPr>
        <w:spacing w:after="120"/>
      </w:pPr>
    </w:p>
    <w:p>
      <w:pPr>
        <w:tabs>
          <w:tab w:val="right" w:pos="9026"/>
        </w:tabs>
        <w:spacing w:after="100"/>
      </w:pPr>
      <w:r>
        <w:rPr>
          <w:rFonts w:ascii="Arial" w:cs="Arial" w:eastAsia="Arial" w:hAnsi="Arial"/>
          <w:sz w:val="22"/>
          <w:szCs w:val="22"/>
        </w:rPr>
        <w:t xml:space="preserve">1.  Executive Summary</w:t>
      </w:r>
      <w:r>
        <w:rPr>
          <w:rFonts w:ascii="Arial" w:cs="Arial" w:eastAsia="Arial" w:hAnsi="Arial"/>
          <w:sz w:val="22"/>
          <w:szCs w:val="22"/>
        </w:rPr>
        <w:t xml:space="preserve">	3</w:t>
      </w:r>
    </w:p>
    <w:p>
      <w:pPr>
        <w:tabs>
          <w:tab w:val="right" w:pos="9026"/>
        </w:tabs>
        <w:spacing w:after="100"/>
      </w:pPr>
      <w:r>
        <w:rPr>
          <w:rFonts w:ascii="Arial" w:cs="Arial" w:eastAsia="Arial" w:hAnsi="Arial"/>
          <w:sz w:val="22"/>
          <w:szCs w:val="22"/>
        </w:rPr>
        <w:t xml:space="preserve">2.  Target Market &amp; Customer Personas</w:t>
      </w:r>
      <w:r>
        <w:rPr>
          <w:rFonts w:ascii="Arial" w:cs="Arial" w:eastAsia="Arial" w:hAnsi="Arial"/>
          <w:sz w:val="22"/>
          <w:szCs w:val="22"/>
        </w:rPr>
        <w:t xml:space="preserve">	4</w:t>
      </w:r>
    </w:p>
    <w:p>
      <w:pPr>
        <w:tabs>
          <w:tab w:val="right" w:pos="9026"/>
        </w:tabs>
        <w:spacing w:after="100"/>
      </w:pPr>
      <w:r>
        <w:rPr>
          <w:rFonts w:ascii="Arial" w:cs="Arial" w:eastAsia="Arial" w:hAnsi="Arial"/>
          <w:sz w:val="22"/>
          <w:szCs w:val="22"/>
        </w:rPr>
        <w:t xml:space="preserve">3.  Competitive Landscape Analysis</w:t>
      </w:r>
      <w:r>
        <w:rPr>
          <w:rFonts w:ascii="Arial" w:cs="Arial" w:eastAsia="Arial" w:hAnsi="Arial"/>
          <w:sz w:val="22"/>
          <w:szCs w:val="22"/>
        </w:rPr>
        <w:t xml:space="preserve">	6</w:t>
      </w:r>
    </w:p>
    <w:p>
      <w:pPr>
        <w:tabs>
          <w:tab w:val="right" w:pos="9026"/>
        </w:tabs>
        <w:spacing w:after="100"/>
      </w:pPr>
      <w:r>
        <w:rPr>
          <w:rFonts w:ascii="Arial" w:cs="Arial" w:eastAsia="Arial" w:hAnsi="Arial"/>
          <w:sz w:val="22"/>
          <w:szCs w:val="22"/>
        </w:rPr>
        <w:t xml:space="preserve">4.  Feature Comparison Matrix</w:t>
      </w:r>
      <w:r>
        <w:rPr>
          <w:rFonts w:ascii="Arial" w:cs="Arial" w:eastAsia="Arial" w:hAnsi="Arial"/>
          <w:sz w:val="22"/>
          <w:szCs w:val="22"/>
        </w:rPr>
        <w:t xml:space="preserve">	10</w:t>
      </w:r>
    </w:p>
    <w:p>
      <w:pPr>
        <w:tabs>
          <w:tab w:val="right" w:pos="9026"/>
        </w:tabs>
        <w:spacing w:after="100"/>
      </w:pPr>
      <w:r>
        <w:rPr>
          <w:rFonts w:ascii="Arial" w:cs="Arial" w:eastAsia="Arial" w:hAnsi="Arial"/>
          <w:sz w:val="22"/>
          <w:szCs w:val="22"/>
        </w:rPr>
        <w:t xml:space="preserve">5.  Value Proposition &amp; Messaging</w:t>
      </w:r>
      <w:r>
        <w:rPr>
          <w:rFonts w:ascii="Arial" w:cs="Arial" w:eastAsia="Arial" w:hAnsi="Arial"/>
          <w:sz w:val="22"/>
          <w:szCs w:val="22"/>
        </w:rPr>
        <w:t xml:space="preserve">	11</w:t>
      </w:r>
    </w:p>
    <w:p>
      <w:pPr>
        <w:tabs>
          <w:tab w:val="right" w:pos="9026"/>
        </w:tabs>
        <w:spacing w:after="100"/>
      </w:pPr>
      <w:r>
        <w:rPr>
          <w:rFonts w:ascii="Arial" w:cs="Arial" w:eastAsia="Arial" w:hAnsi="Arial"/>
          <w:sz w:val="22"/>
          <w:szCs w:val="22"/>
        </w:rPr>
        <w:t xml:space="preserve">6.  Pricing Strategy</w:t>
      </w:r>
      <w:r>
        <w:rPr>
          <w:rFonts w:ascii="Arial" w:cs="Arial" w:eastAsia="Arial" w:hAnsi="Arial"/>
          <w:sz w:val="22"/>
          <w:szCs w:val="22"/>
        </w:rPr>
        <w:t xml:space="preserve">	13</w:t>
      </w:r>
    </w:p>
    <w:p>
      <w:pPr>
        <w:tabs>
          <w:tab w:val="right" w:pos="9026"/>
        </w:tabs>
        <w:spacing w:after="100"/>
      </w:pPr>
      <w:r>
        <w:rPr>
          <w:rFonts w:ascii="Arial" w:cs="Arial" w:eastAsia="Arial" w:hAnsi="Arial"/>
          <w:sz w:val="22"/>
          <w:szCs w:val="22"/>
        </w:rPr>
        <w:t xml:space="preserve">7.  Free Trial &amp; Conversion Strategy</w:t>
      </w:r>
      <w:r>
        <w:rPr>
          <w:rFonts w:ascii="Arial" w:cs="Arial" w:eastAsia="Arial" w:hAnsi="Arial"/>
          <w:sz w:val="22"/>
          <w:szCs w:val="22"/>
        </w:rPr>
        <w:t xml:space="preserve">	15</w:t>
      </w:r>
    </w:p>
    <w:p>
      <w:pPr>
        <w:tabs>
          <w:tab w:val="right" w:pos="9026"/>
        </w:tabs>
        <w:spacing w:after="100"/>
      </w:pPr>
      <w:r>
        <w:rPr>
          <w:rFonts w:ascii="Arial" w:cs="Arial" w:eastAsia="Arial" w:hAnsi="Arial"/>
          <w:sz w:val="22"/>
          <w:szCs w:val="22"/>
        </w:rPr>
        <w:t xml:space="preserve">8.  Home Page Design Brief</w:t>
      </w:r>
      <w:r>
        <w:rPr>
          <w:rFonts w:ascii="Arial" w:cs="Arial" w:eastAsia="Arial" w:hAnsi="Arial"/>
          <w:sz w:val="22"/>
          <w:szCs w:val="22"/>
        </w:rPr>
        <w:t xml:space="preserve">	16</w:t>
      </w:r>
    </w:p>
    <w:p>
      <w:pPr>
        <w:tabs>
          <w:tab w:val="right" w:pos="9026"/>
        </w:tabs>
        <w:spacing w:after="100"/>
      </w:pPr>
      <w:r>
        <w:rPr>
          <w:rFonts w:ascii="Arial" w:cs="Arial" w:eastAsia="Arial" w:hAnsi="Arial"/>
          <w:sz w:val="22"/>
          <w:szCs w:val="22"/>
        </w:rPr>
        <w:t xml:space="preserve">9.  Pricing Page Design Brief</w:t>
      </w:r>
      <w:r>
        <w:rPr>
          <w:rFonts w:ascii="Arial" w:cs="Arial" w:eastAsia="Arial" w:hAnsi="Arial"/>
          <w:sz w:val="22"/>
          <w:szCs w:val="22"/>
        </w:rPr>
        <w:t xml:space="preserve">	19</w:t>
      </w:r>
    </w:p>
    <w:p>
      <w:pPr>
        <w:tabs>
          <w:tab w:val="right" w:pos="9026"/>
        </w:tabs>
        <w:spacing w:after="100"/>
      </w:pPr>
      <w:r>
        <w:rPr>
          <w:rFonts w:ascii="Arial" w:cs="Arial" w:eastAsia="Arial" w:hAnsi="Arial"/>
          <w:sz w:val="22"/>
          <w:szCs w:val="22"/>
        </w:rPr>
        <w:t xml:space="preserve">10.  How It Works Page Design Brief</w:t>
      </w:r>
      <w:r>
        <w:rPr>
          <w:rFonts w:ascii="Arial" w:cs="Arial" w:eastAsia="Arial" w:hAnsi="Arial"/>
          <w:sz w:val="22"/>
          <w:szCs w:val="22"/>
        </w:rPr>
        <w:t xml:space="preserve">	21</w:t>
      </w:r>
    </w:p>
    <w:p>
      <w:pPr>
        <w:tabs>
          <w:tab w:val="right" w:pos="9026"/>
        </w:tabs>
        <w:spacing w:after="100"/>
      </w:pPr>
      <w:r>
        <w:rPr>
          <w:rFonts w:ascii="Arial" w:cs="Arial" w:eastAsia="Arial" w:hAnsi="Arial"/>
          <w:sz w:val="22"/>
          <w:szCs w:val="22"/>
        </w:rPr>
        <w:t xml:space="preserve">11.  For Coaches Page Design Brief</w:t>
      </w:r>
      <w:r>
        <w:rPr>
          <w:rFonts w:ascii="Arial" w:cs="Arial" w:eastAsia="Arial" w:hAnsi="Arial"/>
          <w:sz w:val="22"/>
          <w:szCs w:val="22"/>
        </w:rPr>
        <w:t xml:space="preserve">	22</w:t>
      </w:r>
    </w:p>
    <w:p>
      <w:pPr>
        <w:tabs>
          <w:tab w:val="right" w:pos="9026"/>
        </w:tabs>
        <w:spacing w:after="100"/>
      </w:pPr>
      <w:r>
        <w:rPr>
          <w:rFonts w:ascii="Arial" w:cs="Arial" w:eastAsia="Arial" w:hAnsi="Arial"/>
          <w:sz w:val="22"/>
          <w:szCs w:val="22"/>
        </w:rPr>
        <w:t xml:space="preserve">12.  Brand Identity &amp; Design Tokens</w:t>
      </w:r>
      <w:r>
        <w:rPr>
          <w:rFonts w:ascii="Arial" w:cs="Arial" w:eastAsia="Arial" w:hAnsi="Arial"/>
          <w:sz w:val="22"/>
          <w:szCs w:val="22"/>
        </w:rPr>
        <w:t xml:space="preserve">	23</w:t>
      </w:r>
    </w:p>
    <w:p>
      <w:pPr>
        <w:tabs>
          <w:tab w:val="right" w:pos="9026"/>
        </w:tabs>
        <w:spacing w:after="100"/>
      </w:pPr>
      <w:r>
        <w:rPr>
          <w:rFonts w:ascii="Arial" w:cs="Arial" w:eastAsia="Arial" w:hAnsi="Arial"/>
          <w:sz w:val="22"/>
          <w:szCs w:val="22"/>
        </w:rPr>
        <w:t xml:space="preserve">13.  Claude Code Implementation Prompt</w:t>
      </w:r>
      <w:r>
        <w:rPr>
          <w:rFonts w:ascii="Arial" w:cs="Arial" w:eastAsia="Arial" w:hAnsi="Arial"/>
          <w:sz w:val="22"/>
          <w:szCs w:val="22"/>
        </w:rPr>
        <w:t xml:space="preserve">	24</w:t>
      </w:r>
    </w:p>
    <w:p>
      <w:pPr>
        <w:tabs>
          <w:tab w:val="right" w:pos="9026"/>
        </w:tabs>
        <w:spacing w:after="100"/>
      </w:pPr>
      <w:r>
        <w:rPr>
          <w:rFonts w:ascii="Arial" w:cs="Arial" w:eastAsia="Arial" w:hAnsi="Arial"/>
          <w:sz w:val="22"/>
          <w:szCs w:val="22"/>
        </w:rPr>
        <w:t xml:space="preserve">14.  Strategic Recommendations &amp; Next Steps</w:t>
      </w:r>
      <w:r>
        <w:rPr>
          <w:rFonts w:ascii="Arial" w:cs="Arial" w:eastAsia="Arial" w:hAnsi="Arial"/>
          <w:sz w:val="22"/>
          <w:szCs w:val="22"/>
        </w:rPr>
        <w:t xml:space="preserve">	25</w:t>
      </w:r>
    </w:p>
    <w:p>
      <w:r>
        <w:br w:type="page"/>
      </w:r>
    </w:p>
    <w:p>
      <w:pPr>
        <w:pStyle w:val="Heading1"/>
      </w:pPr>
      <w:r>
        <w:t xml:space="preserve">1. Executive Summary</w:t>
      </w:r>
    </w:p>
    <w:p>
      <w:pPr>
        <w:spacing w:after="120"/>
      </w:pPr>
    </w:p>
    <w:p>
      <w:pPr>
        <w:spacing w:after="120"/>
      </w:pPr>
      <w:r>
        <w:rPr>
          <w:rFonts w:ascii="Arial" w:cs="Arial" w:eastAsia="Arial" w:hAnsi="Arial"/>
          <w:sz w:val="22"/>
          <w:szCs w:val="22"/>
        </w:rPr>
        <w:t xml:space="preserve">Ten-Fifty5 is an AI-powered tennis analytics platform that transforms match and practice footage into ATP-level performance data accessible to recreational and competitive players. The platform’s core differentiators are: any-camera video upload (no proprietary hardware), AI coaching grounded in the player’s own data, longitudinal performance tracking with historical trend analysis, and a development roadmap that maps the path from one UTR level to the next.</w:t>
      </w:r>
    </w:p>
    <w:p>
      <w:pPr>
        <w:spacing w:after="120"/>
      </w:pPr>
    </w:p>
    <w:p>
      <w:pPr>
        <w:spacing w:after="120"/>
      </w:pPr>
      <w:r>
        <w:rPr>
          <w:rFonts w:ascii="Arial" w:cs="Arial" w:eastAsia="Arial" w:hAnsi="Arial"/>
          <w:sz w:val="22"/>
          <w:szCs w:val="22"/>
        </w:rPr>
        <w:t xml:space="preserve">This document presents a comprehensive go-to-market strategy based on deep competitive research across the five major players in the tennis analytics space: SwingVision, TennisComStat, Dartfish, OnCourtAI, and SportAI. It covers target market definition, competitive positioning, pricing strategy, website design specifications, and a ready-to-use implementation prompt for development.</w:t>
      </w:r>
    </w:p>
    <w:p>
      <w:pPr>
        <w:spacing w:after="120"/>
      </w:pPr>
    </w:p>
    <w:p>
      <w:pPr>
        <w:spacing w:after="120"/>
      </w:pPr>
      <w:r>
        <w:rPr>
          <w:rFonts w:ascii="Arial" w:cs="Arial" w:eastAsia="Arial" w:hAnsi="Arial"/>
          <w:b/>
          <w:bCs/>
          <w:sz w:val="22"/>
          <w:szCs w:val="22"/>
        </w:rPr>
        <w:t xml:space="preserve">The core insight: </w:t>
      </w:r>
      <w:r>
        <w:rPr>
          <w:rFonts w:ascii="Arial" w:cs="Arial" w:eastAsia="Arial" w:hAnsi="Arial"/>
          <w:sz w:val="22"/>
          <w:szCs w:val="22"/>
        </w:rPr>
        <w:t xml:space="preserve">No competitor in this space connects match data, embedded video, AI coaching, longitudinal history, and personalised development plans in a single direct-to-consumer product. That white space is Ten-Fifty5’s to claim.</w:t>
      </w:r>
    </w:p>
    <w:p>
      <w:pPr>
        <w:spacing w:after="120"/>
      </w:pPr>
    </w:p>
    <w:p>
      <w:pPr>
        <w:spacing w:after="120"/>
      </w:pPr>
      <w:r>
        <w:rPr>
          <w:rFonts w:ascii="Arial" w:cs="Arial" w:eastAsia="Arial" w:hAnsi="Arial"/>
          <w:b/>
          <w:bCs/>
          <w:sz w:val="22"/>
          <w:szCs w:val="22"/>
        </w:rPr>
        <w:t xml:space="preserve">Primary CTA: </w:t>
      </w:r>
      <w:r>
        <w:rPr>
          <w:rFonts w:ascii="Arial" w:cs="Arial" w:eastAsia="Arial" w:hAnsi="Arial"/>
          <w:sz w:val="22"/>
          <w:szCs w:val="22"/>
        </w:rPr>
        <w:t xml:space="preserve">“Analyse My First Match Free” — free first match analysis with no credit card required, delivering the full AI experience so users feel the value before any purchase decision.</w:t>
      </w:r>
    </w:p>
    <w:p>
      <w:r>
        <w:br w:type="page"/>
      </w:r>
    </w:p>
    <w:p>
      <w:pPr>
        <w:pStyle w:val="Heading1"/>
      </w:pPr>
      <w:r>
        <w:t xml:space="preserve">2. Target Market &amp; Customer Personas</w:t>
      </w:r>
    </w:p>
    <w:p>
      <w:pPr>
        <w:spacing w:after="120"/>
      </w:pPr>
    </w:p>
    <w:p>
      <w:pPr>
        <w:spacing w:after="120"/>
      </w:pPr>
      <w:r>
        <w:rPr>
          <w:rFonts w:ascii="Arial" w:cs="Arial" w:eastAsia="Arial" w:hAnsi="Arial"/>
          <w:sz w:val="22"/>
          <w:szCs w:val="22"/>
        </w:rPr>
        <w:t xml:space="preserve">The global recreational tennis market represents approximately 87 million players worldwide, with the highest concentrations in the US, UK, Australia, and Western Europe. Ten-Fifty5 targets the English-speaking segment of this market, focusing on players who are actively trying to improve and willing to invest in tools and coaching.</w:t>
      </w:r>
    </w:p>
    <w:p>
      <w:pPr>
        <w:spacing w:after="120"/>
      </w:pPr>
    </w:p>
    <w:p>
      <w:pPr>
        <w:pStyle w:val="Heading2"/>
      </w:pPr>
      <w:r>
        <w:t xml:space="preserve">2.1 Primary Persona: The Competitor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28-42 years old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UTR 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5.0-9.0 (intermediate to advanced)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Plays</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3-5 times per week; plays league and/or USTA/LTA tournaments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Spends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$100-400/month on coaching, equipment, and court time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Motivation</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Wants to improve UTR rating, win more matches, understand weaknesses objectively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Pain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objective data between coaching sessions; guessing at weaknesses; no way to measure real progress; coach feedback is subjective and forgotten within days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Tech Profile</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Uses fitness trackers, sports apps; comfortable with data and analytics</w:t>
            </w:r>
          </w:p>
        </w:tc>
      </w:tr>
    </w:tbl>
    <w:p>
      <w:pPr>
        <w:spacing w:after="120"/>
      </w:pPr>
    </w:p>
    <w:p>
      <w:pPr>
        <w:pStyle w:val="Heading2"/>
      </w:pPr>
      <w:r>
        <w:t xml:space="preserve">2.2 Secondary Persona: The Invested Parent</w:t>
      </w:r>
    </w:p>
    <w:p>
      <w:pPr>
        <w:spacing w:after="120"/>
      </w:pPr>
    </w:p>
    <w:p>
      <w:pPr>
        <w:pStyle w:val="ListParagraph"/>
        <w:numPr>
          <w:ilvl w:val="0"/>
          <w:numId w:val="2"/>
        </w:numPr>
        <w:spacing w:after="60"/>
      </w:pPr>
      <w:r>
        <w:rPr>
          <w:rFonts w:ascii="Arial" w:cs="Arial" w:eastAsia="Arial" w:hAnsi="Arial"/>
          <w:b/>
          <w:bCs/>
          <w:sz w:val="22"/>
          <w:szCs w:val="22"/>
        </w:rPr>
        <w:t xml:space="preserve">Who: </w:t>
      </w:r>
      <w:r>
        <w:rPr>
          <w:rFonts w:ascii="Arial" w:cs="Arial" w:eastAsia="Arial" w:hAnsi="Arial"/>
          <w:sz w:val="22"/>
          <w:szCs w:val="22"/>
        </w:rPr>
        <w:t xml:space="preserve">Parents of competitive junior players (ages 10-18) investing in their child’s tennis development.</w:t>
      </w:r>
    </w:p>
    <w:p>
      <w:pPr>
        <w:pStyle w:val="ListParagraph"/>
        <w:numPr>
          <w:ilvl w:val="0"/>
          <w:numId w:val="2"/>
        </w:numPr>
        <w:spacing w:after="60"/>
      </w:pPr>
      <w:r>
        <w:rPr>
          <w:rFonts w:ascii="Arial" w:cs="Arial" w:eastAsia="Arial" w:hAnsi="Arial"/>
          <w:b/>
          <w:bCs/>
          <w:sz w:val="22"/>
          <w:szCs w:val="22"/>
        </w:rPr>
        <w:t xml:space="preserve">Spending: </w:t>
      </w:r>
      <w:r>
        <w:rPr>
          <w:rFonts w:ascii="Arial" w:cs="Arial" w:eastAsia="Arial" w:hAnsi="Arial"/>
          <w:sz w:val="22"/>
          <w:szCs w:val="22"/>
        </w:rPr>
        <w:t xml:space="preserve">$200-1,000+/month on coaching, tournaments, travel.</w:t>
      </w:r>
    </w:p>
    <w:p>
      <w:pPr>
        <w:pStyle w:val="ListParagraph"/>
        <w:numPr>
          <w:ilvl w:val="0"/>
          <w:numId w:val="2"/>
        </w:numPr>
        <w:spacing w:after="60"/>
      </w:pPr>
      <w:r>
        <w:rPr>
          <w:rFonts w:ascii="Arial" w:cs="Arial" w:eastAsia="Arial" w:hAnsi="Arial"/>
          <w:b/>
          <w:bCs/>
          <w:sz w:val="22"/>
          <w:szCs w:val="22"/>
        </w:rPr>
        <w:t xml:space="preserve">Motivation: </w:t>
      </w:r>
      <w:r>
        <w:rPr>
          <w:rFonts w:ascii="Arial" w:cs="Arial" w:eastAsia="Arial" w:hAnsi="Arial"/>
          <w:sz w:val="22"/>
          <w:szCs w:val="22"/>
        </w:rPr>
        <w:t xml:space="preserve">Want objective evidence of development to justify investment; need data to share with coaches; want to track improvement across seasons.</w:t>
      </w:r>
    </w:p>
    <w:p>
      <w:pPr>
        <w:pStyle w:val="ListParagraph"/>
        <w:numPr>
          <w:ilvl w:val="0"/>
          <w:numId w:val="2"/>
        </w:numPr>
        <w:spacing w:after="60"/>
      </w:pPr>
      <w:r>
        <w:rPr>
          <w:rFonts w:ascii="Arial" w:cs="Arial" w:eastAsia="Arial" w:hAnsi="Arial"/>
          <w:b/>
          <w:bCs/>
          <w:sz w:val="22"/>
          <w:szCs w:val="22"/>
        </w:rPr>
        <w:t xml:space="preserve">Key trigger: </w:t>
      </w:r>
      <w:r>
        <w:rPr>
          <w:rFonts w:ascii="Arial" w:cs="Arial" w:eastAsia="Arial" w:hAnsi="Arial"/>
          <w:sz w:val="22"/>
          <w:szCs w:val="22"/>
        </w:rPr>
        <w:t xml:space="preserve">The parent makes the purchasing decision, but the coach’s endorsement drives it.</w:t>
      </w:r>
    </w:p>
    <w:p>
      <w:pPr>
        <w:spacing w:after="120"/>
      </w:pPr>
    </w:p>
    <w:p>
      <w:pPr>
        <w:pStyle w:val="Heading2"/>
      </w:pPr>
      <w:r>
        <w:t xml:space="preserve">2.3 Tertiary Persona: The Progressive Coach</w:t>
      </w:r>
    </w:p>
    <w:p>
      <w:pPr>
        <w:spacing w:after="120"/>
      </w:pPr>
    </w:p>
    <w:p>
      <w:pPr>
        <w:spacing w:after="120"/>
      </w:pPr>
      <w:r>
        <w:rPr>
          <w:rFonts w:ascii="Arial" w:cs="Arial" w:eastAsia="Arial" w:hAnsi="Arial"/>
          <w:sz w:val="22"/>
          <w:szCs w:val="22"/>
        </w:rPr>
        <w:t xml:space="preserve">Tennis coaches and teaching pros who want to differentiate their coaching practice with data. This persona is both a user and a distribution channel: one coach who adopts Ten-Fifty5 brings 5-15 students onto the platform. Coaches need a dashboard that lets them review student footage remotely, assign drills based on data, and demonstrate measurable progress to retain students and justify rates.</w:t>
      </w:r>
    </w:p>
    <w:p>
      <w:r>
        <w:br w:type="page"/>
      </w:r>
    </w:p>
    <w:p>
      <w:pPr>
        <w:pStyle w:val="Heading1"/>
      </w:pPr>
      <w:r>
        <w:t xml:space="preserve">3. Competitive Landscape Analysis</w:t>
      </w:r>
    </w:p>
    <w:p>
      <w:pPr>
        <w:spacing w:after="120"/>
      </w:pPr>
    </w:p>
    <w:p>
      <w:pPr>
        <w:spacing w:after="120"/>
      </w:pPr>
      <w:r>
        <w:rPr>
          <w:rFonts w:ascii="Arial" w:cs="Arial" w:eastAsia="Arial" w:hAnsi="Arial"/>
          <w:sz w:val="22"/>
          <w:szCs w:val="22"/>
        </w:rPr>
        <w:t xml:space="preserve">Deep analysis of the five most relevant competitors in the tennis analytics space, covering positioning, pricing, features, ratings, and common customer complaints.</w:t>
      </w:r>
    </w:p>
    <w:p>
      <w:pPr>
        <w:spacing w:after="120"/>
      </w:pPr>
    </w:p>
    <w:p>
      <w:pPr>
        <w:pStyle w:val="Heading2"/>
      </w:pPr>
      <w:r>
        <w:t xml:space="preserve">3.1 SwingVision</w:t>
      </w:r>
    </w:p>
    <w:p>
      <w:pPr>
        <w:spacing w:after="120"/>
      </w:pPr>
    </w:p>
    <w:p>
      <w:pPr>
        <w:spacing w:after="120"/>
      </w:pPr>
      <w:r>
        <w:rPr>
          <w:rFonts w:ascii="Arial" w:cs="Arial" w:eastAsia="Arial" w:hAnsi="Arial"/>
          <w:b/>
          <w:bCs/>
          <w:sz w:val="22"/>
          <w:szCs w:val="22"/>
        </w:rPr>
        <w:t xml:space="preserve">Positioning: </w:t>
      </w:r>
      <w:r>
        <w:rPr>
          <w:rFonts w:ascii="Arial" w:cs="Arial" w:eastAsia="Arial" w:hAnsi="Arial"/>
          <w:sz w:val="22"/>
          <w:szCs w:val="22"/>
        </w:rPr>
        <w:t xml:space="preserve">The market leader in consumer tennis analytics. Backed by Andy Roddick and Lindsay Davenport. Official app of Tennis Australia, LTA, and ITA. Positions as the accessible, mobile-first tennis analytics tool.</w:t>
      </w:r>
    </w:p>
    <w:p>
      <w:pPr>
        <w:spacing w:after="120"/>
      </w:pP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$14.99/month or $179.99/year. Free tier with limited features.</w:t>
      </w:r>
    </w:p>
    <w:p>
      <w:pPr>
        <w:spacing w:after="120"/>
      </w:pPr>
    </w:p>
    <w:p>
      <w:pPr>
        <w:spacing w:after="80"/>
      </w:pPr>
      <w:r>
        <w:rPr>
          <w:rFonts w:ascii="Arial" w:cs="Arial" w:eastAsia="Arial" w:hAnsi="Arial"/>
          <w:b/>
          <w:bCs/>
          <w:color w:val="C9A84C"/>
          <w:sz w:val="22"/>
          <w:szCs w:val="22"/>
        </w:rPr>
        <w:t xml:space="preserve">Key Features</w:t>
      </w:r>
    </w:p>
    <w:p>
      <w:pPr>
        <w:pStyle w:val="ListParagraph"/>
        <w:numPr>
          <w:ilvl w:val="0"/>
          <w:numId w:val="3"/>
        </w:numPr>
        <w:spacing w:after="60"/>
      </w:pPr>
      <w:r>
        <w:rPr>
          <w:rFonts w:ascii="Arial" w:cs="Arial" w:eastAsia="Arial" w:hAnsi="Arial"/>
          <w:sz w:val="22"/>
          <w:szCs w:val="22"/>
        </w:rPr>
        <w:t xml:space="preserve">Automated scoring, line calling, and shot tracking via iPhone camera</w:t>
      </w:r>
    </w:p>
    <w:p>
      <w:pPr>
        <w:pStyle w:val="ListParagraph"/>
        <w:numPr>
          <w:ilvl w:val="0"/>
          <w:numId w:val="3"/>
        </w:numPr>
        <w:spacing w:after="60"/>
      </w:pPr>
      <w:r>
        <w:rPr>
          <w:rFonts w:ascii="Arial" w:cs="Arial" w:eastAsia="Arial" w:hAnsi="Arial"/>
          <w:sz w:val="22"/>
          <w:szCs w:val="22"/>
        </w:rPr>
        <w:t xml:space="preserve">AI shot stats: speed, depth, accuracy, rally length</w:t>
      </w:r>
    </w:p>
    <w:p>
      <w:pPr>
        <w:pStyle w:val="ListParagraph"/>
        <w:numPr>
          <w:ilvl w:val="0"/>
          <w:numId w:val="3"/>
        </w:numPr>
        <w:spacing w:after="60"/>
      </w:pPr>
      <w:r>
        <w:rPr>
          <w:rFonts w:ascii="Arial" w:cs="Arial" w:eastAsia="Arial" w:hAnsi="Arial"/>
          <w:sz w:val="22"/>
          <w:szCs w:val="22"/>
        </w:rPr>
        <w:t xml:space="preserve">Automated highlights and dead-time removal</w:t>
      </w:r>
    </w:p>
    <w:p>
      <w:pPr>
        <w:pStyle w:val="ListParagraph"/>
        <w:numPr>
          <w:ilvl w:val="0"/>
          <w:numId w:val="3"/>
        </w:numPr>
        <w:spacing w:after="60"/>
      </w:pPr>
      <w:r>
        <w:rPr>
          <w:rFonts w:ascii="Arial" w:cs="Arial" w:eastAsia="Arial" w:hAnsi="Arial"/>
          <w:sz w:val="22"/>
          <w:szCs w:val="22"/>
        </w:rPr>
        <w:t xml:space="preserve">Cloud storage for match footage</w:t>
      </w:r>
    </w:p>
    <w:p>
      <w:pPr>
        <w:pStyle w:val="ListParagraph"/>
        <w:numPr>
          <w:ilvl w:val="0"/>
          <w:numId w:val="3"/>
        </w:numPr>
        <w:spacing w:after="60"/>
      </w:pPr>
      <w:r>
        <w:rPr>
          <w:rFonts w:ascii="Arial" w:cs="Arial" w:eastAsia="Arial" w:hAnsi="Arial"/>
          <w:sz w:val="22"/>
          <w:szCs w:val="22"/>
        </w:rPr>
        <w:t xml:space="preserve">AI coaching tips (basic)</w:t>
      </w:r>
    </w:p>
    <w:p>
      <w:pPr>
        <w:spacing w:after="120"/>
      </w:pPr>
    </w:p>
    <w:p>
      <w:pPr>
        <w:spacing w:after="120"/>
      </w:pPr>
      <w:r>
        <w:rPr>
          <w:rFonts w:ascii="Arial" w:cs="Arial" w:eastAsia="Arial" w:hAnsi="Arial"/>
          <w:b/>
          <w:bCs/>
          <w:sz w:val="22"/>
          <w:szCs w:val="22"/>
        </w:rPr>
        <w:t xml:space="preserve">Ratings: </w:t>
      </w:r>
      <w:r>
        <w:rPr>
          <w:rFonts w:ascii="Arial" w:cs="Arial" w:eastAsia="Arial" w:hAnsi="Arial"/>
          <w:sz w:val="22"/>
          <w:szCs w:val="22"/>
        </w:rPr>
        <w:t xml:space="preserve">4.5/5 on App Store. Generally positive reviews for ease of use.</w:t>
      </w:r>
    </w:p>
    <w:p>
      <w:pPr>
        <w:spacing w:after="120"/>
      </w:pPr>
    </w:p>
    <w:p>
      <w:pPr>
        <w:spacing w:after="80"/>
      </w:pPr>
      <w:r>
        <w:rPr>
          <w:rFonts w:ascii="Arial" w:cs="Arial" w:eastAsia="Arial" w:hAnsi="Arial"/>
          <w:b/>
          <w:bCs/>
          <w:color w:val="C9A84C"/>
          <w:sz w:val="22"/>
          <w:szCs w:val="22"/>
        </w:rPr>
        <w:t xml:space="preserve">Common Customer Complaints</w:t>
      </w:r>
    </w:p>
    <w:p>
      <w:pPr>
        <w:pStyle w:val="ListParagraph"/>
        <w:numPr>
          <w:ilvl w:val="0"/>
          <w:numId w:val="4"/>
        </w:numPr>
        <w:spacing w:after="60"/>
      </w:pPr>
      <w:r>
        <w:rPr>
          <w:rFonts w:ascii="Arial" w:cs="Arial" w:eastAsia="Arial" w:hAnsi="Arial"/>
          <w:sz w:val="22"/>
          <w:szCs w:val="22"/>
        </w:rPr>
        <w:t xml:space="preserve">iPhone only — excludes Android users entirely</w:t>
      </w:r>
    </w:p>
    <w:p>
      <w:pPr>
        <w:pStyle w:val="ListParagraph"/>
        <w:numPr>
          <w:ilvl w:val="0"/>
          <w:numId w:val="4"/>
        </w:numPr>
        <w:spacing w:after="60"/>
      </w:pPr>
      <w:r>
        <w:rPr>
          <w:rFonts w:ascii="Arial" w:cs="Arial" w:eastAsia="Arial" w:hAnsi="Arial"/>
          <w:sz w:val="22"/>
          <w:szCs w:val="22"/>
        </w:rPr>
        <w:t xml:space="preserve">Requires specific phone mount setup; fiddly to position correctly</w:t>
      </w:r>
    </w:p>
    <w:p>
      <w:pPr>
        <w:pStyle w:val="ListParagraph"/>
        <w:numPr>
          <w:ilvl w:val="0"/>
          <w:numId w:val="4"/>
        </w:numPr>
        <w:spacing w:after="60"/>
      </w:pPr>
      <w:r>
        <w:rPr>
          <w:rFonts w:ascii="Arial" w:cs="Arial" w:eastAsia="Arial" w:hAnsi="Arial"/>
          <w:sz w:val="22"/>
          <w:szCs w:val="22"/>
        </w:rPr>
        <w:t xml:space="preserve">Line calling accuracy disputed in community forums</w:t>
      </w:r>
    </w:p>
    <w:p>
      <w:pPr>
        <w:pStyle w:val="ListParagraph"/>
        <w:numPr>
          <w:ilvl w:val="0"/>
          <w:numId w:val="4"/>
        </w:numPr>
        <w:spacing w:after="60"/>
      </w:pPr>
      <w:r>
        <w:rPr>
          <w:rFonts w:ascii="Arial" w:cs="Arial" w:eastAsia="Arial" w:hAnsi="Arial"/>
          <w:sz w:val="22"/>
          <w:szCs w:val="22"/>
        </w:rPr>
        <w:t xml:space="preserve">Limited historical analysis — session-based, not longitudinal</w:t>
      </w:r>
    </w:p>
    <w:p>
      <w:pPr>
        <w:pStyle w:val="ListParagraph"/>
        <w:numPr>
          <w:ilvl w:val="0"/>
          <w:numId w:val="4"/>
        </w:numPr>
        <w:spacing w:after="60"/>
      </w:pPr>
      <w:r>
        <w:rPr>
          <w:rFonts w:ascii="Arial" w:cs="Arial" w:eastAsia="Arial" w:hAnsi="Arial"/>
          <w:sz w:val="22"/>
          <w:szCs w:val="22"/>
        </w:rPr>
        <w:t xml:space="preserve">No personalised coaching beyond generic tips</w:t>
      </w:r>
    </w:p>
    <w:p>
      <w:pPr>
        <w:pStyle w:val="ListParagraph"/>
        <w:numPr>
          <w:ilvl w:val="0"/>
          <w:numId w:val="4"/>
        </w:numPr>
        <w:spacing w:after="60"/>
      </w:pPr>
      <w:r>
        <w:rPr>
          <w:rFonts w:ascii="Arial" w:cs="Arial" w:eastAsia="Arial" w:hAnsi="Arial"/>
          <w:sz w:val="22"/>
          <w:szCs w:val="22"/>
        </w:rPr>
        <w:t xml:space="preserve">Subscription feels expensive for recreational players who play infrequently</w:t>
      </w:r>
    </w:p>
    <w:p>
      <w:pPr>
        <w:spacing w:after="120"/>
      </w:pPr>
    </w:p>
    <w:p>
      <w:pPr>
        <w:pBdr>
          <w:left w:val="single" w:color="C9A84C" w:sz="6" w:space="10"/>
        </w:pBdr>
        <w:spacing w:after="200"/>
        <w:ind w:left="720" w:right="720"/>
      </w:pPr>
      <w:r>
        <w:rPr>
          <w:rFonts w:ascii="Arial" w:cs="Arial" w:eastAsia="Arial" w:hAnsi="Arial"/>
          <w:i/>
          <w:iCs/>
          <w:sz w:val="22"/>
          <w:szCs w:val="22"/>
        </w:rPr>
        <w:t xml:space="preserve">Ten-Fifty5 advantage: Any camera, AI coaching grounded in personal data, longitudinal tracking, development roadmaps. SwingVision is a recording tool; Ten-Fifty5 is a coaching platform.</w:t>
      </w:r>
    </w:p>
    <w:p>
      <w:pPr>
        <w:spacing w:after="120"/>
      </w:pPr>
    </w:p>
    <w:p>
      <w:pPr>
        <w:pStyle w:val="Heading2"/>
      </w:pPr>
      <w:r>
        <w:t xml:space="preserve">3.2 TennisComStat</w:t>
      </w:r>
    </w:p>
    <w:p>
      <w:pPr>
        <w:spacing w:after="120"/>
      </w:pPr>
    </w:p>
    <w:p>
      <w:pPr>
        <w:spacing w:after="120"/>
      </w:pPr>
      <w:r>
        <w:rPr>
          <w:rFonts w:ascii="Arial" w:cs="Arial" w:eastAsia="Arial" w:hAnsi="Arial"/>
          <w:b/>
          <w:bCs/>
          <w:sz w:val="22"/>
          <w:szCs w:val="22"/>
        </w:rPr>
        <w:t xml:space="preserve">Positioning: </w:t>
      </w:r>
      <w:r>
        <w:rPr>
          <w:rFonts w:ascii="Arial" w:cs="Arial" w:eastAsia="Arial" w:hAnsi="Arial"/>
          <w:sz w:val="22"/>
          <w:szCs w:val="22"/>
        </w:rPr>
        <w:t xml:space="preserve">Blends AI-powered tracking with expert manual tagging. Targets serious players and coaches who want professional-grade match statistics with human verification.</w:t>
      </w:r>
    </w:p>
    <w:p>
      <w:pPr>
        <w:spacing w:after="120"/>
      </w:pP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Per-match pricing model. Approximately $15-25 per match analysed (varies by service level). No monthly subscription option publicly listed.</w:t>
      </w:r>
    </w:p>
    <w:p>
      <w:pPr>
        <w:spacing w:after="120"/>
      </w:pPr>
    </w:p>
    <w:p>
      <w:pPr>
        <w:spacing w:after="80"/>
      </w:pPr>
      <w:r>
        <w:rPr>
          <w:rFonts w:ascii="Arial" w:cs="Arial" w:eastAsia="Arial" w:hAnsi="Arial"/>
          <w:b/>
          <w:bCs/>
          <w:color w:val="C9A84C"/>
          <w:sz w:val="22"/>
          <w:szCs w:val="22"/>
        </w:rPr>
        <w:t xml:space="preserve">Key Features</w:t>
      </w:r>
    </w:p>
    <w:p>
      <w:pPr>
        <w:pStyle w:val="ListParagraph"/>
        <w:numPr>
          <w:ilvl w:val="0"/>
          <w:numId w:val="5"/>
        </w:numPr>
        <w:spacing w:after="60"/>
      </w:pPr>
      <w:r>
        <w:rPr>
          <w:rFonts w:ascii="Arial" w:cs="Arial" w:eastAsia="Arial" w:hAnsi="Arial"/>
          <w:sz w:val="22"/>
          <w:szCs w:val="22"/>
        </w:rPr>
        <w:t xml:space="preserve">AI-powered ball and player tracking with manual expert verification</w:t>
      </w:r>
    </w:p>
    <w:p>
      <w:pPr>
        <w:pStyle w:val="ListParagraph"/>
        <w:numPr>
          <w:ilvl w:val="0"/>
          <w:numId w:val="5"/>
        </w:numPr>
        <w:spacing w:after="60"/>
      </w:pPr>
      <w:r>
        <w:rPr>
          <w:rFonts w:ascii="Arial" w:cs="Arial" w:eastAsia="Arial" w:hAnsi="Arial"/>
          <w:sz w:val="22"/>
          <w:szCs w:val="22"/>
        </w:rPr>
        <w:t xml:space="preserve">Shot classification (winners, errors, rally patterns)</w:t>
      </w:r>
    </w:p>
    <w:p>
      <w:pPr>
        <w:pStyle w:val="ListParagraph"/>
        <w:numPr>
          <w:ilvl w:val="0"/>
          <w:numId w:val="5"/>
        </w:numPr>
        <w:spacing w:after="60"/>
      </w:pPr>
      <w:r>
        <w:rPr>
          <w:rFonts w:ascii="Arial" w:cs="Arial" w:eastAsia="Arial" w:hAnsi="Arial"/>
          <w:sz w:val="22"/>
          <w:szCs w:val="22"/>
        </w:rPr>
        <w:t xml:space="preserve">Court coverage and positioning heatmaps</w:t>
      </w:r>
    </w:p>
    <w:p>
      <w:pPr>
        <w:pStyle w:val="ListParagraph"/>
        <w:numPr>
          <w:ilvl w:val="0"/>
          <w:numId w:val="5"/>
        </w:numPr>
        <w:spacing w:after="60"/>
      </w:pPr>
      <w:r>
        <w:rPr>
          <w:rFonts w:ascii="Arial" w:cs="Arial" w:eastAsia="Arial" w:hAnsi="Arial"/>
          <w:sz w:val="22"/>
          <w:szCs w:val="22"/>
        </w:rPr>
        <w:t xml:space="preserve">Exportable match reports</w:t>
      </w:r>
    </w:p>
    <w:p>
      <w:pPr>
        <w:spacing w:after="120"/>
      </w:pPr>
    </w:p>
    <w:p>
      <w:pPr>
        <w:spacing w:after="120"/>
      </w:pPr>
      <w:r>
        <w:rPr>
          <w:rFonts w:ascii="Arial" w:cs="Arial" w:eastAsia="Arial" w:hAnsi="Arial"/>
          <w:b/>
          <w:bCs/>
          <w:sz w:val="22"/>
          <w:szCs w:val="22"/>
        </w:rPr>
        <w:t xml:space="preserve">Ratings: </w:t>
      </w:r>
      <w:r>
        <w:rPr>
          <w:rFonts w:ascii="Arial" w:cs="Arial" w:eastAsia="Arial" w:hAnsi="Arial"/>
          <w:sz w:val="22"/>
          <w:szCs w:val="22"/>
        </w:rPr>
        <w:t xml:space="preserve">Limited public reviews. Niche product with small but loyal user base.</w:t>
      </w:r>
    </w:p>
    <w:p>
      <w:pPr>
        <w:spacing w:after="120"/>
      </w:pPr>
    </w:p>
    <w:p>
      <w:pPr>
        <w:spacing w:after="80"/>
      </w:pPr>
      <w:r>
        <w:rPr>
          <w:rFonts w:ascii="Arial" w:cs="Arial" w:eastAsia="Arial" w:hAnsi="Arial"/>
          <w:b/>
          <w:bCs/>
          <w:color w:val="C9A84C"/>
          <w:sz w:val="22"/>
          <w:szCs w:val="22"/>
        </w:rPr>
        <w:t xml:space="preserve">Common Complaints</w:t>
      </w:r>
    </w:p>
    <w:p>
      <w:pPr>
        <w:pStyle w:val="ListParagraph"/>
        <w:numPr>
          <w:ilvl w:val="0"/>
          <w:numId w:val="5"/>
        </w:numPr>
        <w:spacing w:after="60"/>
      </w:pPr>
      <w:r>
        <w:rPr>
          <w:rFonts w:ascii="Arial" w:cs="Arial" w:eastAsia="Arial" w:hAnsi="Arial"/>
          <w:sz w:val="22"/>
          <w:szCs w:val="22"/>
        </w:rPr>
        <w:t xml:space="preserve">Expensive per-match pricing prohibits regular use</w:t>
      </w:r>
    </w:p>
    <w:p>
      <w:pPr>
        <w:pStyle w:val="ListParagraph"/>
        <w:numPr>
          <w:ilvl w:val="0"/>
          <w:numId w:val="5"/>
        </w:numPr>
        <w:spacing w:after="60"/>
      </w:pPr>
      <w:r>
        <w:rPr>
          <w:rFonts w:ascii="Arial" w:cs="Arial" w:eastAsia="Arial" w:hAnsi="Arial"/>
          <w:sz w:val="22"/>
          <w:szCs w:val="22"/>
        </w:rPr>
        <w:t xml:space="preserve">Turnaround time — not instant due to manual verification step</w:t>
      </w:r>
    </w:p>
    <w:p>
      <w:pPr>
        <w:pStyle w:val="ListParagraph"/>
        <w:numPr>
          <w:ilvl w:val="0"/>
          <w:numId w:val="5"/>
        </w:numPr>
        <w:spacing w:after="60"/>
      </w:pPr>
      <w:r>
        <w:rPr>
          <w:rFonts w:ascii="Arial" w:cs="Arial" w:eastAsia="Arial" w:hAnsi="Arial"/>
          <w:sz w:val="22"/>
          <w:szCs w:val="22"/>
        </w:rPr>
        <w:t xml:space="preserve">No coaching or development features</w:t>
      </w:r>
    </w:p>
    <w:p>
      <w:pPr>
        <w:pStyle w:val="ListParagraph"/>
        <w:numPr>
          <w:ilvl w:val="0"/>
          <w:numId w:val="5"/>
        </w:numPr>
        <w:spacing w:after="60"/>
      </w:pPr>
      <w:r>
        <w:rPr>
          <w:rFonts w:ascii="Arial" w:cs="Arial" w:eastAsia="Arial" w:hAnsi="Arial"/>
          <w:sz w:val="22"/>
          <w:szCs w:val="22"/>
        </w:rPr>
        <w:t xml:space="preserve">No longitudinal tracking across matches</w:t>
      </w:r>
    </w:p>
    <w:p>
      <w:pPr>
        <w:spacing w:after="120"/>
      </w:pPr>
    </w:p>
    <w:p>
      <w:pPr>
        <w:pBdr>
          <w:left w:val="single" w:color="C9A84C" w:sz="6" w:space="10"/>
        </w:pBdr>
        <w:spacing w:after="200"/>
        <w:ind w:left="720" w:right="720"/>
      </w:pPr>
      <w:r>
        <w:rPr>
          <w:rFonts w:ascii="Arial" w:cs="Arial" w:eastAsia="Arial" w:hAnsi="Arial"/>
          <w:i/>
          <w:iCs/>
          <w:sz w:val="22"/>
          <w:szCs w:val="22"/>
        </w:rPr>
        <w:t xml:space="preserve">Ten-Fifty5 advantage: Instant AI analysis at a fraction of the cost. Longitudinal tracking and AI coaching make every match feed into a bigger picture.</w:t>
      </w:r>
    </w:p>
    <w:p>
      <w:r>
        <w:br w:type="page"/>
      </w:r>
    </w:p>
    <w:p>
      <w:pPr>
        <w:pStyle w:val="Heading2"/>
      </w:pPr>
      <w:r>
        <w:t xml:space="preserve">3.3 Dartfish</w:t>
      </w:r>
    </w:p>
    <w:p>
      <w:pPr>
        <w:spacing w:after="120"/>
      </w:pPr>
    </w:p>
    <w:p>
      <w:pPr>
        <w:spacing w:after="120"/>
      </w:pPr>
      <w:r>
        <w:rPr>
          <w:rFonts w:ascii="Arial" w:cs="Arial" w:eastAsia="Arial" w:hAnsi="Arial"/>
          <w:b/>
          <w:bCs/>
          <w:sz w:val="22"/>
          <w:szCs w:val="22"/>
        </w:rPr>
        <w:t xml:space="preserve">Positioning: </w:t>
      </w:r>
      <w:r>
        <w:rPr>
          <w:rFonts w:ascii="Arial" w:cs="Arial" w:eastAsia="Arial" w:hAnsi="Arial"/>
          <w:sz w:val="22"/>
          <w:szCs w:val="22"/>
        </w:rPr>
        <w:t xml:space="preserve">Enterprise-grade sports video analysis platform used across multiple sports. Not tennis-specific. Partners with Tennis Analytics for tennis applications. Targets federations, academies, and professional coaching operations.</w:t>
      </w:r>
    </w:p>
    <w:p>
      <w:pPr>
        <w:spacing w:after="120"/>
      </w:pP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Enterprise pricing, not publicly listed. Estimated $50-200+/month depending on tier. Often sold as institutional licenses.</w:t>
      </w:r>
    </w:p>
    <w:p>
      <w:pPr>
        <w:spacing w:after="120"/>
      </w:pPr>
    </w:p>
    <w:p>
      <w:pPr>
        <w:spacing w:after="80"/>
      </w:pPr>
      <w:r>
        <w:rPr>
          <w:rFonts w:ascii="Arial" w:cs="Arial" w:eastAsia="Arial" w:hAnsi="Arial"/>
          <w:b/>
          <w:bCs/>
          <w:color w:val="C9A84C"/>
          <w:sz w:val="22"/>
          <w:szCs w:val="22"/>
        </w:rPr>
        <w:t xml:space="preserve">Key Features</w:t>
      </w:r>
    </w:p>
    <w:p>
      <w:pPr>
        <w:pStyle w:val="ListParagraph"/>
        <w:numPr>
          <w:ilvl w:val="0"/>
          <w:numId w:val="6"/>
        </w:numPr>
        <w:spacing w:after="60"/>
      </w:pPr>
      <w:r>
        <w:rPr>
          <w:rFonts w:ascii="Arial" w:cs="Arial" w:eastAsia="Arial" w:hAnsi="Arial"/>
          <w:sz w:val="22"/>
          <w:szCs w:val="22"/>
        </w:rPr>
        <w:t xml:space="preserve">Multi-angle video synchronisation and annotation</w:t>
      </w:r>
    </w:p>
    <w:p>
      <w:pPr>
        <w:pStyle w:val="ListParagraph"/>
        <w:numPr>
          <w:ilvl w:val="0"/>
          <w:numId w:val="6"/>
        </w:numPr>
        <w:spacing w:after="60"/>
      </w:pPr>
      <w:r>
        <w:rPr>
          <w:rFonts w:ascii="Arial" w:cs="Arial" w:eastAsia="Arial" w:hAnsi="Arial"/>
          <w:sz w:val="22"/>
          <w:szCs w:val="22"/>
        </w:rPr>
        <w:t xml:space="preserve">Biomechanical analysis tools (joint angles, movement patterns)</w:t>
      </w:r>
    </w:p>
    <w:p>
      <w:pPr>
        <w:pStyle w:val="ListParagraph"/>
        <w:numPr>
          <w:ilvl w:val="0"/>
          <w:numId w:val="6"/>
        </w:numPr>
        <w:spacing w:after="60"/>
      </w:pPr>
      <w:r>
        <w:rPr>
          <w:rFonts w:ascii="Arial" w:cs="Arial" w:eastAsia="Arial" w:hAnsi="Arial"/>
          <w:sz w:val="22"/>
          <w:szCs w:val="22"/>
        </w:rPr>
        <w:t xml:space="preserve">Slow-motion review with telestration and drawing tools</w:t>
      </w:r>
    </w:p>
    <w:p>
      <w:pPr>
        <w:pStyle w:val="ListParagraph"/>
        <w:numPr>
          <w:ilvl w:val="0"/>
          <w:numId w:val="6"/>
        </w:numPr>
        <w:spacing w:after="60"/>
      </w:pPr>
      <w:r>
        <w:rPr>
          <w:rFonts w:ascii="Arial" w:cs="Arial" w:eastAsia="Arial" w:hAnsi="Arial"/>
          <w:sz w:val="22"/>
          <w:szCs w:val="22"/>
        </w:rPr>
        <w:t xml:space="preserve">Video sharing and collaboration for coaching teams</w:t>
      </w:r>
    </w:p>
    <w:p>
      <w:pPr>
        <w:pStyle w:val="ListParagraph"/>
        <w:numPr>
          <w:ilvl w:val="0"/>
          <w:numId w:val="6"/>
        </w:numPr>
        <w:spacing w:after="60"/>
      </w:pPr>
      <w:r>
        <w:rPr>
          <w:rFonts w:ascii="Arial" w:cs="Arial" w:eastAsia="Arial" w:hAnsi="Arial"/>
          <w:sz w:val="22"/>
          <w:szCs w:val="22"/>
        </w:rPr>
        <w:t xml:space="preserve">Works across sports (tennis, swimming, athletics, etc.)</w:t>
      </w:r>
    </w:p>
    <w:p>
      <w:pPr>
        <w:spacing w:after="120"/>
      </w:pPr>
    </w:p>
    <w:p>
      <w:pPr>
        <w:spacing w:after="80"/>
      </w:pPr>
      <w:r>
        <w:rPr>
          <w:rFonts w:ascii="Arial" w:cs="Arial" w:eastAsia="Arial" w:hAnsi="Arial"/>
          <w:b/>
          <w:bCs/>
          <w:color w:val="C9A84C"/>
          <w:sz w:val="22"/>
          <w:szCs w:val="22"/>
        </w:rPr>
        <w:t xml:space="preserve">Common Complaints</w:t>
      </w:r>
    </w:p>
    <w:p>
      <w:pPr>
        <w:pStyle w:val="ListParagraph"/>
        <w:numPr>
          <w:ilvl w:val="0"/>
          <w:numId w:val="6"/>
        </w:numPr>
        <w:spacing w:after="60"/>
      </w:pPr>
      <w:r>
        <w:rPr>
          <w:rFonts w:ascii="Arial" w:cs="Arial" w:eastAsia="Arial" w:hAnsi="Arial"/>
          <w:sz w:val="22"/>
          <w:szCs w:val="22"/>
        </w:rPr>
        <w:t xml:space="preserve">Not tennis-specific — requires significant configuration for tennis use</w:t>
      </w:r>
    </w:p>
    <w:p>
      <w:pPr>
        <w:pStyle w:val="ListParagraph"/>
        <w:numPr>
          <w:ilvl w:val="0"/>
          <w:numId w:val="6"/>
        </w:numPr>
        <w:spacing w:after="60"/>
      </w:pPr>
      <w:r>
        <w:rPr>
          <w:rFonts w:ascii="Arial" w:cs="Arial" w:eastAsia="Arial" w:hAnsi="Arial"/>
          <w:sz w:val="22"/>
          <w:szCs w:val="22"/>
        </w:rPr>
        <w:t xml:space="preserve">Enterprise pricing excludes individual players entirely</w:t>
      </w:r>
    </w:p>
    <w:p>
      <w:pPr>
        <w:pStyle w:val="ListParagraph"/>
        <w:numPr>
          <w:ilvl w:val="0"/>
          <w:numId w:val="6"/>
        </w:numPr>
        <w:spacing w:after="60"/>
      </w:pPr>
      <w:r>
        <w:rPr>
          <w:rFonts w:ascii="Arial" w:cs="Arial" w:eastAsia="Arial" w:hAnsi="Arial"/>
          <w:sz w:val="22"/>
          <w:szCs w:val="22"/>
        </w:rPr>
        <w:t xml:space="preserve">Complex interface with steep learning curve</w:t>
      </w:r>
    </w:p>
    <w:p>
      <w:pPr>
        <w:pStyle w:val="ListParagraph"/>
        <w:numPr>
          <w:ilvl w:val="0"/>
          <w:numId w:val="6"/>
        </w:numPr>
        <w:spacing w:after="60"/>
      </w:pPr>
      <w:r>
        <w:rPr>
          <w:rFonts w:ascii="Arial" w:cs="Arial" w:eastAsia="Arial" w:hAnsi="Arial"/>
          <w:sz w:val="22"/>
          <w:szCs w:val="22"/>
        </w:rPr>
        <w:t xml:space="preserve">No AI coaching or automated insights</w:t>
      </w:r>
    </w:p>
    <w:p>
      <w:pPr>
        <w:pStyle w:val="ListParagraph"/>
        <w:numPr>
          <w:ilvl w:val="0"/>
          <w:numId w:val="6"/>
        </w:numPr>
        <w:spacing w:after="60"/>
      </w:pPr>
      <w:r>
        <w:rPr>
          <w:rFonts w:ascii="Arial" w:cs="Arial" w:eastAsia="Arial" w:hAnsi="Arial"/>
          <w:sz w:val="22"/>
          <w:szCs w:val="22"/>
        </w:rPr>
        <w:t xml:space="preserve">Designed for coaches/analysts, not for players directly</w:t>
      </w:r>
    </w:p>
    <w:p>
      <w:pPr>
        <w:spacing w:after="120"/>
      </w:pPr>
    </w:p>
    <w:p>
      <w:pPr>
        <w:pBdr>
          <w:left w:val="single" w:color="C9A84C" w:sz="6" w:space="10"/>
        </w:pBdr>
        <w:spacing w:after="200"/>
        <w:ind w:left="720" w:right="720"/>
      </w:pPr>
      <w:r>
        <w:rPr>
          <w:rFonts w:ascii="Arial" w:cs="Arial" w:eastAsia="Arial" w:hAnsi="Arial"/>
          <w:i/>
          <w:iCs/>
          <w:sz w:val="22"/>
          <w:szCs w:val="22"/>
        </w:rPr>
        <w:t xml:space="preserve">Ten-Fifty5 advantage: Purpose-built for tennis. Direct-to-consumer pricing. AI does the analysis automatically — no analyst required.</w:t>
      </w:r>
    </w:p>
    <w:p>
      <w:pPr>
        <w:spacing w:after="120"/>
      </w:pPr>
    </w:p>
    <w:p>
      <w:pPr>
        <w:pStyle w:val="Heading2"/>
      </w:pPr>
      <w:r>
        <w:t xml:space="preserve">3.4 OnCourtAI / Tennis AI</w:t>
      </w:r>
    </w:p>
    <w:p>
      <w:pPr>
        <w:spacing w:after="120"/>
      </w:pPr>
    </w:p>
    <w:p>
      <w:pPr>
        <w:spacing w:after="120"/>
      </w:pPr>
      <w:r>
        <w:rPr>
          <w:rFonts w:ascii="Arial" w:cs="Arial" w:eastAsia="Arial" w:hAnsi="Arial"/>
          <w:b/>
          <w:bCs/>
          <w:sz w:val="22"/>
          <w:szCs w:val="22"/>
        </w:rPr>
        <w:t xml:space="preserve">Positioning: </w:t>
      </w:r>
      <w:r>
        <w:rPr>
          <w:rFonts w:ascii="Arial" w:cs="Arial" w:eastAsia="Arial" w:hAnsi="Arial"/>
          <w:sz w:val="22"/>
          <w:szCs w:val="22"/>
        </w:rPr>
        <w:t xml:space="preserve">AI-powered personal tennis coach. Analyses swings and compares biomechanics with professional players. Creates swing scores for timing, impact point, and overall form.</w:t>
      </w:r>
    </w:p>
    <w:p>
      <w:pPr>
        <w:spacing w:after="120"/>
      </w:pP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Subscription model, approximately $9.99-14.99/month.</w:t>
      </w:r>
    </w:p>
    <w:p>
      <w:pPr>
        <w:spacing w:after="120"/>
      </w:pPr>
    </w:p>
    <w:p>
      <w:pPr>
        <w:spacing w:after="80"/>
      </w:pPr>
      <w:r>
        <w:rPr>
          <w:rFonts w:ascii="Arial" w:cs="Arial" w:eastAsia="Arial" w:hAnsi="Arial"/>
          <w:b/>
          <w:bCs/>
          <w:color w:val="C9A84C"/>
          <w:sz w:val="22"/>
          <w:szCs w:val="22"/>
        </w:rPr>
        <w:t xml:space="preserve">Key Features</w:t>
      </w:r>
    </w:p>
    <w:p>
      <w:pPr>
        <w:pStyle w:val="ListParagraph"/>
        <w:numPr>
          <w:ilvl w:val="0"/>
          <w:numId w:val="7"/>
        </w:numPr>
        <w:spacing w:after="60"/>
      </w:pPr>
      <w:r>
        <w:rPr>
          <w:rFonts w:ascii="Arial" w:cs="Arial" w:eastAsia="Arial" w:hAnsi="Arial"/>
          <w:sz w:val="22"/>
          <w:szCs w:val="22"/>
        </w:rPr>
        <w:t xml:space="preserve">AI swing analysis comparing to pro player biomechanics</w:t>
      </w:r>
    </w:p>
    <w:p>
      <w:pPr>
        <w:pStyle w:val="ListParagraph"/>
        <w:numPr>
          <w:ilvl w:val="0"/>
          <w:numId w:val="7"/>
        </w:numPr>
        <w:spacing w:after="60"/>
      </w:pPr>
      <w:r>
        <w:rPr>
          <w:rFonts w:ascii="Arial" w:cs="Arial" w:eastAsia="Arial" w:hAnsi="Arial"/>
          <w:sz w:val="22"/>
          <w:szCs w:val="22"/>
        </w:rPr>
        <w:t xml:space="preserve">Swing scoring: curve, timing, impact point, overall</w:t>
      </w:r>
    </w:p>
    <w:p>
      <w:pPr>
        <w:pStyle w:val="ListParagraph"/>
        <w:numPr>
          <w:ilvl w:val="0"/>
          <w:numId w:val="7"/>
        </w:numPr>
        <w:spacing w:after="60"/>
      </w:pPr>
      <w:r>
        <w:rPr>
          <w:rFonts w:ascii="Arial" w:cs="Arial" w:eastAsia="Arial" w:hAnsi="Arial"/>
          <w:sz w:val="22"/>
          <w:szCs w:val="22"/>
        </w:rPr>
        <w:t xml:space="preserve">Slow-motion replay with overlay analysis</w:t>
      </w:r>
    </w:p>
    <w:p>
      <w:pPr>
        <w:pStyle w:val="ListParagraph"/>
        <w:numPr>
          <w:ilvl w:val="0"/>
          <w:numId w:val="7"/>
        </w:numPr>
        <w:spacing w:after="60"/>
      </w:pPr>
      <w:r>
        <w:rPr>
          <w:rFonts w:ascii="Arial" w:cs="Arial" w:eastAsia="Arial" w:hAnsi="Arial"/>
          <w:sz w:val="22"/>
          <w:szCs w:val="22"/>
        </w:rPr>
        <w:t xml:space="preserve">Progress tracking on technique metrics</w:t>
      </w:r>
    </w:p>
    <w:p>
      <w:pPr>
        <w:spacing w:after="120"/>
      </w:pPr>
    </w:p>
    <w:p>
      <w:pPr>
        <w:spacing w:after="80"/>
      </w:pPr>
      <w:r>
        <w:rPr>
          <w:rFonts w:ascii="Arial" w:cs="Arial" w:eastAsia="Arial" w:hAnsi="Arial"/>
          <w:b/>
          <w:bCs/>
          <w:color w:val="C9A84C"/>
          <w:sz w:val="22"/>
          <w:szCs w:val="22"/>
        </w:rPr>
        <w:t xml:space="preserve">Common Complaints</w:t>
      </w:r>
    </w:p>
    <w:p>
      <w:pPr>
        <w:pStyle w:val="ListParagraph"/>
        <w:numPr>
          <w:ilvl w:val="0"/>
          <w:numId w:val="7"/>
        </w:numPr>
        <w:spacing w:after="60"/>
      </w:pPr>
      <w:r>
        <w:rPr>
          <w:rFonts w:ascii="Arial" w:cs="Arial" w:eastAsia="Arial" w:hAnsi="Arial"/>
          <w:sz w:val="22"/>
          <w:szCs w:val="22"/>
        </w:rPr>
        <w:t xml:space="preserve">Technique-focused only — no match analysis, no tactical insights</w:t>
      </w:r>
    </w:p>
    <w:p>
      <w:pPr>
        <w:pStyle w:val="ListParagraph"/>
        <w:numPr>
          <w:ilvl w:val="0"/>
          <w:numId w:val="7"/>
        </w:numPr>
        <w:spacing w:after="60"/>
      </w:pPr>
      <w:r>
        <w:rPr>
          <w:rFonts w:ascii="Arial" w:cs="Arial" w:eastAsia="Arial" w:hAnsi="Arial"/>
          <w:sz w:val="22"/>
          <w:szCs w:val="22"/>
        </w:rPr>
        <w:t xml:space="preserve">Comparison to pro swings is interesting but not actionable for recreational players</w:t>
      </w:r>
    </w:p>
    <w:p>
      <w:pPr>
        <w:pStyle w:val="ListParagraph"/>
        <w:numPr>
          <w:ilvl w:val="0"/>
          <w:numId w:val="7"/>
        </w:numPr>
        <w:spacing w:after="60"/>
      </w:pPr>
      <w:r>
        <w:rPr>
          <w:rFonts w:ascii="Arial" w:cs="Arial" w:eastAsia="Arial" w:hAnsi="Arial"/>
          <w:sz w:val="22"/>
          <w:szCs w:val="22"/>
        </w:rPr>
        <w:t xml:space="preserve">No serve placement, rally analysis, or match statistics</w:t>
      </w:r>
    </w:p>
    <w:p>
      <w:pPr>
        <w:pStyle w:val="ListParagraph"/>
        <w:numPr>
          <w:ilvl w:val="0"/>
          <w:numId w:val="7"/>
        </w:numPr>
        <w:spacing w:after="60"/>
      </w:pPr>
      <w:r>
        <w:rPr>
          <w:rFonts w:ascii="Arial" w:cs="Arial" w:eastAsia="Arial" w:hAnsi="Arial"/>
          <w:sz w:val="22"/>
          <w:szCs w:val="22"/>
        </w:rPr>
        <w:t xml:space="preserve">Limited to individual shot analysis, not full match context</w:t>
      </w:r>
    </w:p>
    <w:p>
      <w:pPr>
        <w:spacing w:after="120"/>
      </w:pPr>
    </w:p>
    <w:p>
      <w:pPr>
        <w:pBdr>
          <w:left w:val="single" w:color="C9A84C" w:sz="6" w:space="10"/>
        </w:pBdr>
        <w:spacing w:after="200"/>
        <w:ind w:left="720" w:right="720"/>
      </w:pPr>
      <w:r>
        <w:rPr>
          <w:rFonts w:ascii="Arial" w:cs="Arial" w:eastAsia="Arial" w:hAnsi="Arial"/>
          <w:i/>
          <w:iCs/>
          <w:sz w:val="22"/>
          <w:szCs w:val="22"/>
        </w:rPr>
        <w:t xml:space="preserve">Ten-Fifty5 advantage: Full match context, not just isolated swings. Tactical analysis (placement, patterns, rally dynamics) alongside technique. AI coaching that gives actionable drills, not just scores.</w:t>
      </w:r>
    </w:p>
    <w:p>
      <w:r>
        <w:br w:type="page"/>
      </w:r>
    </w:p>
    <w:p>
      <w:pPr>
        <w:pStyle w:val="Heading2"/>
      </w:pPr>
      <w:r>
        <w:t xml:space="preserve">3.5 SportAI</w:t>
      </w:r>
    </w:p>
    <w:p>
      <w:pPr>
        <w:spacing w:after="120"/>
      </w:pPr>
    </w:p>
    <w:p>
      <w:pPr>
        <w:spacing w:after="120"/>
      </w:pPr>
      <w:r>
        <w:rPr>
          <w:rFonts w:ascii="Arial" w:cs="Arial" w:eastAsia="Arial" w:hAnsi="Arial"/>
          <w:b/>
          <w:bCs/>
          <w:sz w:val="22"/>
          <w:szCs w:val="22"/>
        </w:rPr>
        <w:t xml:space="preserve">Positioning: </w:t>
      </w:r>
      <w:r>
        <w:rPr>
          <w:rFonts w:ascii="Arial" w:cs="Arial" w:eastAsia="Arial" w:hAnsi="Arial"/>
          <w:sz w:val="22"/>
          <w:szCs w:val="22"/>
        </w:rPr>
        <w:t xml:space="preserve">B2B tennis video analysis API and platform. Provides the underlying technology that other platforms and academies integrate. Not a direct consumer product in most markets.</w:t>
      </w:r>
    </w:p>
    <w:p>
      <w:pPr>
        <w:spacing w:after="120"/>
      </w:pP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B2B licensing. Per-video processing fees. Not publicly listed consumer pricing.</w:t>
      </w:r>
    </w:p>
    <w:p>
      <w:pPr>
        <w:spacing w:after="120"/>
      </w:pPr>
    </w:p>
    <w:p>
      <w:pPr>
        <w:spacing w:after="120"/>
      </w:pPr>
      <w:r>
        <w:rPr>
          <w:rFonts w:ascii="Arial" w:cs="Arial" w:eastAsia="Arial" w:hAnsi="Arial"/>
          <w:sz w:val="22"/>
          <w:szCs w:val="22"/>
        </w:rPr>
        <w:t xml:space="preserve">SportAI is relevant to Ten-Fifty5 as an infrastructure competitor and current technology partner (providing match analysis capabilities). The strategic consideration is long-term dependency and the potential for SportAI to increase pricing at contract renewal. Ten-Fifty5 is actively building its own T5 analysis pipeline (serve + rally) to reduce this dependency over the next 12 months.</w:t>
      </w:r>
    </w:p>
    <w:p>
      <w:pPr>
        <w:spacing w:after="120"/>
      </w:pPr>
    </w:p>
    <w:p>
      <w:pPr>
        <w:pBdr>
          <w:left w:val="single" w:color="C9A84C" w:sz="6" w:space="10"/>
        </w:pBdr>
        <w:spacing w:after="200"/>
        <w:ind w:left="720" w:right="720"/>
      </w:pPr>
      <w:r>
        <w:rPr>
          <w:rFonts w:ascii="Arial" w:cs="Arial" w:eastAsia="Arial" w:hAnsi="Arial"/>
          <w:i/>
          <w:iCs/>
          <w:sz w:val="22"/>
          <w:szCs w:val="22"/>
        </w:rPr>
        <w:t xml:space="preserve">Strategic note: The SportAI contract auto-renews at “materially same cost.” Build T5 serve + rally capabilities before the renewal window opens to negotiate from strength.</w:t>
      </w:r>
    </w:p>
    <w:p>
      <w:r>
        <w:br w:type="page"/>
      </w:r>
    </w:p>
    <w:p>
      <w:pPr>
        <w:pStyle w:val="Heading1"/>
      </w:pPr>
      <w:r>
        <w:t xml:space="preserve">4. Feature Comparison Matrix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3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Ten-Fifty5</w:t>
            </w:r>
          </w:p>
        </w:tc>
        <w:tc>
          <w:tcPr>
            <w:tcW w:type="dxa" w:w="143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SwingVision</w:t>
            </w:r>
          </w:p>
        </w:tc>
        <w:tc>
          <w:tcPr>
            <w:tcW w:type="dxa" w:w="143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ComStat</w:t>
            </w:r>
          </w:p>
        </w:tc>
        <w:tc>
          <w:tcPr>
            <w:tcW w:type="dxa" w:w="143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Dartfish</w:t>
            </w:r>
          </w:p>
        </w:tc>
        <w:tc>
          <w:tcPr>
            <w:tcW w:type="dxa" w:w="144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Tennis AI</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Video Source</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Any camera</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iPhone only</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Any camera</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Any camera</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Hardware Required</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iPhone+mount</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Multi-camera</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AI Match Analysis</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Basic stats</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AI+Manual</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Manual only</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 Analysis</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Heatmaps+speed</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Speed+depth</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tag</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Swing only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Rally Analysis</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Patterns+tactics</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Basic rally</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Shot class</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Annotation</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Coaching</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Personalised</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tips</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Swing compare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Historical Trends</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history</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Limited</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Session</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Development Plans</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Roadmap (coming)</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UTR Pathways</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Planned</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Coach Dashboard</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Consumer Pricing</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Free+PAYG/Sub</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$180/year</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$15-25/match</w:t>
            </w:r>
          </w:p>
        </w:tc>
        <w:tc>
          <w:tcPr>
            <w:tcW w:type="dxa" w:w="1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~$12/month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 Trial</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1st match free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free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r>
    </w:tbl>
    <w:p>
      <w:pPr>
        <w:spacing w:after="120"/>
      </w:pPr>
    </w:p>
    <w:p>
      <w:pPr>
        <w:spacing w:after="120"/>
      </w:pPr>
      <w:r>
        <w:rPr>
          <w:rFonts w:ascii="Arial" w:cs="Arial" w:eastAsia="Arial" w:hAnsi="Arial"/>
          <w:sz w:val="22"/>
          <w:szCs w:val="22"/>
        </w:rPr>
        <w:t xml:space="preserve">The matrix makes the white space clear: Ten-Fifty5 is the only platform combining any-camera input, AI-powered full match analysis, personalised coaching, longitudinal tracking, and consumer-friendly pricing in a single product.</w:t>
      </w:r>
    </w:p>
    <w:p>
      <w:r>
        <w:br w:type="page"/>
      </w:r>
    </w:p>
    <w:p>
      <w:pPr>
        <w:pStyle w:val="Heading1"/>
      </w:pPr>
      <w:r>
        <w:t xml:space="preserve">5. Value Proposition &amp; Messaging</w:t>
      </w:r>
    </w:p>
    <w:p>
      <w:pPr>
        <w:spacing w:after="120"/>
      </w:pPr>
    </w:p>
    <w:p>
      <w:pPr>
        <w:pStyle w:val="Heading2"/>
      </w:pPr>
      <w:r>
        <w:t xml:space="preserve">5.1 Headline</w:t>
      </w:r>
    </w:p>
    <w:p>
      <w:pPr>
        <w:spacing w:after="120"/>
      </w:pPr>
    </w:p>
    <w:p>
      <w:pPr>
        <w:spacing w:after="300"/>
        <w:jc w:val="center"/>
      </w:pPr>
      <w:r>
        <w:rPr>
          <w:rFonts w:ascii="Arial" w:cs="Arial" w:eastAsia="Arial" w:hAnsi="Arial"/>
          <w:b/>
          <w:bCs/>
          <w:color w:val="1A3C2A"/>
          <w:sz w:val="36"/>
          <w:szCs w:val="36"/>
        </w:rPr>
        <w:t xml:space="preserve">Turn Every Match Into a Competitive Advantage</w:t>
      </w:r>
    </w:p>
    <w:p>
      <w:pPr>
        <w:spacing w:after="120"/>
      </w:pPr>
    </w:p>
    <w:p>
      <w:pPr>
        <w:pStyle w:val="Heading2"/>
      </w:pPr>
      <w:r>
        <w:t xml:space="preserve">5.2 Pain Points Mapped to Solutions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Customer Pain Point</w:t>
            </w:r>
          </w:p>
        </w:tc>
        <w:tc>
          <w:tcPr>
            <w:tcW w:type="dxa" w:w="468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Ten-Fifty5 Solution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 don’t know what I’m doing wrong in matches"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analyses every serve, rally, and pattern — showing you exactly where points are won and lost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coach gives advice but I forget it by next week"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AI coaching with written feedback, drills, and a development plan based on YOUR data</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 feel like I’m improving but I can’t prove it"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Longitudinal tracking across every match — see your serve %, rally win rate, and patterns trend over months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tools require expensive hardware or a specific phone"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footage from any camera or phone. No mounts, no special hardware, no restrictions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 don’t know what to practice to actually win more matches"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generates personalised training plans targeting the specific weaknesses costing you the most points</w:t>
            </w:r>
          </w:p>
        </w:tc>
      </w:tr>
    </w:tbl>
    <w:p>
      <w:pPr>
        <w:spacing w:after="120"/>
      </w:pPr>
    </w:p>
    <w:p>
      <w:pPr>
        <w:pStyle w:val="Heading2"/>
      </w:pPr>
      <w:r>
        <w:t xml:space="preserve">5.3 Key Messaging Pillars</w:t>
      </w:r>
    </w:p>
    <w:p>
      <w:pPr>
        <w:spacing w:after="120"/>
      </w:pPr>
    </w:p>
    <w:p>
      <w:pPr>
        <w:pStyle w:val="ListParagraph"/>
        <w:numPr>
          <w:ilvl w:val="0"/>
          <w:numId w:val="8"/>
        </w:numPr>
        <w:spacing w:after="60"/>
      </w:pPr>
      <w:r>
        <w:rPr>
          <w:rFonts w:ascii="Arial" w:cs="Arial" w:eastAsia="Arial" w:hAnsi="Arial"/>
          <w:b/>
          <w:bCs/>
          <w:sz w:val="22"/>
          <w:szCs w:val="22"/>
        </w:rPr>
        <w:t xml:space="preserve">ATP-Level Data, Club-Level Price: </w:t>
      </w:r>
      <w:r>
        <w:rPr>
          <w:rFonts w:ascii="Arial" w:cs="Arial" w:eastAsia="Arial" w:hAnsi="Arial"/>
          <w:sz w:val="22"/>
          <w:szCs w:val="22"/>
        </w:rPr>
        <w:t xml:space="preserve">The statistics and insights that professional players get from Hawk-Eye, now accessible to every competitive player.</w:t>
      </w:r>
    </w:p>
    <w:p>
      <w:pPr>
        <w:pStyle w:val="ListParagraph"/>
        <w:numPr>
          <w:ilvl w:val="0"/>
          <w:numId w:val="8"/>
        </w:numPr>
        <w:spacing w:after="60"/>
      </w:pPr>
      <w:r>
        <w:rPr>
          <w:rFonts w:ascii="Arial" w:cs="Arial" w:eastAsia="Arial" w:hAnsi="Arial"/>
          <w:b/>
          <w:bCs/>
          <w:sz w:val="22"/>
          <w:szCs w:val="22"/>
        </w:rPr>
        <w:t xml:space="preserve">Your AI Coach Never Forgets: </w:t>
      </w:r>
      <w:r>
        <w:rPr>
          <w:rFonts w:ascii="Arial" w:cs="Arial" w:eastAsia="Arial" w:hAnsi="Arial"/>
          <w:sz w:val="22"/>
          <w:szCs w:val="22"/>
        </w:rPr>
        <w:t xml:space="preserve">Unlike human coaching, the AI remembers every match, every pattern, every weakness — and tracks whether you’re actually improving.</w:t>
      </w:r>
    </w:p>
    <w:p>
      <w:pPr>
        <w:pStyle w:val="ListParagraph"/>
        <w:numPr>
          <w:ilvl w:val="0"/>
          <w:numId w:val="8"/>
        </w:numPr>
        <w:spacing w:after="60"/>
      </w:pPr>
      <w:r>
        <w:rPr>
          <w:rFonts w:ascii="Arial" w:cs="Arial" w:eastAsia="Arial" w:hAnsi="Arial"/>
          <w:b/>
          <w:bCs/>
          <w:sz w:val="22"/>
          <w:szCs w:val="22"/>
        </w:rPr>
        <w:t xml:space="preserve">Any Camera. Any Court. Any Level: </w:t>
      </w:r>
      <w:r>
        <w:rPr>
          <w:rFonts w:ascii="Arial" w:cs="Arial" w:eastAsia="Arial" w:hAnsi="Arial"/>
          <w:sz w:val="22"/>
          <w:szCs w:val="22"/>
        </w:rPr>
        <w:t xml:space="preserve">No proprietary hardware. No iPhone requirement. Record on whatever you have and get professional-grade analysis.</w:t>
      </w:r>
    </w:p>
    <w:p>
      <w:pPr>
        <w:pStyle w:val="ListParagraph"/>
        <w:numPr>
          <w:ilvl w:val="0"/>
          <w:numId w:val="8"/>
        </w:numPr>
        <w:spacing w:after="60"/>
      </w:pPr>
      <w:r>
        <w:rPr>
          <w:rFonts w:ascii="Arial" w:cs="Arial" w:eastAsia="Arial" w:hAnsi="Arial"/>
          <w:b/>
          <w:bCs/>
          <w:sz w:val="22"/>
          <w:szCs w:val="22"/>
        </w:rPr>
        <w:t xml:space="preserve">From Data to Development: </w:t>
      </w:r>
      <w:r>
        <w:rPr>
          <w:rFonts w:ascii="Arial" w:cs="Arial" w:eastAsia="Arial" w:hAnsi="Arial"/>
          <w:sz w:val="22"/>
          <w:szCs w:val="22"/>
        </w:rPr>
        <w:t xml:space="preserve">Ten-Fifty5 doesn’t just show you stats — it tells you what to do next. Personalised drills and training plans that target what matters most for YOUR game.</w:t>
      </w:r>
    </w:p>
    <w:p>
      <w:pPr>
        <w:pStyle w:val="ListParagraph"/>
        <w:numPr>
          <w:ilvl w:val="0"/>
          <w:numId w:val="8"/>
        </w:numPr>
        <w:spacing w:after="60"/>
      </w:pPr>
      <w:r>
        <w:rPr>
          <w:rFonts w:ascii="Arial" w:cs="Arial" w:eastAsia="Arial" w:hAnsi="Arial"/>
          <w:b/>
          <w:bCs/>
          <w:sz w:val="22"/>
          <w:szCs w:val="22"/>
        </w:rPr>
        <w:t xml:space="preserve">The Long Game: </w:t>
      </w:r>
      <w:r>
        <w:rPr>
          <w:rFonts w:ascii="Arial" w:cs="Arial" w:eastAsia="Arial" w:hAnsi="Arial"/>
          <w:sz w:val="22"/>
          <w:szCs w:val="22"/>
        </w:rPr>
        <w:t xml:space="preserve">Track your journey across seasons. See how you compare to peers at your level. Understand what it takes to move from UTR 5 to UTR 7.</w:t>
      </w:r>
    </w:p>
    <w:p>
      <w:r>
        <w:br w:type="page"/>
      </w:r>
    </w:p>
    <w:p>
      <w:pPr>
        <w:pStyle w:val="Heading1"/>
      </w:pPr>
      <w:r>
        <w:t xml:space="preserve">6. Pricing Strategy</w:t>
      </w:r>
    </w:p>
    <w:p>
      <w:pPr>
        <w:spacing w:after="120"/>
      </w:pPr>
    </w:p>
    <w:p>
      <w:pPr>
        <w:pStyle w:val="Heading2"/>
      </w:pPr>
      <w:r>
        <w:t xml:space="preserve">6.1 Pricing Principles</w:t>
      </w:r>
    </w:p>
    <w:p>
      <w:pPr>
        <w:spacing w:after="120"/>
      </w:pPr>
    </w:p>
    <w:p>
      <w:pPr>
        <w:pStyle w:val="ListParagraph"/>
        <w:numPr>
          <w:ilvl w:val="0"/>
          <w:numId w:val="9"/>
        </w:numPr>
        <w:spacing w:after="60"/>
      </w:pPr>
      <w:r>
        <w:rPr>
          <w:rFonts w:ascii="Arial" w:cs="Arial" w:eastAsia="Arial" w:hAnsi="Arial"/>
          <w:sz w:val="22"/>
          <w:szCs w:val="22"/>
        </w:rPr>
        <w:t xml:space="preserve">The free first match is non-negotiable as an acquisition hook. Full analysis, full AI feedback, no credit card. Let the product sell itself.</w:t>
      </w:r>
    </w:p>
    <w:p>
      <w:pPr>
        <w:pStyle w:val="ListParagraph"/>
        <w:numPr>
          <w:ilvl w:val="0"/>
          <w:numId w:val="9"/>
        </w:numPr>
        <w:spacing w:after="60"/>
      </w:pPr>
      <w:r>
        <w:rPr>
          <w:rFonts w:ascii="Arial" w:cs="Arial" w:eastAsia="Arial" w:hAnsi="Arial"/>
          <w:sz w:val="22"/>
          <w:szCs w:val="22"/>
        </w:rPr>
        <w:t xml:space="preserve">Price below SwingVision ($180/year) to capture the value-conscious segment while maintaining premium positioning through quality.</w:t>
      </w:r>
    </w:p>
    <w:p>
      <w:pPr>
        <w:pStyle w:val="ListParagraph"/>
        <w:numPr>
          <w:ilvl w:val="0"/>
          <w:numId w:val="9"/>
        </w:numPr>
        <w:spacing w:after="60"/>
      </w:pPr>
      <w:r>
        <w:rPr>
          <w:rFonts w:ascii="Arial" w:cs="Arial" w:eastAsia="Arial" w:hAnsi="Arial"/>
          <w:sz w:val="22"/>
          <w:szCs w:val="22"/>
        </w:rPr>
        <w:t xml:space="preserve">PAYG option is essential for casual players who play infrequently — they should never feel they’re paying for something they’re not using.</w:t>
      </w:r>
    </w:p>
    <w:p>
      <w:pPr>
        <w:pStyle w:val="ListParagraph"/>
        <w:numPr>
          <w:ilvl w:val="0"/>
          <w:numId w:val="9"/>
        </w:numPr>
        <w:spacing w:after="60"/>
      </w:pPr>
      <w:r>
        <w:rPr>
          <w:rFonts w:ascii="Arial" w:cs="Arial" w:eastAsia="Arial" w:hAnsi="Arial"/>
          <w:sz w:val="22"/>
          <w:szCs w:val="22"/>
        </w:rPr>
        <w:t xml:space="preserve">Monthly subscriptions for regular players with sufficient credits that they never feel constrained.</w:t>
      </w:r>
    </w:p>
    <w:p>
      <w:pPr>
        <w:pStyle w:val="ListParagraph"/>
        <w:numPr>
          <w:ilvl w:val="0"/>
          <w:numId w:val="9"/>
        </w:numPr>
        <w:spacing w:after="60"/>
      </w:pPr>
      <w:r>
        <w:rPr>
          <w:rFonts w:ascii="Arial" w:cs="Arial" w:eastAsia="Arial" w:hAnsi="Arial"/>
          <w:sz w:val="22"/>
          <w:szCs w:val="22"/>
        </w:rPr>
        <w:t xml:space="preserve">Coach pricing should be separate and reflect the B2B2C value (one coach = many players).</w:t>
      </w:r>
    </w:p>
    <w:p>
      <w:pPr>
        <w:spacing w:after="120"/>
      </w:pPr>
    </w:p>
    <w:p>
      <w:pPr>
        <w:pStyle w:val="Heading2"/>
      </w:pPr>
      <w:r>
        <w:t xml:space="preserve">6.2 Pricing Tiers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1860"/>
        <w:gridCol w:w="2000"/>
      </w:tblGrid>
      <w:tr>
        <w:tc>
          <w:tcPr>
            <w:tcW w:type="dxa" w:w="200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186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AI Coach</w:t>
            </w:r>
          </w:p>
        </w:tc>
        <w:tc>
          <w:tcPr>
            <w:tcW w:type="dxa" w:w="200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History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Trial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match</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access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Session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 As You 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purchase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history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Monthly Starter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$X/month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 matches/month</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access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Pro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 matches/month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drills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trends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Coach Plan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$X/month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Student quota</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Coach dashboard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students</w:t>
            </w:r>
          </w:p>
        </w:tc>
      </w:tr>
    </w:tbl>
    <w:p>
      <w:pPr>
        <w:spacing w:after="120"/>
      </w:pPr>
    </w:p>
    <w:p>
      <w:pPr>
        <w:spacing w:after="120"/>
      </w:pPr>
      <w:r>
        <w:rPr>
          <w:rFonts w:ascii="Arial" w:cs="Arial" w:eastAsia="Arial" w:hAnsi="Arial"/>
          <w:sz w:val="22"/>
          <w:szCs w:val="22"/>
        </w:rPr>
        <w:t xml:space="preserve">Note: Specific price points marked as $X should be set based on local market testing. The competitive benchmark is SwingVision at $15/month — position below this for monthly plans to capture switching behaviour.</w:t>
      </w:r>
    </w:p>
    <w:p>
      <w:pPr>
        <w:spacing w:after="120"/>
      </w:pPr>
    </w:p>
    <w:p>
      <w:pPr>
        <w:pStyle w:val="Heading2"/>
      </w:pPr>
      <w:r>
        <w:t xml:space="preserve">6.3 Entitlement &amp; Billing Rules</w:t>
      </w:r>
    </w:p>
    <w:p>
      <w:pPr>
        <w:spacing w:after="120"/>
      </w:pPr>
    </w:p>
    <w:p>
      <w:pPr>
        <w:pStyle w:val="ListParagraph"/>
        <w:numPr>
          <w:ilvl w:val="0"/>
          <w:numId w:val="10"/>
        </w:numPr>
        <w:spacing w:after="60"/>
      </w:pPr>
      <w:r>
        <w:rPr>
          <w:rFonts w:ascii="Arial" w:cs="Arial" w:eastAsia="Arial" w:hAnsi="Arial"/>
          <w:sz w:val="22"/>
          <w:szCs w:val="22"/>
        </w:rPr>
        <w:t xml:space="preserve">Active subscription + credits remaining &gt; 0: Redirect to dashboard. Block repurchase.</w:t>
      </w:r>
    </w:p>
    <w:p>
      <w:pPr>
        <w:pStyle w:val="ListParagraph"/>
        <w:numPr>
          <w:ilvl w:val="0"/>
          <w:numId w:val="10"/>
        </w:numPr>
        <w:spacing w:after="60"/>
      </w:pPr>
      <w:r>
        <w:rPr>
          <w:rFonts w:ascii="Arial" w:cs="Arial" w:eastAsia="Arial" w:hAnsi="Arial"/>
          <w:sz w:val="22"/>
          <w:szCs w:val="22"/>
        </w:rPr>
        <w:t xml:space="preserve">Active subscription + credits = 0: Show top-up panel ONLY. Cannot switch plan mid-cycle.</w:t>
      </w:r>
    </w:p>
    <w:p>
      <w:pPr>
        <w:pStyle w:val="ListParagraph"/>
        <w:numPr>
          <w:ilvl w:val="0"/>
          <w:numId w:val="10"/>
        </w:numPr>
        <w:spacing w:after="60"/>
      </w:pPr>
      <w:r>
        <w:rPr>
          <w:rFonts w:ascii="Arial" w:cs="Arial" w:eastAsia="Arial" w:hAnsi="Arial"/>
          <w:sz w:val="22"/>
          <w:szCs w:val="22"/>
        </w:rPr>
        <w:t xml:space="preserve">No active subscription: Show full plan selection.</w:t>
      </w:r>
    </w:p>
    <w:p>
      <w:pPr>
        <w:pStyle w:val="ListParagraph"/>
        <w:numPr>
          <w:ilvl w:val="0"/>
          <w:numId w:val="10"/>
        </w:numPr>
        <w:spacing w:after="60"/>
      </w:pPr>
      <w:r>
        <w:rPr>
          <w:rFonts w:ascii="Arial" w:cs="Arial" w:eastAsia="Arial" w:hAnsi="Arial"/>
          <w:sz w:val="22"/>
          <w:szCs w:val="22"/>
        </w:rPr>
        <w:t xml:space="preserve">PAYG-to-monthly conversion nudge: After 3rd PAYG purchase, show message “You’d save X% with a monthly plan.”</w:t>
      </w:r>
    </w:p>
    <w:p>
      <w:pPr>
        <w:pStyle w:val="ListParagraph"/>
        <w:numPr>
          <w:ilvl w:val="0"/>
          <w:numId w:val="10"/>
        </w:numPr>
        <w:spacing w:after="60"/>
      </w:pPr>
      <w:r>
        <w:rPr>
          <w:rFonts w:ascii="Arial" w:cs="Arial" w:eastAsia="Arial" w:hAnsi="Arial"/>
          <w:sz w:val="22"/>
          <w:szCs w:val="22"/>
        </w:rPr>
        <w:t xml:space="preserve">Coach: Active + paid_active = true: Redirect to dashboard. Otherwise show coach plans.</w:t>
      </w:r>
    </w:p>
    <w:p>
      <w:pPr>
        <w:pStyle w:val="ListParagraph"/>
        <w:numPr>
          <w:ilvl w:val="0"/>
          <w:numId w:val="10"/>
        </w:numPr>
        <w:spacing w:after="60"/>
      </w:pPr>
      <w:r>
        <w:rPr>
          <w:rFonts w:ascii="Arial" w:cs="Arial" w:eastAsia="Arial" w:hAnsi="Arial"/>
          <w:sz w:val="22"/>
          <w:szCs w:val="22"/>
        </w:rPr>
        <w:t xml:space="preserve">Fail closed on all errors: if entitlements unavailable, account inactive, or role unknown — show nothing and display support contact.</w:t>
      </w:r>
    </w:p>
    <w:p>
      <w:r>
        <w:br w:type="page"/>
      </w:r>
    </w:p>
    <w:p>
      <w:pPr>
        <w:pStyle w:val="Heading1"/>
      </w:pPr>
      <w:r>
        <w:t xml:space="preserve">7. Free Trial &amp; Conversion Strategy</w:t>
      </w:r>
    </w:p>
    <w:p>
      <w:pPr>
        <w:spacing w:after="120"/>
      </w:pPr>
    </w:p>
    <w:p>
      <w:pPr>
        <w:spacing w:after="120"/>
      </w:pPr>
      <w:r>
        <w:rPr>
          <w:rFonts w:ascii="Arial" w:cs="Arial" w:eastAsia="Arial" w:hAnsi="Arial"/>
          <w:sz w:val="22"/>
          <w:szCs w:val="22"/>
        </w:rPr>
        <w:t xml:space="preserve">The free first match analysis is the single most important acquisition mechanism. It must deliver the full product experience — not a watered-down version. The goal is to create a “wow” moment where the player sees their game in data for the first time and immediately understands the value.</w:t>
      </w:r>
    </w:p>
    <w:p>
      <w:pPr>
        <w:spacing w:after="120"/>
      </w:pPr>
    </w:p>
    <w:p>
      <w:pPr>
        <w:pStyle w:val="Heading2"/>
      </w:pPr>
      <w:r>
        <w:t xml:space="preserve">7.1 What the Free Trial Includes</w:t>
      </w:r>
    </w:p>
    <w:p>
      <w:pPr>
        <w:spacing w:after="120"/>
      </w:pPr>
    </w:p>
    <w:p>
      <w:pPr>
        <w:pStyle w:val="ListParagraph"/>
        <w:numPr>
          <w:ilvl w:val="0"/>
          <w:numId w:val="11"/>
        </w:numPr>
        <w:spacing w:after="60"/>
      </w:pPr>
      <w:r>
        <w:rPr>
          <w:rFonts w:ascii="Arial" w:cs="Arial" w:eastAsia="Arial" w:hAnsi="Arial"/>
          <w:sz w:val="22"/>
          <w:szCs w:val="22"/>
        </w:rPr>
        <w:t xml:space="preserve">One full match or practice session analysis</w:t>
      </w:r>
    </w:p>
    <w:p>
      <w:pPr>
        <w:pStyle w:val="ListParagraph"/>
        <w:numPr>
          <w:ilvl w:val="0"/>
          <w:numId w:val="11"/>
        </w:numPr>
        <w:spacing w:after="60"/>
      </w:pPr>
      <w:r>
        <w:rPr>
          <w:rFonts w:ascii="Arial" w:cs="Arial" w:eastAsia="Arial" w:hAnsi="Arial"/>
          <w:sz w:val="22"/>
          <w:szCs w:val="22"/>
        </w:rPr>
        <w:t xml:space="preserve">Complete serve placement heatmap and speed data</w:t>
      </w:r>
    </w:p>
    <w:p>
      <w:pPr>
        <w:pStyle w:val="ListParagraph"/>
        <w:numPr>
          <w:ilvl w:val="0"/>
          <w:numId w:val="11"/>
        </w:numPr>
        <w:spacing w:after="60"/>
      </w:pPr>
      <w:r>
        <w:rPr>
          <w:rFonts w:ascii="Arial" w:cs="Arial" w:eastAsia="Arial" w:hAnsi="Arial"/>
          <w:sz w:val="22"/>
          <w:szCs w:val="22"/>
        </w:rPr>
        <w:t xml:space="preserve">Full rally pattern analysis</w:t>
      </w:r>
    </w:p>
    <w:p>
      <w:pPr>
        <w:pStyle w:val="ListParagraph"/>
        <w:numPr>
          <w:ilvl w:val="0"/>
          <w:numId w:val="11"/>
        </w:numPr>
        <w:spacing w:after="60"/>
      </w:pPr>
      <w:r>
        <w:rPr>
          <w:rFonts w:ascii="Arial" w:cs="Arial" w:eastAsia="Arial" w:hAnsi="Arial"/>
          <w:sz w:val="22"/>
          <w:szCs w:val="22"/>
        </w:rPr>
        <w:t xml:space="preserve">AI Coach feedback with specific observations</w:t>
      </w:r>
    </w:p>
    <w:p>
      <w:pPr>
        <w:pStyle w:val="ListParagraph"/>
        <w:numPr>
          <w:ilvl w:val="0"/>
          <w:numId w:val="11"/>
        </w:numPr>
        <w:spacing w:after="60"/>
      </w:pPr>
      <w:r>
        <w:rPr>
          <w:rFonts w:ascii="Arial" w:cs="Arial" w:eastAsia="Arial" w:hAnsi="Arial"/>
          <w:sz w:val="22"/>
          <w:szCs w:val="22"/>
        </w:rPr>
        <w:t xml:space="preserve">One set of personalised drill recommendations</w:t>
      </w:r>
    </w:p>
    <w:p>
      <w:pPr>
        <w:spacing w:after="120"/>
      </w:pPr>
    </w:p>
    <w:p>
      <w:pPr>
        <w:pStyle w:val="Heading2"/>
      </w:pPr>
      <w:r>
        <w:t xml:space="preserve">7.2 What It Does NOT Include</w:t>
      </w:r>
    </w:p>
    <w:p>
      <w:pPr>
        <w:spacing w:after="120"/>
      </w:pPr>
    </w:p>
    <w:p>
      <w:pPr>
        <w:spacing w:after="120"/>
      </w:pPr>
      <w:r>
        <w:rPr>
          <w:rFonts w:ascii="Arial" w:cs="Arial" w:eastAsia="Arial" w:hAnsi="Arial"/>
          <w:sz w:val="22"/>
          <w:szCs w:val="22"/>
        </w:rPr>
        <w:t xml:space="preserve">Historical trend tracking (requires multiple sessions), development roadmap, peer comparison, and coach sharing are reserved for paid tiers. The free analysis is a complete snapshot but the value of the platform compounds with repeated use — that’s the conversion lever.</w:t>
      </w:r>
    </w:p>
    <w:p>
      <w:pPr>
        <w:spacing w:after="120"/>
      </w:pPr>
    </w:p>
    <w:p>
      <w:pPr>
        <w:pStyle w:val="Heading2"/>
      </w:pPr>
      <w:r>
        <w:t xml:space="preserve">7.3 Conversion Triggers</w:t>
      </w:r>
    </w:p>
    <w:p>
      <w:pPr>
        <w:spacing w:after="120"/>
      </w:pPr>
    </w:p>
    <w:p>
      <w:pPr>
        <w:spacing w:after="120"/>
      </w:pPr>
      <w:r>
        <w:rPr>
          <w:rFonts w:ascii="Arial" w:cs="Arial" w:eastAsia="Arial" w:hAnsi="Arial"/>
          <w:b/>
          <w:bCs/>
          <w:sz w:val="22"/>
          <w:szCs w:val="22"/>
        </w:rPr>
        <w:t xml:space="preserve">In-app: </w:t>
      </w:r>
      <w:r>
        <w:rPr>
          <w:rFonts w:ascii="Arial" w:cs="Arial" w:eastAsia="Arial" w:hAnsi="Arial"/>
          <w:sz w:val="22"/>
          <w:szCs w:val="22"/>
        </w:rPr>
        <w:t xml:space="preserve">After the free analysis is delivered, show: “Want to see how this compares to your next match? Subscribe to track your progress over time.”</w:t>
      </w:r>
    </w:p>
    <w:p>
      <w:pPr>
        <w:spacing w:after="120"/>
      </w:pPr>
    </w:p>
    <w:p>
      <w:pPr>
        <w:spacing w:after="120"/>
      </w:pPr>
      <w:r>
        <w:rPr>
          <w:rFonts w:ascii="Arial" w:cs="Arial" w:eastAsia="Arial" w:hAnsi="Arial"/>
          <w:b/>
          <w:bCs/>
          <w:sz w:val="22"/>
          <w:szCs w:val="22"/>
        </w:rPr>
        <w:t xml:space="preserve">Email: </w:t>
      </w:r>
      <w:r>
        <w:rPr>
          <w:rFonts w:ascii="Arial" w:cs="Arial" w:eastAsia="Arial" w:hAnsi="Arial"/>
          <w:sz w:val="22"/>
          <w:szCs w:val="22"/>
        </w:rPr>
        <w:t xml:space="preserve">Send a follow-up email 3 days after the free analysis with a summary of key findings and a CTA: “Your serve lands in the same zone 73% of the time. Want to see if your next practice changes that?”</w:t>
      </w:r>
    </w:p>
    <w:p>
      <w:pPr>
        <w:spacing w:after="120"/>
      </w:pPr>
    </w:p>
    <w:p>
      <w:pPr>
        <w:spacing w:after="120"/>
      </w:pPr>
      <w:r>
        <w:rPr>
          <w:rFonts w:ascii="Arial" w:cs="Arial" w:eastAsia="Arial" w:hAnsi="Arial"/>
          <w:b/>
          <w:bCs/>
          <w:sz w:val="22"/>
          <w:szCs w:val="22"/>
        </w:rPr>
        <w:t xml:space="preserve">Re-engagement: </w:t>
      </w:r>
      <w:r>
        <w:rPr>
          <w:rFonts w:ascii="Arial" w:cs="Arial" w:eastAsia="Arial" w:hAnsi="Arial"/>
          <w:sz w:val="22"/>
          <w:szCs w:val="22"/>
        </w:rPr>
        <w:t xml:space="preserve">If no conversion after 7 days, send a “what your data told us” email highlighting one striking insight with a CTA to analyse another session.</w:t>
      </w:r>
    </w:p>
    <w:p>
      <w:r>
        <w:br w:type="page"/>
      </w:r>
    </w:p>
    <w:p>
      <w:pPr>
        <w:pStyle w:val="Heading1"/>
      </w:pPr>
      <w:r>
        <w:t xml:space="preserve">8. Home Page Design Brief</w:t>
      </w:r>
    </w:p>
    <w:p>
      <w:pPr>
        <w:spacing w:after="120"/>
      </w:pPr>
    </w:p>
    <w:p>
      <w:pPr>
        <w:spacing w:after="120"/>
      </w:pPr>
      <w:r>
        <w:rPr>
          <w:rFonts w:ascii="Arial" w:cs="Arial" w:eastAsia="Arial" w:hAnsi="Arial"/>
          <w:sz w:val="22"/>
          <w:szCs w:val="22"/>
        </w:rPr>
        <w:t xml:space="preserve">The home page has one job: convert visitors into free sign-ups. Every section supports this goal. The page should be long-form (11 sections) with a clear narrative arc that builds desire and removes objections.</w:t>
      </w:r>
    </w:p>
    <w:p>
      <w:pPr>
        <w:spacing w:after="120"/>
      </w:pPr>
    </w:p>
    <w:p>
      <w:pPr>
        <w:pStyle w:val="Heading2"/>
      </w:pPr>
      <w:r>
        <w:t xml:space="preserve">8.1 Section-by-Section Layout</w:t>
      </w:r>
    </w:p>
    <w:p>
      <w:pPr>
        <w:spacing w:after="120"/>
      </w:pPr>
    </w:p>
    <w:p>
      <w:pPr>
        <w:spacing w:after="80"/>
      </w:pPr>
      <w:r>
        <w:rPr>
          <w:rFonts w:ascii="Arial" w:cs="Arial" w:eastAsia="Arial" w:hAnsi="Arial"/>
          <w:b/>
          <w:bCs/>
          <w:color w:val="C9A84C"/>
          <w:sz w:val="22"/>
          <w:szCs w:val="22"/>
        </w:rPr>
        <w:t xml:space="preserve">Section 1: Hero</w:t>
      </w:r>
    </w:p>
    <w:p>
      <w:pPr>
        <w:spacing w:after="120"/>
      </w:pPr>
      <w:r>
        <w:rPr>
          <w:rFonts w:ascii="Arial" w:cs="Arial" w:eastAsia="Arial" w:hAnsi="Arial"/>
          <w:sz w:val="22"/>
          <w:szCs w:val="22"/>
        </w:rPr>
        <w:t xml:space="preserve">Full-width dark background. Headline: “Turn Every Match Into a Competitive Advantage.” Sub-headline: “AI-powered tennis analytics that reveals what your game really looks like — and tells you exactly how to improve.” Primary CTA button in gold: “Analyse My First Match Free.” Background: subtle tennis court lines or data visualization pattern.</w:t>
      </w:r>
    </w:p>
    <w:p>
      <w:pPr>
        <w:spacing w:after="120"/>
      </w:pPr>
    </w:p>
    <w:p>
      <w:pPr>
        <w:spacing w:after="80"/>
      </w:pPr>
      <w:r>
        <w:rPr>
          <w:rFonts w:ascii="Arial" w:cs="Arial" w:eastAsia="Arial" w:hAnsi="Arial"/>
          <w:b/>
          <w:bCs/>
          <w:color w:val="C9A84C"/>
          <w:sz w:val="22"/>
          <w:szCs w:val="22"/>
        </w:rPr>
        <w:t xml:space="preserve">Section 2: Social Proof Bar</w:t>
      </w:r>
    </w:p>
    <w:p>
      <w:pPr>
        <w:spacing w:after="120"/>
      </w:pPr>
      <w:r>
        <w:rPr>
          <w:rFonts w:ascii="Arial" w:cs="Arial" w:eastAsia="Arial" w:hAnsi="Arial"/>
          <w:sz w:val="22"/>
          <w:szCs w:val="22"/>
        </w:rPr>
        <w:t xml:space="preserve">Thin strip showing key credibility indicators. “Trusted by X players” / “Y matches analysed” / press logos if available. Keep it subtle and factual.</w:t>
      </w:r>
    </w:p>
    <w:p>
      <w:pPr>
        <w:spacing w:after="120"/>
      </w:pPr>
    </w:p>
    <w:p>
      <w:pPr>
        <w:spacing w:after="80"/>
      </w:pPr>
      <w:r>
        <w:rPr>
          <w:rFonts w:ascii="Arial" w:cs="Arial" w:eastAsia="Arial" w:hAnsi="Arial"/>
          <w:b/>
          <w:bCs/>
          <w:color w:val="C9A84C"/>
          <w:sz w:val="22"/>
          <w:szCs w:val="22"/>
        </w:rPr>
        <w:t xml:space="preserve">Section 3: The Problem</w:t>
      </w:r>
    </w:p>
    <w:p>
      <w:pPr>
        <w:spacing w:after="120"/>
      </w:pPr>
      <w:r>
        <w:rPr>
          <w:rFonts w:ascii="Arial" w:cs="Arial" w:eastAsia="Arial" w:hAnsi="Arial"/>
          <w:sz w:val="22"/>
          <w:szCs w:val="22"/>
        </w:rPr>
        <w:t xml:space="preserve">Two-column layout. Left: headline “You’re playing blind.” Body copy addressing the core pain: you don’t know where your serve lands, why you lose rally points, or whether you’re actually improving. Right: a dark, blurred image of a tennis court — visual metaphor for playing without data.</w:t>
      </w:r>
    </w:p>
    <w:p>
      <w:pPr>
        <w:spacing w:after="120"/>
      </w:pPr>
    </w:p>
    <w:p>
      <w:pPr>
        <w:spacing w:after="80"/>
      </w:pPr>
      <w:r>
        <w:rPr>
          <w:rFonts w:ascii="Arial" w:cs="Arial" w:eastAsia="Arial" w:hAnsi="Arial"/>
          <w:b/>
          <w:bCs/>
          <w:color w:val="C9A84C"/>
          <w:sz w:val="22"/>
          <w:szCs w:val="22"/>
        </w:rPr>
        <w:t xml:space="preserve">Section 4: The Solution</w:t>
      </w:r>
    </w:p>
    <w:p>
      <w:pPr>
        <w:spacing w:after="120"/>
      </w:pPr>
      <w:r>
        <w:rPr>
          <w:rFonts w:ascii="Arial" w:cs="Arial" w:eastAsia="Arial" w:hAnsi="Arial"/>
          <w:sz w:val="22"/>
          <w:szCs w:val="22"/>
        </w:rPr>
        <w:t xml:space="preserve">Mirrored layout. Left: bright, sharp product screenshot showing the analytics dashboard with heatmaps and data. Right: headline “We turn the lights on.” Body copy: upload any footage, get ATP-level analytics, receive personalised coaching.</w:t>
      </w:r>
    </w:p>
    <w:p>
      <w:pPr>
        <w:spacing w:after="120"/>
      </w:pPr>
    </w:p>
    <w:p>
      <w:pPr>
        <w:spacing w:after="80"/>
      </w:pPr>
      <w:r>
        <w:rPr>
          <w:rFonts w:ascii="Arial" w:cs="Arial" w:eastAsia="Arial" w:hAnsi="Arial"/>
          <w:b/>
          <w:bCs/>
          <w:color w:val="C9A84C"/>
          <w:sz w:val="22"/>
          <w:szCs w:val="22"/>
        </w:rPr>
        <w:t xml:space="preserve">Section 5: How It Works</w:t>
      </w:r>
    </w:p>
    <w:p>
      <w:pPr>
        <w:spacing w:after="120"/>
      </w:pPr>
      <w:r>
        <w:rPr>
          <w:rFonts w:ascii="Arial" w:cs="Arial" w:eastAsia="Arial" w:hAnsi="Arial"/>
          <w:sz w:val="22"/>
          <w:szCs w:val="22"/>
        </w:rPr>
        <w:t xml:space="preserve">Three-step visual: 1) Record your match (any camera icon), 2) Upload to Ten-Fifty5 (upload icon), 3) Get your analysis and coaching (data/chart icon). Each step has a one-sentence description. Clean, minimal, no friction messaging.</w:t>
      </w:r>
    </w:p>
    <w:p>
      <w:pPr>
        <w:spacing w:after="120"/>
      </w:pPr>
    </w:p>
    <w:p>
      <w:pPr>
        <w:spacing w:after="80"/>
      </w:pPr>
      <w:r>
        <w:rPr>
          <w:rFonts w:ascii="Arial" w:cs="Arial" w:eastAsia="Arial" w:hAnsi="Arial"/>
          <w:b/>
          <w:bCs/>
          <w:color w:val="C9A84C"/>
          <w:sz w:val="22"/>
          <w:szCs w:val="22"/>
        </w:rPr>
        <w:t xml:space="preserve">Section 6: Feature Deep-Dives</w:t>
      </w:r>
    </w:p>
    <w:p>
      <w:pPr>
        <w:spacing w:after="120"/>
      </w:pPr>
      <w:r>
        <w:rPr>
          <w:rFonts w:ascii="Arial" w:cs="Arial" w:eastAsia="Arial" w:hAnsi="Arial"/>
          <w:sz w:val="22"/>
          <w:szCs w:val="22"/>
        </w:rPr>
        <w:t xml:space="preserve">Three cards or tabs showcasing core features: Serve Analysis (heatmap visual), Rally Intelligence (pattern diagram), AI Coach (chat-style feedback preview). Each card has a screenshot, 2-3 bullet points, and a “Learn more” link.</w:t>
      </w:r>
    </w:p>
    <w:p>
      <w:pPr>
        <w:spacing w:after="120"/>
      </w:pPr>
    </w:p>
    <w:p>
      <w:pPr>
        <w:spacing w:after="80"/>
      </w:pPr>
      <w:r>
        <w:rPr>
          <w:rFonts w:ascii="Arial" w:cs="Arial" w:eastAsia="Arial" w:hAnsi="Arial"/>
          <w:b/>
          <w:bCs/>
          <w:color w:val="C9A84C"/>
          <w:sz w:val="22"/>
          <w:szCs w:val="22"/>
        </w:rPr>
        <w:t xml:space="preserve">Section 7: The Long Game (Differentiator)</w:t>
      </w:r>
    </w:p>
    <w:p>
      <w:pPr>
        <w:spacing w:after="120"/>
      </w:pPr>
      <w:r>
        <w:rPr>
          <w:rFonts w:ascii="Arial" w:cs="Arial" w:eastAsia="Arial" w:hAnsi="Arial"/>
          <w:sz w:val="22"/>
          <w:szCs w:val="22"/>
        </w:rPr>
        <w:t xml:space="preserve">Full-width section with headline: “Every match teaches you something. We make sure you never forget it.” Showcase the longitudinal tracking — trend charts showing improvement over time, UTR progression (even as a “coming soon” teaser). This is what no competitor offers.</w:t>
      </w:r>
    </w:p>
    <w:p>
      <w:pPr>
        <w:spacing w:after="120"/>
      </w:pPr>
    </w:p>
    <w:p>
      <w:pPr>
        <w:spacing w:after="80"/>
      </w:pPr>
      <w:r>
        <w:rPr>
          <w:rFonts w:ascii="Arial" w:cs="Arial" w:eastAsia="Arial" w:hAnsi="Arial"/>
          <w:b/>
          <w:bCs/>
          <w:color w:val="C9A84C"/>
          <w:sz w:val="22"/>
          <w:szCs w:val="22"/>
        </w:rPr>
        <w:t xml:space="preserve">Section 8: Testimonials / Early User Stories</w:t>
      </w:r>
    </w:p>
    <w:p>
      <w:pPr>
        <w:spacing w:after="120"/>
      </w:pPr>
      <w:r>
        <w:rPr>
          <w:rFonts w:ascii="Arial" w:cs="Arial" w:eastAsia="Arial" w:hAnsi="Arial"/>
          <w:sz w:val="22"/>
          <w:szCs w:val="22"/>
        </w:rPr>
        <w:t xml:space="preserve">2-3 testimonial cards. If no real testimonials yet, use the founder’s own experience: “I built this because I wanted Hawk-Eye data for my weekend matches.” Authenticity over polish at launch.</w:t>
      </w:r>
    </w:p>
    <w:p>
      <w:pPr>
        <w:spacing w:after="120"/>
      </w:pPr>
    </w:p>
    <w:p>
      <w:pPr>
        <w:spacing w:after="80"/>
      </w:pPr>
      <w:r>
        <w:rPr>
          <w:rFonts w:ascii="Arial" w:cs="Arial" w:eastAsia="Arial" w:hAnsi="Arial"/>
          <w:b/>
          <w:bCs/>
          <w:color w:val="C9A84C"/>
          <w:sz w:val="22"/>
          <w:szCs w:val="22"/>
        </w:rPr>
        <w:t xml:space="preserve">Section 9: Pricing Preview</w:t>
      </w:r>
    </w:p>
    <w:p>
      <w:pPr>
        <w:spacing w:after="120"/>
      </w:pPr>
      <w:r>
        <w:rPr>
          <w:rFonts w:ascii="Arial" w:cs="Arial" w:eastAsia="Arial" w:hAnsi="Arial"/>
          <w:sz w:val="22"/>
          <w:szCs w:val="22"/>
        </w:rPr>
        <w:t xml:space="preserve">Simple 3-column layout showing plan highlights. Emphasise “First match free” prominently. Link to full pricing page. Don’t overwhelm — just enough to show it’s accessible.</w:t>
      </w:r>
    </w:p>
    <w:p>
      <w:pPr>
        <w:spacing w:after="120"/>
      </w:pPr>
    </w:p>
    <w:p>
      <w:pPr>
        <w:spacing w:after="80"/>
      </w:pPr>
      <w:r>
        <w:rPr>
          <w:rFonts w:ascii="Arial" w:cs="Arial" w:eastAsia="Arial" w:hAnsi="Arial"/>
          <w:b/>
          <w:bCs/>
          <w:color w:val="C9A84C"/>
          <w:sz w:val="22"/>
          <w:szCs w:val="22"/>
        </w:rPr>
        <w:t xml:space="preserve">Section 10: For Coaches CTA</w:t>
      </w:r>
    </w:p>
    <w:p>
      <w:pPr>
        <w:spacing w:after="120"/>
      </w:pPr>
      <w:r>
        <w:rPr>
          <w:rFonts w:ascii="Arial" w:cs="Arial" w:eastAsia="Arial" w:hAnsi="Arial"/>
          <w:sz w:val="22"/>
          <w:szCs w:val="22"/>
        </w:rPr>
        <w:t xml:space="preserve">Dedicated strip: “Are you a tennis coach? See how Ten-Fifty5 can transform your coaching practice.” Link to the For Coaches page.</w:t>
      </w:r>
    </w:p>
    <w:p>
      <w:pPr>
        <w:spacing w:after="120"/>
      </w:pPr>
    </w:p>
    <w:p>
      <w:pPr>
        <w:spacing w:after="80"/>
      </w:pPr>
      <w:r>
        <w:rPr>
          <w:rFonts w:ascii="Arial" w:cs="Arial" w:eastAsia="Arial" w:hAnsi="Arial"/>
          <w:b/>
          <w:bCs/>
          <w:color w:val="C9A84C"/>
          <w:sz w:val="22"/>
          <w:szCs w:val="22"/>
        </w:rPr>
        <w:t xml:space="preserve">Section 11: Final CTA</w:t>
      </w:r>
    </w:p>
    <w:p>
      <w:pPr>
        <w:spacing w:after="120"/>
      </w:pPr>
      <w:r>
        <w:rPr>
          <w:rFonts w:ascii="Arial" w:cs="Arial" w:eastAsia="Arial" w:hAnsi="Arial"/>
          <w:sz w:val="22"/>
          <w:szCs w:val="22"/>
        </w:rPr>
        <w:t xml:space="preserve">Full-width dark background repeating the primary CTA: “Analyse My First Match Free.” Large button. No distractions.</w:t>
      </w:r>
    </w:p>
    <w:p>
      <w:r>
        <w:br w:type="page"/>
      </w:r>
    </w:p>
    <w:p>
      <w:pPr>
        <w:pStyle w:val="Heading1"/>
      </w:pPr>
      <w:r>
        <w:t xml:space="preserve">9. Pricing Page Design Brief</w:t>
      </w:r>
    </w:p>
    <w:p>
      <w:pPr>
        <w:spacing w:after="120"/>
      </w:pPr>
    </w:p>
    <w:p>
      <w:pPr>
        <w:pStyle w:val="Heading2"/>
      </w:pPr>
      <w:r>
        <w:t xml:space="preserve">9.1 Layout</w:t>
      </w:r>
    </w:p>
    <w:p>
      <w:pPr>
        <w:spacing w:after="120"/>
      </w:pPr>
    </w:p>
    <w:p>
      <w:pPr>
        <w:spacing w:after="120"/>
      </w:pPr>
      <w:r>
        <w:rPr>
          <w:rFonts w:ascii="Arial" w:cs="Arial" w:eastAsia="Arial" w:hAnsi="Arial"/>
          <w:sz w:val="22"/>
          <w:szCs w:val="22"/>
        </w:rPr>
        <w:t xml:space="preserve">The pricing page is entitlement-aware. On page load, it calls the billing entitlements API and renders one of three conditional views based on the user’s current state.</w:t>
      </w:r>
    </w:p>
    <w:p>
      <w:pPr>
        <w:spacing w:after="120"/>
      </w:pPr>
    </w:p>
    <w:p>
      <w:pPr>
        <w:spacing w:after="120"/>
      </w:pPr>
      <w:r>
        <w:rPr>
          <w:rFonts w:ascii="Arial" w:cs="Arial" w:eastAsia="Arial" w:hAnsi="Arial"/>
          <w:sz w:val="22"/>
          <w:szCs w:val="22"/>
        </w:rPr>
        <w:t xml:space="preserve">For new or unsubscribed users: full plan comparison with all tiers visible, feature comparison table, FAQ section addressing common pricing questions, and the primary CTA for each plan.</w:t>
      </w:r>
    </w:p>
    <w:p>
      <w:pPr>
        <w:spacing w:after="120"/>
      </w:pPr>
    </w:p>
    <w:p>
      <w:pPr>
        <w:spacing w:after="120"/>
      </w:pPr>
      <w:r>
        <w:rPr>
          <w:rFonts w:ascii="Arial" w:cs="Arial" w:eastAsia="Arial" w:hAnsi="Arial"/>
          <w:sz w:val="22"/>
          <w:szCs w:val="22"/>
        </w:rPr>
        <w:t xml:space="preserve">For subscribed users with credits remaining: redirect to dashboard with plan overview. Prevent repurchase.</w:t>
      </w:r>
    </w:p>
    <w:p>
      <w:pPr>
        <w:spacing w:after="120"/>
      </w:pPr>
    </w:p>
    <w:p>
      <w:pPr>
        <w:spacing w:after="120"/>
      </w:pPr>
      <w:r>
        <w:rPr>
          <w:rFonts w:ascii="Arial" w:cs="Arial" w:eastAsia="Arial" w:hAnsi="Arial"/>
          <w:sz w:val="22"/>
          <w:szCs w:val="22"/>
        </w:rPr>
        <w:t xml:space="preserve">For subscribed users with zero credits: show top-up panel only. Clear messaging that top-up is the only option mid-cycle. Show current plan status and credits used.</w:t>
      </w:r>
    </w:p>
    <w:p>
      <w:pPr>
        <w:spacing w:after="120"/>
      </w:pPr>
    </w:p>
    <w:p>
      <w:pPr>
        <w:pStyle w:val="Heading2"/>
      </w:pPr>
      <w:r>
        <w:t xml:space="preserve">9.2 Entitlement Routing Rules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234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Subscription</w:t>
            </w:r>
          </w:p>
        </w:tc>
        <w:tc>
          <w:tcPr>
            <w:tcW w:type="dxa" w:w="234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234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Player/Parent</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Active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&gt; 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Redirect to dashboard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Player/Parent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top-up only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Player/Parent</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Inactive/None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Show all plans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paid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to dashboard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Coach</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Inactive/None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Show coach plans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nothing + support</w:t>
            </w:r>
          </w:p>
        </w:tc>
      </w:tr>
    </w:tbl>
    <w:p>
      <w:pPr>
        <w:spacing w:after="120"/>
      </w:pPr>
    </w:p>
    <w:p>
      <w:pPr>
        <w:spacing w:after="120"/>
      </w:pPr>
      <w:r>
        <w:rPr>
          <w:rFonts w:ascii="Arial" w:cs="Arial" w:eastAsia="Arial" w:hAnsi="Arial"/>
          <w:sz w:val="22"/>
          <w:szCs w:val="22"/>
        </w:rPr>
        <w:t xml:space="preserve">All purchase buttons redirect to the appropriate Wix Payment Plan URL to complete the transaction via PayPal. After payment confirmation, redirect back to the portal dashboard.</w:t>
      </w:r>
    </w:p>
    <w:p>
      <w:r>
        <w:br w:type="page"/>
      </w:r>
    </w:p>
    <w:p>
      <w:pPr>
        <w:pStyle w:val="Heading1"/>
      </w:pPr>
      <w:r>
        <w:t xml:space="preserve">10. How It Works Page Design Brief</w:t>
      </w:r>
    </w:p>
    <w:p>
      <w:pPr>
        <w:spacing w:after="120"/>
      </w:pPr>
    </w:p>
    <w:p>
      <w:pPr>
        <w:spacing w:after="120"/>
      </w:pPr>
      <w:r>
        <w:rPr>
          <w:rFonts w:ascii="Arial" w:cs="Arial" w:eastAsia="Arial" w:hAnsi="Arial"/>
          <w:sz w:val="22"/>
          <w:szCs w:val="22"/>
        </w:rPr>
        <w:t xml:space="preserve">This page provides a deeper product walkthrough for users who need more information before signing up. It should demonstrate the product in action with screenshots, animations, or embedded video.</w:t>
      </w:r>
    </w:p>
    <w:p>
      <w:pPr>
        <w:spacing w:after="120"/>
      </w:pPr>
    </w:p>
    <w:p>
      <w:pPr>
        <w:spacing w:after="80"/>
      </w:pPr>
      <w:r>
        <w:rPr>
          <w:rFonts w:ascii="Arial" w:cs="Arial" w:eastAsia="Arial" w:hAnsi="Arial"/>
          <w:b/>
          <w:bCs/>
          <w:color w:val="C9A84C"/>
          <w:sz w:val="22"/>
          <w:szCs w:val="22"/>
        </w:rPr>
        <w:t xml:space="preserve">Section 1: Overview</w:t>
      </w:r>
    </w:p>
    <w:p>
      <w:pPr>
        <w:spacing w:after="120"/>
      </w:pPr>
      <w:r>
        <w:rPr>
          <w:rFonts w:ascii="Arial" w:cs="Arial" w:eastAsia="Arial" w:hAnsi="Arial"/>
          <w:sz w:val="22"/>
          <w:szCs w:val="22"/>
        </w:rPr>
        <w:t xml:space="preserve">Three-step process repeated from the home page but with expanded detail: what devices/cameras work, how to position the camera, upload requirements (file size, formats), and expected processing time.</w:t>
      </w:r>
    </w:p>
    <w:p>
      <w:pPr>
        <w:spacing w:after="120"/>
      </w:pPr>
    </w:p>
    <w:p>
      <w:pPr>
        <w:spacing w:after="80"/>
      </w:pPr>
      <w:r>
        <w:rPr>
          <w:rFonts w:ascii="Arial" w:cs="Arial" w:eastAsia="Arial" w:hAnsi="Arial"/>
          <w:b/>
          <w:bCs/>
          <w:color w:val="C9A84C"/>
          <w:sz w:val="22"/>
          <w:szCs w:val="22"/>
        </w:rPr>
        <w:t xml:space="preserve">Section 2: What You Get</w:t>
      </w:r>
    </w:p>
    <w:p>
      <w:pPr>
        <w:spacing w:after="120"/>
      </w:pPr>
      <w:r>
        <w:rPr>
          <w:rFonts w:ascii="Arial" w:cs="Arial" w:eastAsia="Arial" w:hAnsi="Arial"/>
          <w:sz w:val="22"/>
          <w:szCs w:val="22"/>
        </w:rPr>
        <w:t xml:space="preserve">Detailed breakdown of each analysis component with real or mockup screenshots: serve placement heatmap, serve speed and consistency charts, rally pattern diagrams, shot distribution charts, AI Coach feedback panel, drill recommendations.</w:t>
      </w:r>
    </w:p>
    <w:p>
      <w:pPr>
        <w:spacing w:after="120"/>
      </w:pPr>
    </w:p>
    <w:p>
      <w:pPr>
        <w:spacing w:after="80"/>
      </w:pPr>
      <w:r>
        <w:rPr>
          <w:rFonts w:ascii="Arial" w:cs="Arial" w:eastAsia="Arial" w:hAnsi="Arial"/>
          <w:b/>
          <w:bCs/>
          <w:color w:val="C9A84C"/>
          <w:sz w:val="22"/>
          <w:szCs w:val="22"/>
        </w:rPr>
        <w:t xml:space="preserve">Section 3: The AI Coach</w:t>
      </w:r>
    </w:p>
    <w:p>
      <w:pPr>
        <w:spacing w:after="120"/>
      </w:pPr>
      <w:r>
        <w:rPr>
          <w:rFonts w:ascii="Arial" w:cs="Arial" w:eastAsia="Arial" w:hAnsi="Arial"/>
          <w:sz w:val="22"/>
          <w:szCs w:val="22"/>
        </w:rPr>
        <w:t xml:space="preserve">Dedicated section explaining how the AI coaching works, that it’s grounded in the player’s own data (not generic), and that it improves over time as more matches are analysed. Show a sample AI coaching conversation or feedback report.</w:t>
      </w:r>
    </w:p>
    <w:p>
      <w:pPr>
        <w:spacing w:after="120"/>
      </w:pPr>
    </w:p>
    <w:p>
      <w:pPr>
        <w:spacing w:after="80"/>
      </w:pPr>
      <w:r>
        <w:rPr>
          <w:rFonts w:ascii="Arial" w:cs="Arial" w:eastAsia="Arial" w:hAnsi="Arial"/>
          <w:b/>
          <w:bCs/>
          <w:color w:val="C9A84C"/>
          <w:sz w:val="22"/>
          <w:szCs w:val="22"/>
        </w:rPr>
        <w:t xml:space="preserve">Section 4: Camera Setup Guide</w:t>
      </w:r>
    </w:p>
    <w:p>
      <w:pPr>
        <w:spacing w:after="120"/>
      </w:pPr>
      <w:r>
        <w:rPr>
          <w:rFonts w:ascii="Arial" w:cs="Arial" w:eastAsia="Arial" w:hAnsi="Arial"/>
          <w:sz w:val="22"/>
          <w:szCs w:val="22"/>
        </w:rPr>
        <w:t xml:space="preserve">Simple visual guide showing recommended camera positions for different court scenarios (behind baseline, side-on, elevated). Make it clear this works with ANY phone or camera — no special equipment needed.</w:t>
      </w:r>
    </w:p>
    <w:p>
      <w:pPr>
        <w:spacing w:after="120"/>
      </w:pPr>
    </w:p>
    <w:p>
      <w:pPr>
        <w:spacing w:after="80"/>
      </w:pPr>
      <w:r>
        <w:rPr>
          <w:rFonts w:ascii="Arial" w:cs="Arial" w:eastAsia="Arial" w:hAnsi="Arial"/>
          <w:b/>
          <w:bCs/>
          <w:color w:val="C9A84C"/>
          <w:sz w:val="22"/>
          <w:szCs w:val="22"/>
        </w:rPr>
        <w:t xml:space="preserve">Section 5: CTA</w:t>
      </w:r>
    </w:p>
    <w:p>
      <w:pPr>
        <w:spacing w:after="120"/>
      </w:pPr>
      <w:r>
        <w:rPr>
          <w:rFonts w:ascii="Arial" w:cs="Arial" w:eastAsia="Arial" w:hAnsi="Arial"/>
          <w:sz w:val="22"/>
          <w:szCs w:val="22"/>
        </w:rPr>
        <w:t xml:space="preserve">“Ready to see your game in data? Analyse your first match free.”</w:t>
      </w:r>
    </w:p>
    <w:p>
      <w:r>
        <w:br w:type="page"/>
      </w:r>
    </w:p>
    <w:p>
      <w:pPr>
        <w:pStyle w:val="Heading1"/>
      </w:pPr>
      <w:r>
        <w:t xml:space="preserve">11. For Coaches Page Design Brief</w:t>
      </w:r>
    </w:p>
    <w:p>
      <w:pPr>
        <w:spacing w:after="120"/>
      </w:pPr>
    </w:p>
    <w:p>
      <w:pPr>
        <w:spacing w:after="120"/>
      </w:pPr>
      <w:r>
        <w:rPr>
          <w:rFonts w:ascii="Arial" w:cs="Arial" w:eastAsia="Arial" w:hAnsi="Arial"/>
          <w:sz w:val="22"/>
          <w:szCs w:val="22"/>
        </w:rPr>
        <w:t xml:space="preserve">This page targets the coach persona specifically. The messaging shifts from individual improvement to coaching practice enhancement, student retention, and business growth.</w:t>
      </w:r>
    </w:p>
    <w:p>
      <w:pPr>
        <w:spacing w:after="120"/>
      </w:pPr>
    </w:p>
    <w:p>
      <w:pPr>
        <w:spacing w:after="80"/>
      </w:pPr>
      <w:r>
        <w:rPr>
          <w:rFonts w:ascii="Arial" w:cs="Arial" w:eastAsia="Arial" w:hAnsi="Arial"/>
          <w:b/>
          <w:bCs/>
          <w:color w:val="C9A84C"/>
          <w:sz w:val="22"/>
          <w:szCs w:val="22"/>
        </w:rPr>
        <w:t xml:space="preserve">Headline</w:t>
      </w:r>
    </w:p>
    <w:p>
      <w:pPr>
        <w:spacing w:after="120"/>
      </w:pPr>
      <w:r>
        <w:rPr>
          <w:rFonts w:ascii="Arial" w:cs="Arial" w:eastAsia="Arial" w:hAnsi="Arial"/>
          <w:sz w:val="22"/>
          <w:szCs w:val="22"/>
        </w:rPr>
        <w:t xml:space="preserve">“Data-Driven Coaching. Measurable Results. Happier Students.”</w:t>
      </w:r>
    </w:p>
    <w:p>
      <w:pPr>
        <w:spacing w:after="120"/>
      </w:pPr>
    </w:p>
    <w:p>
      <w:pPr>
        <w:spacing w:after="80"/>
      </w:pPr>
      <w:r>
        <w:rPr>
          <w:rFonts w:ascii="Arial" w:cs="Arial" w:eastAsia="Arial" w:hAnsi="Arial"/>
          <w:b/>
          <w:bCs/>
          <w:color w:val="C9A84C"/>
          <w:sz w:val="22"/>
          <w:szCs w:val="22"/>
        </w:rPr>
        <w:t xml:space="preserve">Key Sections</w:t>
      </w:r>
    </w:p>
    <w:p>
      <w:pPr>
        <w:spacing w:after="120"/>
      </w:pPr>
      <w:r>
        <w:rPr>
          <w:rFonts w:ascii="Arial" w:cs="Arial" w:eastAsia="Arial" w:hAnsi="Arial"/>
          <w:b/>
          <w:bCs/>
          <w:sz w:val="22"/>
          <w:szCs w:val="22"/>
        </w:rPr>
        <w:t xml:space="preserve">The Coach Problem: </w:t>
      </w:r>
      <w:r>
        <w:rPr>
          <w:rFonts w:ascii="Arial" w:cs="Arial" w:eastAsia="Arial" w:hAnsi="Arial"/>
          <w:sz w:val="22"/>
          <w:szCs w:val="22"/>
        </w:rPr>
        <w:t xml:space="preserve">“Your students forget 80% of what you tell them by next week. Give them a platform that remembers everything.”</w:t>
      </w:r>
    </w:p>
    <w:p>
      <w:pPr>
        <w:spacing w:after="120"/>
      </w:pPr>
    </w:p>
    <w:p>
      <w:pPr>
        <w:spacing w:after="120"/>
      </w:pPr>
      <w:r>
        <w:rPr>
          <w:rFonts w:ascii="Arial" w:cs="Arial" w:eastAsia="Arial" w:hAnsi="Arial"/>
          <w:b/>
          <w:bCs/>
          <w:sz w:val="22"/>
          <w:szCs w:val="22"/>
        </w:rPr>
        <w:t xml:space="preserve">Coach Dashboard Preview: </w:t>
      </w:r>
      <w:r>
        <w:rPr>
          <w:rFonts w:ascii="Arial" w:cs="Arial" w:eastAsia="Arial" w:hAnsi="Arial"/>
          <w:sz w:val="22"/>
          <w:szCs w:val="22"/>
        </w:rPr>
        <w:t xml:space="preserve">Screenshot showing the coach’s view: student roster, per-student analytics, ability to assign drills, review footage remotely, and track progress across sessions.</w:t>
      </w:r>
    </w:p>
    <w:p>
      <w:pPr>
        <w:spacing w:after="120"/>
      </w:pPr>
    </w:p>
    <w:p>
      <w:pPr>
        <w:spacing w:after="120"/>
      </w:pPr>
      <w:r>
        <w:rPr>
          <w:rFonts w:ascii="Arial" w:cs="Arial" w:eastAsia="Arial" w:hAnsi="Arial"/>
          <w:b/>
          <w:bCs/>
          <w:sz w:val="22"/>
          <w:szCs w:val="22"/>
        </w:rPr>
        <w:t xml:space="preserve">Business Case: </w:t>
      </w:r>
      <w:r>
        <w:rPr>
          <w:rFonts w:ascii="Arial" w:cs="Arial" w:eastAsia="Arial" w:hAnsi="Arial"/>
          <w:sz w:val="22"/>
          <w:szCs w:val="22"/>
        </w:rPr>
        <w:t xml:space="preserve">“Coaches who provide data-driven feedback retain students 40% longer. Give parents the evidence they need to see the value of your coaching.” (Position as a business tool, not just a tech tool.)</w:t>
      </w:r>
    </w:p>
    <w:p>
      <w:pPr>
        <w:spacing w:after="120"/>
      </w:pPr>
    </w:p>
    <w:p>
      <w:pPr>
        <w:spacing w:after="120"/>
      </w:pPr>
      <w:r>
        <w:rPr>
          <w:rFonts w:ascii="Arial" w:cs="Arial" w:eastAsia="Arial" w:hAnsi="Arial"/>
          <w:b/>
          <w:bCs/>
          <w:sz w:val="22"/>
          <w:szCs w:val="22"/>
        </w:rPr>
        <w:t xml:space="preserve">Coach Pricing: </w:t>
      </w:r>
      <w:r>
        <w:rPr>
          <w:rFonts w:ascii="Arial" w:cs="Arial" w:eastAsia="Arial" w:hAnsi="Arial"/>
          <w:sz w:val="22"/>
          <w:szCs w:val="22"/>
        </w:rPr>
        <w:t xml:space="preserve">Dedicated coach plan details. Emphasise the free trial for coaches and the ability to onboard students.</w:t>
      </w:r>
    </w:p>
    <w:p>
      <w:pPr>
        <w:spacing w:after="120"/>
      </w:pPr>
    </w:p>
    <w:p>
      <w:pPr>
        <w:spacing w:after="120"/>
      </w:pPr>
      <w:r>
        <w:rPr>
          <w:rFonts w:ascii="Arial" w:cs="Arial" w:eastAsia="Arial" w:hAnsi="Arial"/>
          <w:b/>
          <w:bCs/>
          <w:sz w:val="22"/>
          <w:szCs w:val="22"/>
        </w:rPr>
        <w:t xml:space="preserve">CTA: </w:t>
      </w:r>
      <w:r>
        <w:rPr>
          <w:rFonts w:ascii="Arial" w:cs="Arial" w:eastAsia="Arial" w:hAnsi="Arial"/>
          <w:sz w:val="22"/>
          <w:szCs w:val="22"/>
        </w:rPr>
        <w:t xml:space="preserve">“Start Your Free Coach Trial”</w:t>
      </w:r>
    </w:p>
    <w:p>
      <w:r>
        <w:br w:type="page"/>
      </w:r>
    </w:p>
    <w:p>
      <w:pPr>
        <w:pStyle w:val="Heading1"/>
      </w:pPr>
      <w:r>
        <w:t xml:space="preserve">12. Brand Identity &amp; Design Tokens</w:t>
      </w:r>
    </w:p>
    <w:p>
      <w:pPr>
        <w:spacing w:after="120"/>
      </w:pPr>
    </w:p>
    <w:p>
      <w:pPr>
        <w:spacing w:after="120"/>
      </w:pPr>
      <w:r>
        <w:rPr>
          <w:rFonts w:ascii="Arial" w:cs="Arial" w:eastAsia="Arial" w:hAnsi="Arial"/>
          <w:sz w:val="22"/>
          <w:szCs w:val="22"/>
        </w:rPr>
        <w:t xml:space="preserve">The public-facing pages must match the existing members area visual identity exactly. Here are the design tokens: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1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#1A3C2A (dark green)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Backgrounds, headings, navigation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#C9A84C (gold)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buttons, highlights, accents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Background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#FFFFFF (white)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Page backgrounds, cards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#1A1A2E (near-black)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text, headings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Secondary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#666666 (grey)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Supporting text, captions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Typography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sans-serif (Arial/Inter/Helvetica)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text</w:t>
            </w:r>
          </w:p>
        </w:tc>
      </w:tr>
    </w:tbl>
    <w:p>
      <w:pPr>
        <w:spacing w:after="120"/>
      </w:pPr>
    </w:p>
    <w:p>
      <w:pPr>
        <w:spacing w:after="120"/>
      </w:pPr>
      <w:r>
        <w:rPr>
          <w:rFonts w:ascii="Arial" w:cs="Arial" w:eastAsia="Arial" w:hAnsi="Arial"/>
          <w:b/>
          <w:bCs/>
          <w:sz w:val="22"/>
          <w:szCs w:val="22"/>
        </w:rPr>
        <w:t xml:space="preserve">CTA Button Style: </w:t>
      </w:r>
      <w:r>
        <w:rPr>
          <w:rFonts w:ascii="Arial" w:cs="Arial" w:eastAsia="Arial" w:hAnsi="Arial"/>
          <w:sz w:val="22"/>
          <w:szCs w:val="22"/>
        </w:rPr>
        <w:t xml:space="preserve">Gold (#C9A84C) background, dark green (#1A3C2A) text, rounded corners, generous padding. Hover: slight darkening of gold. The primary CTA text throughout all pages is “Analyse My First Match Free.”</w:t>
      </w:r>
    </w:p>
    <w:p>
      <w:r>
        <w:br w:type="page"/>
      </w:r>
    </w:p>
    <w:p>
      <w:pPr>
        <w:pStyle w:val="Heading1"/>
      </w:pPr>
      <w:r>
        <w:t xml:space="preserve">13. Claude Code Implementation Prompt</w:t>
      </w:r>
    </w:p>
    <w:p>
      <w:pPr>
        <w:spacing w:after="120"/>
      </w:pPr>
    </w:p>
    <w:p>
      <w:pPr>
        <w:spacing w:after="120"/>
      </w:pPr>
      <w:r>
        <w:rPr>
          <w:rFonts w:ascii="Arial" w:cs="Arial" w:eastAsia="Arial" w:hAnsi="Arial"/>
          <w:sz w:val="22"/>
          <w:szCs w:val="22"/>
        </w:rPr>
        <w:t xml:space="preserve">Copy and paste the following prompt directly into Claude Code with this document saved in your project folder:</w:t>
      </w:r>
    </w:p>
    <w:p>
      <w:pPr>
        <w:spacing w:after="120"/>
      </w:pPr>
    </w:p>
    <w:p>
      <w:pPr>
        <w:pBdr>
          <w:left w:val="single" w:color="1A3C2A" w:sz="6" w:space="8"/>
        </w:pBdr>
        <w:shd w:fill="F5F5F0" w:val="clear"/>
        <w:spacing w:after="200"/>
        <w:ind w:left="360" w:right="360"/>
      </w:pPr>
      <w:r>
        <w:rPr>
          <w:rFonts w:ascii="Consolas" w:cs="Consolas" w:eastAsia="Consolas" w:hAnsi="Consolas"/>
          <w:color w:val="333333"/>
          <w:sz w:val="18"/>
          <w:szCs w:val="18"/>
        </w:rPr>
        <w:t xml:space="preserve">I have a Go-to-Market strategy document in this project folder called TenFifty5_GoToMarket_Strategy.docx. Please read it thoroughly before starting any work.
Your task is to build the public-facing marketing pages for the Ten-Fifty5 portal. The existing members area is already built — match the same visual identity exactly: primary #1A3C2A (dark green), accent #C9A84C (gold), white backgrounds, clean sans-serif typography.
Build the following pages:
1. Home / Landing Page — follow Section 8 of the document exactly. 11 sections. Fully responsive.
2. How It Works Page — Section 10. Product showcase, feature deep-dives, dashboard screenshots, step-by-step.
3. Pricing Page — Section 9. This page is entitlement-aware. On load, call the billing entitlements API (GET /api/billing/entitlements using the logged-in user’s session). Apply the routing rules from Section 9.2 exactly — three conditional view states. All purchase buttons redirect to the appropriate Wix Payment Plan URL (I will provide these as config constants once you scaffold the file).
4. For Coaches Page — Section 11.
Use the copy and CTAs from the document verbatim where specified. The primary CTA throughout is ‘Analyse My First Match Free’ in gold (#C9A84C) with dark green text. Start with the Home page and work through each in order. Ask me before making any assumptions about routing or API endpoints.</w:t>
      </w:r>
    </w:p>
    <w:p>
      <w:r>
        <w:br w:type="page"/>
      </w:r>
    </w:p>
    <w:p>
      <w:pPr>
        <w:pStyle w:val="Heading1"/>
      </w:pPr>
      <w:r>
        <w:t xml:space="preserve">14. Strategic Recommendations &amp; Next Steps</w:t>
      </w:r>
    </w:p>
    <w:p>
      <w:pPr>
        <w:spacing w:after="120"/>
      </w:pPr>
    </w:p>
    <w:p>
      <w:pPr>
        <w:pStyle w:val="Heading2"/>
      </w:pPr>
      <w:r>
        <w:t xml:space="preserve">14.1 Immediate Priorities (This Week)</w:t>
      </w:r>
    </w:p>
    <w:p>
      <w:pPr>
        <w:spacing w:after="120"/>
      </w:pPr>
    </w:p>
    <w:p>
      <w:pPr>
        <w:pStyle w:val="ListParagraph"/>
        <w:numPr>
          <w:ilvl w:val="0"/>
          <w:numId w:val="12"/>
        </w:numPr>
        <w:spacing w:after="80"/>
      </w:pPr>
      <w:r>
        <w:rPr>
          <w:rFonts w:ascii="Arial" w:cs="Arial" w:eastAsia="Arial" w:hAnsi="Arial"/>
          <w:sz w:val="22"/>
          <w:szCs w:val="22"/>
        </w:rPr>
        <w:t xml:space="preserve">Finalise brand assets (logo, brand palette) using the design tokens in Section 12.</w:t>
      </w:r>
    </w:p>
    <w:p>
      <w:pPr>
        <w:spacing w:after="120"/>
      </w:pPr>
    </w:p>
    <w:p>
      <w:pPr>
        <w:pStyle w:val="Heading2"/>
      </w:pPr>
      <w:r>
        <w:t xml:space="preserve">14.2 Short-Term (Weeks 1-4)</w:t>
      </w:r>
    </w:p>
    <w:p>
      <w:pPr>
        <w:spacing w:after="120"/>
      </w:pPr>
    </w:p>
    <w:p>
      <w:pPr>
        <w:pStyle w:val="ListParagraph"/>
        <w:numPr>
          <w:ilvl w:val="0"/>
          <w:numId w:val="13"/>
        </w:numPr>
        <w:spacing w:after="60"/>
      </w:pPr>
      <w:r>
        <w:rPr>
          <w:rFonts w:ascii="Arial" w:cs="Arial" w:eastAsia="Arial" w:hAnsi="Arial"/>
          <w:sz w:val="22"/>
          <w:szCs w:val="22"/>
        </w:rPr>
        <w:t xml:space="preserve">Build and launch the four public-facing pages using the Claude Code prompt in Section 13.</w:t>
      </w:r>
    </w:p>
    <w:p>
      <w:pPr>
        <w:pStyle w:val="ListParagraph"/>
        <w:numPr>
          <w:ilvl w:val="0"/>
          <w:numId w:val="13"/>
        </w:numPr>
        <w:spacing w:after="60"/>
      </w:pPr>
      <w:r>
        <w:rPr>
          <w:rFonts w:ascii="Arial" w:cs="Arial" w:eastAsia="Arial" w:hAnsi="Arial"/>
          <w:sz w:val="22"/>
          <w:szCs w:val="22"/>
        </w:rPr>
        <w:t xml:space="preserve">Set up Meta Business Suite, Instagram, and Facebook with the guidance in the Marketing Launch Plan document.</w:t>
      </w:r>
    </w:p>
    <w:p>
      <w:pPr>
        <w:pStyle w:val="ListParagraph"/>
        <w:numPr>
          <w:ilvl w:val="0"/>
          <w:numId w:val="13"/>
        </w:numPr>
        <w:spacing w:after="60"/>
      </w:pPr>
      <w:r>
        <w:rPr>
          <w:rFonts w:ascii="Arial" w:cs="Arial" w:eastAsia="Arial" w:hAnsi="Arial"/>
          <w:sz w:val="22"/>
          <w:szCs w:val="22"/>
        </w:rPr>
        <w:t xml:space="preserve">Send the 3-email launch sequence to the 600+ NextPoint contact database.</w:t>
      </w:r>
    </w:p>
    <w:p>
      <w:pPr>
        <w:pStyle w:val="ListParagraph"/>
        <w:numPr>
          <w:ilvl w:val="0"/>
          <w:numId w:val="13"/>
        </w:numPr>
        <w:spacing w:after="60"/>
      </w:pPr>
      <w:r>
        <w:rPr>
          <w:rFonts w:ascii="Arial" w:cs="Arial" w:eastAsia="Arial" w:hAnsi="Arial"/>
          <w:sz w:val="22"/>
          <w:szCs w:val="22"/>
        </w:rPr>
        <w:t xml:space="preserve">Begin the Instagram content strategy: 4-5 posts per week mixing product demos, tennis tips, and behind-the-scenes content.</w:t>
      </w:r>
    </w:p>
    <w:p>
      <w:pPr>
        <w:pStyle w:val="ListParagraph"/>
        <w:numPr>
          <w:ilvl w:val="0"/>
          <w:numId w:val="13"/>
        </w:numPr>
        <w:spacing w:after="60"/>
      </w:pPr>
      <w:r>
        <w:rPr>
          <w:rFonts w:ascii="Arial" w:cs="Arial" w:eastAsia="Arial" w:hAnsi="Arial"/>
          <w:sz w:val="22"/>
          <w:szCs w:val="22"/>
        </w:rPr>
        <w:t xml:space="preserve">Install Meta Pixel and Google Analytics from day one.</w:t>
      </w:r>
    </w:p>
    <w:p>
      <w:pPr>
        <w:spacing w:after="120"/>
      </w:pPr>
    </w:p>
    <w:p>
      <w:pPr>
        <w:pStyle w:val="Heading2"/>
      </w:pPr>
      <w:r>
        <w:t xml:space="preserve">14.3 Medium-Term (Months 1-3)</w:t>
      </w:r>
    </w:p>
    <w:p>
      <w:pPr>
        <w:spacing w:after="120"/>
      </w:pPr>
    </w:p>
    <w:p>
      <w:pPr>
        <w:pStyle w:val="ListParagraph"/>
        <w:numPr>
          <w:ilvl w:val="0"/>
          <w:numId w:val="13"/>
        </w:numPr>
        <w:spacing w:after="60"/>
      </w:pPr>
      <w:r>
        <w:rPr>
          <w:rFonts w:ascii="Arial" w:cs="Arial" w:eastAsia="Arial" w:hAnsi="Arial"/>
          <w:sz w:val="22"/>
          <w:szCs w:val="22"/>
        </w:rPr>
        <w:t xml:space="preserve">Coach outreach programme: identify and onboard 10 coaches in the first 90 days. Each coach is a multiplier.</w:t>
      </w:r>
    </w:p>
    <w:p>
      <w:pPr>
        <w:pStyle w:val="ListParagraph"/>
        <w:numPr>
          <w:ilvl w:val="0"/>
          <w:numId w:val="13"/>
        </w:numPr>
        <w:spacing w:after="60"/>
      </w:pPr>
      <w:r>
        <w:rPr>
          <w:rFonts w:ascii="Arial" w:cs="Arial" w:eastAsia="Arial" w:hAnsi="Arial"/>
          <w:sz w:val="22"/>
          <w:szCs w:val="22"/>
        </w:rPr>
        <w:t xml:space="preserve">Micro-influencer partnerships: offer free premium access to 10-20 tennis content creators.</w:t>
      </w:r>
    </w:p>
    <w:p>
      <w:pPr>
        <w:pStyle w:val="ListParagraph"/>
        <w:numPr>
          <w:ilvl w:val="0"/>
          <w:numId w:val="13"/>
        </w:numPr>
        <w:spacing w:after="60"/>
      </w:pPr>
      <w:r>
        <w:rPr>
          <w:rFonts w:ascii="Arial" w:cs="Arial" w:eastAsia="Arial" w:hAnsi="Arial"/>
          <w:sz w:val="22"/>
          <w:szCs w:val="22"/>
        </w:rPr>
        <w:t xml:space="preserve">Begin paid ad testing once organic content proves which messaging resonates.</w:t>
      </w:r>
    </w:p>
    <w:p>
      <w:pPr>
        <w:pStyle w:val="ListParagraph"/>
        <w:numPr>
          <w:ilvl w:val="0"/>
          <w:numId w:val="13"/>
        </w:numPr>
        <w:spacing w:after="60"/>
      </w:pPr>
      <w:r>
        <w:rPr>
          <w:rFonts w:ascii="Arial" w:cs="Arial" w:eastAsia="Arial" w:hAnsi="Arial"/>
          <w:sz w:val="22"/>
          <w:szCs w:val="22"/>
        </w:rPr>
        <w:t xml:space="preserve">Collect user testimonials and case studies for social proof.</w:t>
      </w:r>
    </w:p>
    <w:p>
      <w:pPr>
        <w:pStyle w:val="ListParagraph"/>
        <w:numPr>
          <w:ilvl w:val="0"/>
          <w:numId w:val="13"/>
        </w:numPr>
        <w:spacing w:after="60"/>
      </w:pPr>
      <w:r>
        <w:rPr>
          <w:rFonts w:ascii="Arial" w:cs="Arial" w:eastAsia="Arial" w:hAnsi="Arial"/>
          <w:sz w:val="22"/>
          <w:szCs w:val="22"/>
        </w:rPr>
        <w:t xml:space="preserve">Build the comparison SEO page: “Ten-Fifty5 vs SwingVision” to capture competitive search traffic.</w:t>
      </w:r>
    </w:p>
    <w:p>
      <w:pPr>
        <w:spacing w:after="120"/>
      </w:pPr>
    </w:p>
    <w:p>
      <w:pPr>
        <w:pStyle w:val="Heading2"/>
      </w:pPr>
      <w:r>
        <w:t xml:space="preserve">14.4 Long-Term (Months 3-12)</w:t>
      </w:r>
    </w:p>
    <w:p>
      <w:pPr>
        <w:spacing w:after="120"/>
      </w:pPr>
    </w:p>
    <w:p>
      <w:pPr>
        <w:pStyle w:val="ListParagraph"/>
        <w:numPr>
          <w:ilvl w:val="0"/>
          <w:numId w:val="13"/>
        </w:numPr>
        <w:spacing w:after="60"/>
      </w:pPr>
      <w:r>
        <w:rPr>
          <w:rFonts w:ascii="Arial" w:cs="Arial" w:eastAsia="Arial" w:hAnsi="Arial"/>
          <w:sz w:val="22"/>
          <w:szCs w:val="22"/>
        </w:rPr>
        <w:t xml:space="preserve">Complete T5 serve + rally pipeline to reduce SportAI dependency before contract renewal.</w:t>
      </w:r>
    </w:p>
    <w:p>
      <w:pPr>
        <w:pStyle w:val="ListParagraph"/>
        <w:numPr>
          <w:ilvl w:val="0"/>
          <w:numId w:val="13"/>
        </w:numPr>
        <w:spacing w:after="60"/>
      </w:pPr>
      <w:r>
        <w:rPr>
          <w:rFonts w:ascii="Arial" w:cs="Arial" w:eastAsia="Arial" w:hAnsi="Arial"/>
          <w:sz w:val="22"/>
          <w:szCs w:val="22"/>
        </w:rPr>
        <w:t xml:space="preserve">Launch UTR progression pathways feature — this is the ultimate differentiator.</w:t>
      </w:r>
    </w:p>
    <w:p>
      <w:pPr>
        <w:pStyle w:val="ListParagraph"/>
        <w:numPr>
          <w:ilvl w:val="0"/>
          <w:numId w:val="13"/>
        </w:numPr>
        <w:spacing w:after="60"/>
      </w:pPr>
      <w:r>
        <w:rPr>
          <w:rFonts w:ascii="Arial" w:cs="Arial" w:eastAsia="Arial" w:hAnsi="Arial"/>
          <w:sz w:val="22"/>
          <w:szCs w:val="22"/>
        </w:rPr>
        <w:t xml:space="preserve">Explore partnerships with tennis federations (LTA, USTA) and academies.</w:t>
      </w:r>
    </w:p>
    <w:p>
      <w:pPr>
        <w:pStyle w:val="ListParagraph"/>
        <w:numPr>
          <w:ilvl w:val="0"/>
          <w:numId w:val="13"/>
        </w:numPr>
        <w:spacing w:after="60"/>
      </w:pPr>
      <w:r>
        <w:rPr>
          <w:rFonts w:ascii="Arial" w:cs="Arial" w:eastAsia="Arial" w:hAnsi="Arial"/>
          <w:sz w:val="22"/>
          <w:szCs w:val="22"/>
        </w:rPr>
        <w:t xml:space="preserve">Scale paid acquisition based on proven unit economics.</w:t>
      </w:r>
    </w:p>
    <w:p>
      <w:pPr>
        <w:pStyle w:val="ListParagraph"/>
        <w:numPr>
          <w:ilvl w:val="0"/>
          <w:numId w:val="13"/>
        </w:numPr>
        <w:spacing w:after="60"/>
      </w:pPr>
      <w:r>
        <w:rPr>
          <w:rFonts w:ascii="Arial" w:cs="Arial" w:eastAsia="Arial" w:hAnsi="Arial"/>
          <w:sz w:val="22"/>
          <w:szCs w:val="22"/>
        </w:rPr>
        <w:t xml:space="preserve">Consider Product Hunt launch once traction is established.</w:t>
      </w:r>
    </w:p>
    <w:p>
      <w:pPr>
        <w:spacing w:after="120"/>
      </w:pPr>
    </w:p>
    <w:p>
      <w:pPr>
        <w:spacing w:after="120"/>
      </w:pPr>
    </w:p>
    <w:p>
      <w:pPr>
        <w:pBdr>
          <w:top w:val="single" w:color="C9A84C" w:sz="2" w:space="10"/>
          <w:bottom w:val="single" w:color="C9A84C" w:sz="2" w:space="10"/>
        </w:pBdr>
        <w:spacing w:after="200" w:before="400"/>
        <w:jc w:val="center"/>
      </w:pPr>
      <w:r>
        <w:rPr>
          <w:rFonts w:ascii="Arial" w:cs="Arial" w:eastAsia="Arial" w:hAnsi="Arial"/>
          <w:i/>
          <w:iCs/>
          <w:color w:val="1A3C2A"/>
          <w:sz w:val="22"/>
          <w:szCs w:val="22"/>
        </w:rPr>
        <w:t xml:space="preserve">The product is genuinely differentiated. The white space is real. Now go make it known.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AAAAAA"/>
        <w:sz w:val="16"/>
        <w:szCs w:val="16"/>
      </w:rPr>
      <w:t xml:space="preserve">CONFIDENTIAL  |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b/>
        <w:bCs/>
        <w:color w:val="1A3C2A"/>
        <w:sz w:val="16"/>
        <w:szCs w:val="16"/>
      </w:rPr>
      <w:t xml:space="preserve">TEN-FIFTY5  </w:t>
    </w:r>
    <w:r>
      <w:rPr>
        <w:rFonts w:ascii="Arial" w:cs="Arial" w:eastAsia="Arial" w:hAnsi="Arial"/>
        <w:color w:val="888888"/>
        <w:sz w:val="16"/>
        <w:szCs w:val="16"/>
      </w:rPr>
      <w:t xml:space="preserve">|  Go-To-Market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5"/>
    <w:lvlOverride w:ilvl="0">
      <w:startOverride w:val="1"/>
    </w:lvlOverride>
  </w:num>
  <w:num w:numId="13">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2026-04-18T03:43:26.982Z</dcterms:created>
  <dcterms:modified xsi:type="dcterms:W3CDTF">2026-04-18T03:43:26.984Z</dcterms:modified>
</cp:coreProperties>
</file>

<file path=docProps/custom.xml><?xml version="1.0" encoding="utf-8"?>
<Properties xmlns="http://schemas.openxmlformats.org/officeDocument/2006/custom-properties" xmlns:vt="http://schemas.openxmlformats.org/officeDocument/2006/docPropsVTypes"/>
</file>