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360" w:lineRule="auto" w:before="0" w:after="0"/>
        <w:ind w:firstLine="0"/>
        <w:jc w:val="center"/>
      </w:pPr>
      <w:r>
        <w:rPr>
          <w:rFonts w:ascii="Times New Roman" w:hAnsi="Times New Roman" w:eastAsia="Times New Roman" w:cs="Times New Roman"/>
          <w:b w:val="0"/>
          <w:color w:val="000000"/>
          <w:sz w:val="28"/>
        </w:rPr>
        <w:t>МИНОБРНАУКИ РОССИИ</w:t>
      </w:r>
    </w:p>
    <w:p>
      <w:pPr>
        <w:keepNext/>
        <w:spacing w:line="360" w:lineRule="auto" w:before="0" w:after="0"/>
        <w:ind w:firstLine="0"/>
        <w:jc w:val="center"/>
      </w:pPr>
      <w:r>
        <w:rPr>
          <w:rFonts w:ascii="Times New Roman" w:hAnsi="Times New Roman" w:eastAsia="Times New Roman" w:cs="Times New Roman"/>
          <w:b w:val="0"/>
          <w:color w:val="000000"/>
          <w:sz w:val="28"/>
        </w:rPr>
        <w:t>Федеральное государственное бюджетное</w:t>
      </w:r>
    </w:p>
    <w:p>
      <w:pPr>
        <w:keepNext/>
        <w:spacing w:line="360" w:lineRule="auto" w:before="0" w:after="0"/>
        <w:ind w:firstLine="0"/>
        <w:jc w:val="center"/>
      </w:pPr>
      <w:r>
        <w:rPr>
          <w:rFonts w:ascii="Times New Roman" w:hAnsi="Times New Roman" w:eastAsia="Times New Roman" w:cs="Times New Roman"/>
          <w:b w:val="0"/>
          <w:color w:val="000000"/>
          <w:sz w:val="28"/>
        </w:rPr>
        <w:t>образовательное учреждение высшего образования</w:t>
      </w:r>
    </w:p>
    <w:p>
      <w:pPr>
        <w:keepNext/>
        <w:spacing w:line="360" w:lineRule="auto" w:before="0" w:after="0"/>
        <w:ind w:firstLine="0"/>
        <w:jc w:val="center"/>
      </w:pPr>
      <w:r>
        <w:rPr>
          <w:rFonts w:ascii="Times New Roman" w:hAnsi="Times New Roman" w:eastAsia="Times New Roman" w:cs="Times New Roman"/>
          <w:b/>
          <w:color w:val="000000"/>
          <w:sz w:val="28"/>
        </w:rPr>
        <w:t>«Челябинский государственный университет»</w:t>
      </w:r>
    </w:p>
    <w:p>
      <w:pPr>
        <w:keepNext w:val="0"/>
        <w:spacing w:line="360" w:lineRule="auto" w:before="0" w:after="240"/>
        <w:ind w:firstLine="0"/>
        <w:jc w:val="center"/>
      </w:pPr>
      <w:r>
        <w:rPr>
          <w:rFonts w:ascii="Times New Roman" w:hAnsi="Times New Roman" w:eastAsia="Times New Roman" w:cs="Times New Roman"/>
          <w:b w:val="0"/>
          <w:color w:val="000000"/>
          <w:sz w:val="28"/>
        </w:rPr>
        <w:t>(ФГБОУ ВО «ЧелГУ»)</w:t>
      </w:r>
    </w:p>
    <w:p>
      <w:pPr>
        <w:keepNext/>
        <w:spacing w:line="360" w:lineRule="auto" w:before="0" w:after="120"/>
        <w:ind w:firstLine="0"/>
        <w:jc w:val="center"/>
      </w:pPr>
      <w:r>
        <w:rPr>
          <w:rFonts w:ascii="Times New Roman" w:hAnsi="Times New Roman" w:eastAsia="Times New Roman" w:cs="Times New Roman"/>
          <w:b w:val="0"/>
          <w:color w:val="000000"/>
          <w:sz w:val="28"/>
        </w:rPr>
        <w:t>Институт информационных технологий</w:t>
      </w:r>
    </w:p>
    <w:p>
      <w:pPr>
        <w:keepNext w:val="0"/>
        <w:spacing w:line="360" w:lineRule="auto" w:before="0" w:after="720"/>
        <w:ind w:firstLine="0"/>
        <w:jc w:val="center"/>
      </w:pPr>
      <w:r>
        <w:rPr>
          <w:rFonts w:ascii="Times New Roman" w:hAnsi="Times New Roman" w:eastAsia="Times New Roman" w:cs="Times New Roman"/>
          <w:b w:val="0"/>
          <w:color w:val="000000"/>
          <w:sz w:val="28"/>
        </w:rPr>
        <w:t>Кафедра информационных технологий и экономической информатики</w:t>
      </w:r>
    </w:p>
    <w:p>
      <w:pPr>
        <w:keepNext w:val="0"/>
        <w:spacing w:line="360" w:lineRule="auto" w:before="0" w:after="120"/>
        <w:ind w:firstLine="0"/>
        <w:jc w:val="center"/>
      </w:pPr>
      <w:r>
        <w:rPr>
          <w:rFonts w:ascii="Times New Roman" w:hAnsi="Times New Roman" w:eastAsia="Times New Roman" w:cs="Times New Roman"/>
          <w:b/>
          <w:color w:val="000000"/>
          <w:sz w:val="28"/>
        </w:rPr>
        <w:t>КУРСОВАЯ РАБОТА</w:t>
      </w:r>
    </w:p>
    <w:p>
      <w:pPr>
        <w:keepNext w:val="0"/>
        <w:spacing w:line="360" w:lineRule="auto" w:before="0" w:after="360"/>
        <w:ind w:firstLine="0"/>
        <w:jc w:val="center"/>
      </w:pPr>
      <w:r>
        <w:rPr>
          <w:rFonts w:ascii="Times New Roman" w:hAnsi="Times New Roman" w:eastAsia="Times New Roman" w:cs="Times New Roman"/>
          <w:b w:val="0"/>
          <w:color w:val="000000"/>
          <w:sz w:val="28"/>
        </w:rPr>
        <w:t>по дисциплине «Проектирование и разработка распределенных программных систем»</w:t>
      </w:r>
    </w:p>
    <w:p>
      <w:pPr>
        <w:keepNext/>
        <w:spacing w:line="360" w:lineRule="auto" w:before="0" w:after="0"/>
        <w:ind w:firstLine="0"/>
        <w:jc w:val="center"/>
      </w:pPr>
      <w:r>
        <w:rPr>
          <w:rFonts w:ascii="Times New Roman" w:hAnsi="Times New Roman" w:eastAsia="Times New Roman" w:cs="Times New Roman"/>
          <w:b/>
          <w:color w:val="000000"/>
          <w:sz w:val="28"/>
        </w:rPr>
        <w:t>Распределённая информационная система автоматизации закупочных процессов и интеллектуального подбора оборудования</w:t>
      </w:r>
    </w:p>
    <w:p>
      <w:pPr>
        <w:keepNext w:val="0"/>
        <w:spacing w:line="360" w:lineRule="auto" w:before="0" w:after="480"/>
        <w:ind w:firstLine="0"/>
        <w:jc w:val="center"/>
      </w:pPr>
      <w:r>
        <w:rPr>
          <w:rFonts w:ascii="Times New Roman" w:hAnsi="Times New Roman" w:eastAsia="Times New Roman" w:cs="Times New Roman"/>
          <w:b w:val="0"/>
          <w:color w:val="000000"/>
          <w:sz w:val="28"/>
        </w:rPr>
        <w:t>(тема)</w:t>
      </w:r>
    </w:p>
    <w:p>
      <w:pPr>
        <w:keepNext/>
        <w:spacing w:line="360" w:lineRule="auto" w:before="0" w:after="0"/>
        <w:ind w:firstLine="0"/>
        <w:jc w:val="left"/>
      </w:pPr>
      <w:r>
        <w:rPr>
          <w:rFonts w:ascii="Times New Roman" w:hAnsi="Times New Roman" w:eastAsia="Times New Roman" w:cs="Times New Roman"/>
          <w:b w:val="0"/>
          <w:color w:val="000000"/>
          <w:sz w:val="28"/>
        </w:rPr>
        <w:t>Выполнил студент ________________________________</w:t>
      </w:r>
    </w:p>
    <w:p>
      <w:pPr>
        <w:keepNext/>
        <w:spacing w:line="360" w:lineRule="auto" w:before="0" w:after="0"/>
        <w:ind w:firstLine="0"/>
        <w:jc w:val="left"/>
      </w:pPr>
      <w:r>
        <w:rPr>
          <w:rFonts w:ascii="Times New Roman" w:hAnsi="Times New Roman" w:eastAsia="Times New Roman" w:cs="Times New Roman"/>
          <w:b w:val="0"/>
          <w:color w:val="000000"/>
          <w:sz w:val="28"/>
        </w:rPr>
        <w:t>(Ф.И.О.)</w:t>
      </w:r>
    </w:p>
    <w:p>
      <w:pPr>
        <w:keepNext/>
        <w:spacing w:line="360" w:lineRule="auto" w:before="0" w:after="0"/>
        <w:ind w:firstLine="0"/>
        <w:jc w:val="left"/>
      </w:pPr>
      <w:r>
        <w:rPr>
          <w:rFonts w:ascii="Times New Roman" w:hAnsi="Times New Roman" w:eastAsia="Times New Roman" w:cs="Times New Roman"/>
          <w:b w:val="0"/>
          <w:color w:val="000000"/>
          <w:sz w:val="28"/>
        </w:rPr>
        <w:t>группы ____________________</w:t>
      </w:r>
    </w:p>
    <w:p>
      <w:pPr>
        <w:keepNext/>
        <w:spacing w:line="360" w:lineRule="auto" w:before="0" w:after="0"/>
        <w:ind w:firstLine="0"/>
        <w:jc w:val="left"/>
      </w:pPr>
      <w:r>
        <w:rPr>
          <w:rFonts w:ascii="Times New Roman" w:hAnsi="Times New Roman" w:eastAsia="Times New Roman" w:cs="Times New Roman"/>
          <w:b w:val="0"/>
          <w:color w:val="000000"/>
          <w:sz w:val="28"/>
        </w:rPr>
        <w:t>заочной формы обучения</w:t>
      </w:r>
    </w:p>
    <w:p>
      <w:pPr>
        <w:keepNext/>
        <w:spacing w:line="360" w:lineRule="auto" w:before="0" w:after="0"/>
        <w:ind w:firstLine="0"/>
        <w:jc w:val="left"/>
      </w:pPr>
      <w:r>
        <w:rPr>
          <w:rFonts w:ascii="Times New Roman" w:hAnsi="Times New Roman" w:eastAsia="Times New Roman" w:cs="Times New Roman"/>
          <w:b w:val="0"/>
          <w:color w:val="000000"/>
          <w:sz w:val="28"/>
        </w:rPr>
        <w:t>направления подготовки</w:t>
      </w:r>
    </w:p>
    <w:p>
      <w:pPr>
        <w:keepNext/>
        <w:spacing w:line="360" w:lineRule="auto" w:before="0" w:after="0"/>
        <w:ind w:firstLine="0"/>
        <w:jc w:val="left"/>
      </w:pPr>
      <w:r>
        <w:rPr>
          <w:rFonts w:ascii="Times New Roman" w:hAnsi="Times New Roman" w:eastAsia="Times New Roman" w:cs="Times New Roman"/>
          <w:b w:val="0"/>
          <w:color w:val="000000"/>
          <w:sz w:val="28"/>
        </w:rPr>
        <w:t>________________________________________________</w:t>
      </w:r>
    </w:p>
    <w:p>
      <w:pPr>
        <w:keepNext/>
        <w:spacing w:line="360" w:lineRule="auto" w:before="0" w:after="0"/>
        <w:ind w:firstLine="0"/>
        <w:jc w:val="left"/>
      </w:pPr>
      <w:r>
        <w:rPr>
          <w:rFonts w:ascii="Times New Roman" w:hAnsi="Times New Roman" w:eastAsia="Times New Roman" w:cs="Times New Roman"/>
          <w:b w:val="0"/>
          <w:color w:val="000000"/>
          <w:sz w:val="28"/>
        </w:rPr>
        <w:t>(подпись)</w:t>
      </w:r>
    </w:p>
    <w:p>
      <w:pPr>
        <w:keepNext w:val="0"/>
        <w:spacing w:line="360" w:lineRule="auto" w:before="0" w:after="240"/>
        <w:ind w:firstLine="0"/>
        <w:jc w:val="left"/>
      </w:pPr>
      <w:r>
        <w:rPr>
          <w:rFonts w:ascii="Times New Roman" w:hAnsi="Times New Roman" w:eastAsia="Times New Roman" w:cs="Times New Roman"/>
          <w:b w:val="0"/>
          <w:color w:val="000000"/>
          <w:sz w:val="28"/>
        </w:rPr>
        <w:t>«____» ____________ 20___ г.</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677"/>
        <w:gridCol w:w="4677"/>
      </w:tblGrid>
      <w:tr>
        <w:tc>
          <w:tcPr>
            <w:tcW w:type="dxa" w:w="4677"/>
          </w:tcPr>
          <w:p>
            <w:r/>
          </w:p>
        </w:tc>
        <w:tc>
          <w:tcPr>
            <w:tcW w:type="dxa" w:w="4677"/>
          </w:tcPr>
          <w:p>
            <w:pPr>
              <w:spacing w:line="360" w:lineRule="auto"/>
              <w:ind w:firstLine="0"/>
              <w:jc w:val="left"/>
            </w:pPr>
            <w:r>
              <w:rPr>
                <w:rFonts w:ascii="Times New Roman" w:hAnsi="Times New Roman" w:eastAsia="Times New Roman" w:cs="Times New Roman"/>
                <w:b/>
                <w:color w:val="000000"/>
                <w:sz w:val="28"/>
              </w:rPr>
              <w:t>Научный руководитель</w:t>
            </w:r>
          </w:p>
          <w:p>
            <w:pPr>
              <w:spacing w:line="360" w:lineRule="auto" w:before="0" w:after="0"/>
              <w:ind w:firstLine="0"/>
              <w:jc w:val="left"/>
            </w:pPr>
            <w:r>
              <w:rPr>
                <w:rFonts w:ascii="Times New Roman" w:hAnsi="Times New Roman" w:eastAsia="Times New Roman" w:cs="Times New Roman"/>
                <w:color w:val="000000"/>
                <w:sz w:val="28"/>
              </w:rPr>
              <w:t>Фамилия, имя, отчество _________________</w:t>
            </w:r>
          </w:p>
          <w:p>
            <w:pPr>
              <w:spacing w:line="360" w:lineRule="auto" w:before="0" w:after="0"/>
              <w:ind w:firstLine="0"/>
              <w:jc w:val="left"/>
            </w:pPr>
            <w:r>
              <w:rPr>
                <w:rFonts w:ascii="Times New Roman" w:hAnsi="Times New Roman" w:eastAsia="Times New Roman" w:cs="Times New Roman"/>
                <w:color w:val="000000"/>
                <w:sz w:val="28"/>
              </w:rPr>
              <w:t>Должность ____________________________</w:t>
            </w:r>
          </w:p>
          <w:p>
            <w:pPr>
              <w:spacing w:line="360" w:lineRule="auto" w:before="0" w:after="0"/>
              <w:ind w:firstLine="0"/>
              <w:jc w:val="left"/>
            </w:pPr>
            <w:r>
              <w:rPr>
                <w:rFonts w:ascii="Times New Roman" w:hAnsi="Times New Roman" w:eastAsia="Times New Roman" w:cs="Times New Roman"/>
                <w:color w:val="000000"/>
                <w:sz w:val="28"/>
              </w:rPr>
              <w:t>Ученая степень ________________________</w:t>
            </w:r>
          </w:p>
          <w:p>
            <w:pPr>
              <w:spacing w:line="360" w:lineRule="auto" w:before="0" w:after="0"/>
              <w:ind w:firstLine="0"/>
              <w:jc w:val="left"/>
            </w:pPr>
            <w:r>
              <w:rPr>
                <w:rFonts w:ascii="Times New Roman" w:hAnsi="Times New Roman" w:eastAsia="Times New Roman" w:cs="Times New Roman"/>
                <w:color w:val="000000"/>
                <w:sz w:val="28"/>
              </w:rPr>
              <w:t>Ученое звание _________________________</w:t>
            </w:r>
          </w:p>
          <w:p>
            <w:pPr>
              <w:spacing w:line="360" w:lineRule="auto" w:before="0" w:after="0"/>
              <w:ind w:firstLine="0"/>
              <w:jc w:val="left"/>
            </w:pPr>
            <w:r>
              <w:rPr>
                <w:rFonts w:ascii="Times New Roman" w:hAnsi="Times New Roman" w:eastAsia="Times New Roman" w:cs="Times New Roman"/>
                <w:color w:val="000000"/>
                <w:sz w:val="28"/>
              </w:rPr>
              <w:t>______________________________________</w:t>
            </w:r>
          </w:p>
          <w:p>
            <w:pPr>
              <w:spacing w:line="360" w:lineRule="auto" w:before="0" w:after="0"/>
              <w:ind w:firstLine="0"/>
              <w:jc w:val="left"/>
            </w:pPr>
            <w:r>
              <w:rPr>
                <w:rFonts w:ascii="Times New Roman" w:hAnsi="Times New Roman" w:eastAsia="Times New Roman" w:cs="Times New Roman"/>
                <w:color w:val="000000"/>
                <w:sz w:val="28"/>
              </w:rPr>
              <w:t>(подпись)</w:t>
            </w:r>
          </w:p>
          <w:p>
            <w:pPr>
              <w:spacing w:line="360" w:lineRule="auto" w:before="0" w:after="0"/>
              <w:ind w:firstLine="0"/>
              <w:jc w:val="left"/>
            </w:pPr>
            <w:r>
              <w:rPr>
                <w:rFonts w:ascii="Times New Roman" w:hAnsi="Times New Roman" w:eastAsia="Times New Roman" w:cs="Times New Roman"/>
                <w:color w:val="000000"/>
                <w:sz w:val="28"/>
              </w:rPr>
              <w:t>«___» _________ 20____ г.</w:t>
            </w:r>
          </w:p>
        </w:tc>
      </w:tr>
    </w:tbl>
    <w:p>
      <w:pPr>
        <w:keepNext w:val="0"/>
        <w:spacing w:line="360" w:lineRule="auto" w:before="0" w:after="480"/>
        <w:ind w:firstLine="0"/>
        <w:jc w:val="center"/>
      </w:pPr>
      <w:r>
        <w:rPr>
          <w:rFonts w:ascii="Times New Roman" w:hAnsi="Times New Roman" w:eastAsia="Times New Roman" w:cs="Times New Roman"/>
          <w:b w:val="0"/>
          <w:color w:val="000000"/>
          <w:sz w:val="28"/>
        </w:rPr>
      </w:r>
    </w:p>
    <w:p>
      <w:pPr>
        <w:keepNext/>
        <w:spacing w:line="360" w:lineRule="auto" w:before="0" w:after="0"/>
        <w:ind w:firstLine="0"/>
        <w:jc w:val="center"/>
      </w:pPr>
      <w:r>
        <w:rPr>
          <w:rFonts w:ascii="Times New Roman" w:hAnsi="Times New Roman" w:eastAsia="Times New Roman" w:cs="Times New Roman"/>
          <w:b w:val="0"/>
          <w:color w:val="000000"/>
          <w:sz w:val="28"/>
        </w:rPr>
        <w:t>Челябинск</w:t>
      </w:r>
    </w:p>
    <w:p>
      <w:pPr>
        <w:keepNext w:val="0"/>
        <w:spacing w:line="360" w:lineRule="auto" w:before="0" w:after="0"/>
        <w:ind w:firstLine="0"/>
        <w:jc w:val="center"/>
      </w:pPr>
      <w:r>
        <w:rPr>
          <w:rFonts w:ascii="Times New Roman" w:hAnsi="Times New Roman" w:eastAsia="Times New Roman" w:cs="Times New Roman"/>
          <w:b w:val="0"/>
          <w:color w:val="000000"/>
          <w:sz w:val="28"/>
        </w:rPr>
        <w:t>2026</w:t>
      </w:r>
    </w:p>
    <w:p>
      <w:r>
        <w:br w:type="page"/>
      </w:r>
    </w:p>
    <w:p>
      <w:pPr>
        <w:pStyle w:val="Heading1"/>
        <w:pageBreakBefore w:val="0"/>
        <w:jc w:val="center"/>
      </w:pPr>
      <w:r>
        <w:rPr>
          <w:rFonts w:ascii="Times New Roman" w:hAnsi="Times New Roman" w:eastAsia="Times New Roman" w:cs="Times New Roman"/>
          <w:b/>
          <w:color w:val="000000"/>
          <w:sz w:val="28"/>
        </w:rPr>
        <w:t>ЗАДАНИЕ НА КУРСОВУЮ РАБОТУ</w:t>
      </w:r>
    </w:p>
    <w:p>
      <w:r>
        <w:rPr>
          <w:rFonts w:ascii="Times New Roman" w:hAnsi="Times New Roman" w:eastAsia="Times New Roman" w:cs="Times New Roman"/>
          <w:b w:val="0"/>
          <w:color w:val="000000"/>
          <w:sz w:val="28"/>
        </w:rPr>
        <w:t>Реализовать проект «Распределённая информационная система автоматизации закупочных процессов и интеллектуального подбора оборудования». Программный продукт предназначен для подразделения, которое выполняет проекты с проектированием и поставкой оборудования; заказчик внутренний. Исходные требования зафиксированы в техническом задании версии 1.0 от 24.04.2026.</w:t>
      </w:r>
    </w:p>
    <w:p>
      <w:r>
        <w:rPr>
          <w:rFonts w:ascii="Times New Roman" w:hAnsi="Times New Roman" w:eastAsia="Times New Roman" w:cs="Times New Roman"/>
          <w:b w:val="0"/>
          <w:color w:val="000000"/>
          <w:sz w:val="28"/>
        </w:rPr>
        <w:t>В ходе реализации проекта необходимо:</w:t>
      </w:r>
    </w:p>
    <w:p>
      <w:r>
        <w:rPr>
          <w:rFonts w:ascii="Times New Roman" w:hAnsi="Times New Roman" w:eastAsia="Times New Roman" w:cs="Times New Roman"/>
          <w:b w:val="0"/>
          <w:color w:val="000000"/>
          <w:sz w:val="28"/>
        </w:rPr>
        <w:t>Выполнить бизнес-анализ предметной области, включая:</w:t>
      </w:r>
    </w:p>
    <w:p>
      <w:pPr>
        <w:spacing w:line="360" w:lineRule="auto"/>
        <w:ind w:firstLine="0" w:left="709"/>
        <w:numPr>
          <w:ilvl w:val="0"/>
          <w:numId w:val="10"/>
        </w:numPr>
      </w:pPr>
      <w:r>
        <w:rPr>
          <w:rFonts w:ascii="Times New Roman" w:hAnsi="Times New Roman" w:eastAsia="Times New Roman" w:cs="Times New Roman"/>
          <w:b w:val="0"/>
          <w:color w:val="000000"/>
          <w:sz w:val="28"/>
        </w:rPr>
        <w:t>интервьюирование заказчика;</w:t>
      </w:r>
    </w:p>
    <w:p>
      <w:pPr>
        <w:spacing w:line="360" w:lineRule="auto"/>
        <w:ind w:firstLine="0" w:left="709"/>
        <w:numPr>
          <w:ilvl w:val="0"/>
          <w:numId w:val="10"/>
        </w:numPr>
      </w:pPr>
      <w:r>
        <w:rPr>
          <w:rFonts w:ascii="Times New Roman" w:hAnsi="Times New Roman" w:eastAsia="Times New Roman" w:cs="Times New Roman"/>
          <w:b w:val="0"/>
          <w:color w:val="000000"/>
          <w:sz w:val="28"/>
        </w:rPr>
        <w:t>анкетирование конечных пользователей;</w:t>
      </w:r>
    </w:p>
    <w:p>
      <w:pPr>
        <w:spacing w:line="360" w:lineRule="auto"/>
        <w:ind w:firstLine="0" w:left="709"/>
        <w:numPr>
          <w:ilvl w:val="0"/>
          <w:numId w:val="10"/>
        </w:numPr>
      </w:pPr>
      <w:r>
        <w:rPr>
          <w:rFonts w:ascii="Times New Roman" w:hAnsi="Times New Roman" w:eastAsia="Times New Roman" w:cs="Times New Roman"/>
          <w:b w:val="0"/>
          <w:color w:val="000000"/>
          <w:sz w:val="28"/>
        </w:rPr>
        <w:t>описание заинтересованных лиц и конечных пользователей;</w:t>
      </w:r>
    </w:p>
    <w:p>
      <w:pPr>
        <w:spacing w:line="360" w:lineRule="auto"/>
        <w:ind w:firstLine="0" w:left="709"/>
        <w:numPr>
          <w:ilvl w:val="0"/>
          <w:numId w:val="10"/>
        </w:numPr>
      </w:pPr>
      <w:r>
        <w:rPr>
          <w:rFonts w:ascii="Times New Roman" w:hAnsi="Times New Roman" w:eastAsia="Times New Roman" w:cs="Times New Roman"/>
          <w:b w:val="0"/>
          <w:color w:val="000000"/>
          <w:sz w:val="28"/>
        </w:rPr>
        <w:t>словарь предметной области;</w:t>
      </w:r>
    </w:p>
    <w:p>
      <w:pPr>
        <w:spacing w:line="360" w:lineRule="auto"/>
        <w:ind w:firstLine="0" w:left="709"/>
        <w:numPr>
          <w:ilvl w:val="0"/>
          <w:numId w:val="10"/>
        </w:numPr>
      </w:pPr>
      <w:r>
        <w:rPr>
          <w:rFonts w:ascii="Times New Roman" w:hAnsi="Times New Roman" w:eastAsia="Times New Roman" w:cs="Times New Roman"/>
          <w:b w:val="0"/>
          <w:color w:val="000000"/>
          <w:sz w:val="28"/>
        </w:rPr>
        <w:t>анализ бизнес-требований (в виде схемы бизнес-целей, бизнес-требований и функций системы).</w:t>
      </w:r>
    </w:p>
    <w:p>
      <w:r>
        <w:rPr>
          <w:rFonts w:ascii="Times New Roman" w:hAnsi="Times New Roman" w:eastAsia="Times New Roman" w:cs="Times New Roman"/>
          <w:b w:val="0"/>
          <w:color w:val="000000"/>
          <w:sz w:val="28"/>
        </w:rPr>
        <w:t>Провести сравнительный анализ существующих аналогичных решений на рынке.</w:t>
      </w:r>
    </w:p>
    <w:p>
      <w:r>
        <w:rPr>
          <w:rFonts w:ascii="Times New Roman" w:hAnsi="Times New Roman" w:eastAsia="Times New Roman" w:cs="Times New Roman"/>
          <w:b w:val="0"/>
          <w:color w:val="000000"/>
          <w:sz w:val="28"/>
        </w:rPr>
        <w:t>Разработать концепцию решения, включая:</w:t>
      </w:r>
    </w:p>
    <w:p>
      <w:pPr>
        <w:spacing w:line="360" w:lineRule="auto"/>
        <w:ind w:firstLine="0" w:left="709"/>
        <w:numPr>
          <w:ilvl w:val="0"/>
          <w:numId w:val="11"/>
        </w:numPr>
      </w:pPr>
      <w:r>
        <w:rPr>
          <w:rFonts w:ascii="Times New Roman" w:hAnsi="Times New Roman" w:eastAsia="Times New Roman" w:cs="Times New Roman"/>
          <w:b w:val="0"/>
          <w:color w:val="000000"/>
          <w:sz w:val="28"/>
        </w:rPr>
        <w:t>описание общей функциональности решения;</w:t>
      </w:r>
    </w:p>
    <w:p>
      <w:pPr>
        <w:spacing w:line="360" w:lineRule="auto"/>
        <w:ind w:firstLine="0" w:left="709"/>
        <w:numPr>
          <w:ilvl w:val="0"/>
          <w:numId w:val="11"/>
        </w:numPr>
      </w:pPr>
      <w:r>
        <w:rPr>
          <w:rFonts w:ascii="Times New Roman" w:hAnsi="Times New Roman" w:eastAsia="Times New Roman" w:cs="Times New Roman"/>
          <w:b w:val="0"/>
          <w:color w:val="000000"/>
          <w:sz w:val="28"/>
        </w:rPr>
        <w:t>детализацию требований к решению (пользовательские истории с учётом приоритетов и декомпозиции по методике User Story Mapping);</w:t>
      </w:r>
    </w:p>
    <w:p>
      <w:pPr>
        <w:spacing w:line="360" w:lineRule="auto"/>
        <w:ind w:firstLine="0" w:left="709"/>
        <w:numPr>
          <w:ilvl w:val="0"/>
          <w:numId w:val="11"/>
        </w:numPr>
      </w:pPr>
      <w:r>
        <w:rPr>
          <w:rFonts w:ascii="Times New Roman" w:hAnsi="Times New Roman" w:eastAsia="Times New Roman" w:cs="Times New Roman"/>
          <w:b w:val="0"/>
          <w:color w:val="000000"/>
          <w:sz w:val="28"/>
        </w:rPr>
        <w:t>описание границ решения;</w:t>
      </w:r>
    </w:p>
    <w:p>
      <w:pPr>
        <w:spacing w:line="360" w:lineRule="auto"/>
        <w:ind w:firstLine="0" w:left="709"/>
        <w:numPr>
          <w:ilvl w:val="0"/>
          <w:numId w:val="11"/>
        </w:numPr>
      </w:pPr>
      <w:r>
        <w:rPr>
          <w:rFonts w:ascii="Times New Roman" w:hAnsi="Times New Roman" w:eastAsia="Times New Roman" w:cs="Times New Roman"/>
          <w:b w:val="0"/>
          <w:color w:val="000000"/>
          <w:sz w:val="28"/>
        </w:rPr>
        <w:t>описание возможных архитектурных и технических решений.</w:t>
      </w:r>
    </w:p>
    <w:p>
      <w:r>
        <w:rPr>
          <w:rFonts w:ascii="Times New Roman" w:hAnsi="Times New Roman" w:eastAsia="Times New Roman" w:cs="Times New Roman"/>
          <w:b w:val="0"/>
          <w:color w:val="000000"/>
          <w:sz w:val="28"/>
        </w:rPr>
        <w:t>Спроектировать разрабатываемую систему, включая:</w:t>
      </w:r>
    </w:p>
    <w:p>
      <w:pPr>
        <w:spacing w:line="360" w:lineRule="auto"/>
        <w:ind w:firstLine="0" w:left="709"/>
        <w:numPr>
          <w:ilvl w:val="0"/>
          <w:numId w:val="12"/>
        </w:numPr>
      </w:pPr>
      <w:r>
        <w:rPr>
          <w:rFonts w:ascii="Times New Roman" w:hAnsi="Times New Roman" w:eastAsia="Times New Roman" w:cs="Times New Roman"/>
          <w:b w:val="0"/>
          <w:color w:val="000000"/>
          <w:sz w:val="28"/>
        </w:rPr>
        <w:t>проектирование архитектуры и структуры системы;</w:t>
      </w:r>
    </w:p>
    <w:p>
      <w:pPr>
        <w:spacing w:line="360" w:lineRule="auto"/>
        <w:ind w:firstLine="0" w:left="709"/>
        <w:numPr>
          <w:ilvl w:val="0"/>
          <w:numId w:val="12"/>
        </w:numPr>
      </w:pPr>
      <w:r>
        <w:rPr>
          <w:rFonts w:ascii="Times New Roman" w:hAnsi="Times New Roman" w:eastAsia="Times New Roman" w:cs="Times New Roman"/>
          <w:b w:val="0"/>
          <w:color w:val="000000"/>
          <w:sz w:val="28"/>
        </w:rPr>
        <w:t>проектирование базы данных;</w:t>
      </w:r>
    </w:p>
    <w:p>
      <w:pPr>
        <w:spacing w:line="360" w:lineRule="auto"/>
        <w:ind w:firstLine="0" w:left="709"/>
        <w:numPr>
          <w:ilvl w:val="0"/>
          <w:numId w:val="12"/>
        </w:numPr>
      </w:pPr>
      <w:r>
        <w:rPr>
          <w:rFonts w:ascii="Times New Roman" w:hAnsi="Times New Roman" w:eastAsia="Times New Roman" w:cs="Times New Roman"/>
          <w:b w:val="0"/>
          <w:color w:val="000000"/>
          <w:sz w:val="28"/>
        </w:rPr>
        <w:t>прототипирование интерфейса пользователя;</w:t>
      </w:r>
    </w:p>
    <w:p>
      <w:pPr>
        <w:spacing w:line="360" w:lineRule="auto"/>
        <w:ind w:firstLine="0" w:left="709"/>
        <w:numPr>
          <w:ilvl w:val="0"/>
          <w:numId w:val="12"/>
        </w:numPr>
      </w:pPr>
      <w:r>
        <w:rPr>
          <w:rFonts w:ascii="Times New Roman" w:hAnsi="Times New Roman" w:eastAsia="Times New Roman" w:cs="Times New Roman"/>
          <w:b w:val="0"/>
          <w:color w:val="000000"/>
          <w:sz w:val="28"/>
        </w:rPr>
        <w:t>детальное проектирование отдельных модулей при необходимости.</w:t>
      </w:r>
    </w:p>
    <w:p>
      <w:r>
        <w:rPr>
          <w:rFonts w:ascii="Times New Roman" w:hAnsi="Times New Roman" w:eastAsia="Times New Roman" w:cs="Times New Roman"/>
          <w:b w:val="0"/>
          <w:color w:val="000000"/>
          <w:sz w:val="28"/>
        </w:rPr>
        <w:t>Выполнить программную реализацию первой версии системы (продукта).</w:t>
      </w:r>
    </w:p>
    <w:p>
      <w:r>
        <w:rPr>
          <w:rFonts w:ascii="Times New Roman" w:hAnsi="Times New Roman" w:eastAsia="Times New Roman" w:cs="Times New Roman"/>
          <w:b w:val="0"/>
          <w:color w:val="000000"/>
          <w:sz w:val="28"/>
        </w:rPr>
        <w:t>Выполнить функциональное тестирование системы по тестовым сценариям.</w:t>
      </w:r>
    </w:p>
    <w:p>
      <w:r>
        <w:br w:type="page"/>
      </w:r>
    </w:p>
    <w:p>
      <w:pPr>
        <w:pStyle w:val="ContentsTitle"/>
      </w:pPr>
      <w:r>
        <w:rPr>
          <w:rFonts w:ascii="Times New Roman" w:hAnsi="Times New Roman" w:eastAsia="Times New Roman" w:cs="Times New Roman"/>
          <w:b/>
          <w:color w:val="000000"/>
          <w:sz w:val="28"/>
        </w:rPr>
        <w:t>СОДЕРЖАНИЕ</w:t>
      </w:r>
    </w:p>
    <w:p>
      <w:pPr>
        <w:spacing w:line="360" w:lineRule="auto"/>
        <w:ind w:firstLine="0"/>
      </w:pPr>
      <w:r>
        <w:rPr>
          <w:rFonts w:ascii="Times New Roman" w:hAnsi="Times New Roman" w:eastAsia="Times New Roman" w:cs="Times New Roman"/>
          <w:color w:val="000000"/>
          <w:sz w:val="28"/>
        </w:rPr>
        <w:fldChar w:fldCharType="begin" w:dirty="true"/>
        <w:instrText xml:space="preserve"> TOC \o "1-3" \h \z \u </w:instrText>
        <w:fldChar w:fldCharType="separate"/>
        <w:t>Обновите оглавление в Microsoft Word клавишей F9.</w:t>
        <w:fldChar w:fldCharType="end"/>
      </w:r>
    </w:p>
    <w:p>
      <w:pPr>
        <w:pStyle w:val="Heading1"/>
        <w:jc w:val="center"/>
      </w:pPr>
      <w:r>
        <w:rPr>
          <w:rFonts w:ascii="Times New Roman" w:hAnsi="Times New Roman" w:eastAsia="Times New Roman" w:cs="Times New Roman"/>
          <w:b/>
          <w:color w:val="000000"/>
          <w:sz w:val="28"/>
        </w:rPr>
        <w:t>ВВЕДЕНИЕ</w:t>
      </w:r>
    </w:p>
    <w:p>
      <w:r>
        <w:rPr>
          <w:rFonts w:ascii="Times New Roman" w:hAnsi="Times New Roman" w:eastAsia="Times New Roman" w:cs="Times New Roman"/>
          <w:b w:val="0"/>
          <w:color w:val="000000"/>
          <w:sz w:val="28"/>
        </w:rPr>
        <w:t>Подразделение-заказчик регулярно выполняет проекты, в которых проектирование совмещено с поставкой оборудования, а перечни позиций бывают значительными по объёму. Подготовка коммерческого предложения начинается не с готового каталога, а с пакета прайс-листов поставщиков и производителей в файлах Excel. Структуры этих файлов у разных отправителей не совпадают, поэтому руководитель проекта ищет артикул сразу в нескольких таблицах и вручную приводит цены к общей основе. Точное совпадение по артикулу не покрывает опечатки, разные наименования одного товара и строки без SKU. Результат подбора обычно сводится к одному варианту без формального сравнения, а после «утверждения» исходный прайс может измениться так, что согласованная стоимость уже не восстанавливается.</w:t>
      </w:r>
    </w:p>
    <w:p>
      <w:r>
        <w:rPr>
          <w:rFonts w:ascii="Times New Roman" w:hAnsi="Times New Roman" w:eastAsia="Times New Roman" w:cs="Times New Roman"/>
          <w:b w:val="0"/>
          <w:color w:val="000000"/>
          <w:sz w:val="28"/>
        </w:rPr>
        <w:t>В техническом задании версии 1.0 от 24.04.2026 эта практика связывается с недостаточной глубиной анализа рынка, выбором единственного поставщика и завышением себестоимости. Следствиями названы снижение маржинальности и падение доли выигранных тендеров, хотя числовые KPI в ТЗ не согласованы. Счёт во внутреннем NOC и заказ поставщику вводятся отдельно от расчёта КП, а склад и бухгалтерская 1С получают факт прихода своим контуром. Электронные таблицы и почта не дают гибкого разбора произвольного Excel, нескольких объяснимых вариантов КП и ролевого маршрута с неизменностью документа. Проблема подготовки коммерческих предложений по неоднородным прайсам поэтому относится не к учебной постановке, а к разрыву реального закупочного процесса. Работа опирается на проверяемые свойства: воспроизводимый расчёт, видимость несопоставленных строк, разграничение ролей и снимок цены.</w:t>
      </w:r>
    </w:p>
    <w:p>
      <w:r>
        <w:rPr>
          <w:rFonts w:ascii="Times New Roman" w:hAnsi="Times New Roman" w:eastAsia="Times New Roman" w:cs="Times New Roman"/>
          <w:b w:val="0"/>
          <w:color w:val="000000"/>
          <w:sz w:val="28"/>
        </w:rPr>
        <w:t>Готовые продукты закрывают отдельные фрагменты этой боли, но не собирают целевой набор без проекта внедрения. «1С:Управление торговлей» даёт учётный контур и соответствие номенклатуры поставщика [29], однако не описывает загрузку произвольного Excel нескольких поставщиков с тремя объяснимыми вариантами КП. SAP Ariba и AGORA решают класс e-procurement [30, 31, 33, 34], но несоразмерны учебному разбору закрытых прайсов. B2B-Center организует рыночные процедуры между организациями [32], а Docsvision маршрутизирует документы и не считает коммерческое предложение [35]. По этим причинам работа направлена на собственную систему в границах ТЗ, а не на лицензию готовой платформы.</w:t>
      </w:r>
    </w:p>
    <w:p>
      <w:r>
        <w:rPr>
          <w:rFonts w:ascii="Times New Roman" w:hAnsi="Times New Roman" w:eastAsia="Times New Roman" w:cs="Times New Roman"/>
          <w:b w:val="0"/>
          <w:color w:val="000000"/>
          <w:sz w:val="28"/>
        </w:rPr>
        <w:t>Объектом исследования служит закупочный процесс проектного подразделения: от поступления неоднородных прайс-листов и перечня оборудования до согласованного коммерческого предложения, счёта, заказа и складской приёмки. В этот процесс входят руководитель проекта, коммерческий блок, бухгалтерия и склад, а смежными контурами остаются внутренний NOC и бухгалтерская 1С. Предметом исследования являются методы и программные средства разбора прайсов произвольной структуры, сопоставления номенклатуры, генерации сравнимых вариантов КП и сквозного ведения закупки. Граница предмета не включает промышленный ERP-контур и полную замену 1С, поскольку система закрывает разрыв между входом Excel и оформленным документом, а не подменяет регламентированный учёт.</w:t>
      </w:r>
    </w:p>
    <w:p>
      <w:r>
        <w:rPr>
          <w:rFonts w:ascii="Times New Roman" w:hAnsi="Times New Roman" w:eastAsia="Times New Roman" w:cs="Times New Roman"/>
          <w:b w:val="0"/>
          <w:color w:val="000000"/>
          <w:sz w:val="28"/>
        </w:rPr>
        <w:t>Цель работы состоит в том, чтобы разработать и реализовать первую версию распределённой информационной системы автоматизации закупочных процессов и интеллектуального подбора оборудования. Система должна принимать неоднородные прайсы Excel, сопоставлять перечень проекта с каталогом и строить несколько объяснимых вариантов КП. Выбранный вариант требуется довести до согласования коммерческим блоком, внутреннего счёта, заказа со снимком цены и приёмки на учебном стенде. Критерием достижения приняты проверяемые свойства первой версии, а не несогласованные проценты снижения себестоимости, и для достижения цели поставлены следующие задачи:</w:t>
      </w:r>
    </w:p>
    <w:p>
      <w:pPr>
        <w:spacing w:line="360" w:lineRule="auto"/>
        <w:ind w:firstLine="0" w:left="709"/>
        <w:numPr>
          <w:ilvl w:val="0"/>
          <w:numId w:val="13"/>
        </w:numPr>
      </w:pPr>
      <w:r>
        <w:rPr>
          <w:rFonts w:ascii="Times New Roman" w:hAnsi="Times New Roman" w:eastAsia="Times New Roman" w:cs="Times New Roman"/>
          <w:b w:val="0"/>
          <w:color w:val="000000"/>
          <w:sz w:val="28"/>
        </w:rPr>
        <w:t>Выполнить бизнес-анализ закупочного процесса заказчика, включая реконструкцию интервью по ТЗ, модельную анкету, словарь предметной области, описание ситуаций AS IS и TO BE, портреты ролей и бизнес-требования.</w:t>
      </w:r>
    </w:p>
    <w:p>
      <w:pPr>
        <w:spacing w:line="360" w:lineRule="auto"/>
        <w:ind w:firstLine="0" w:left="709"/>
        <w:numPr>
          <w:ilvl w:val="0"/>
          <w:numId w:val="13"/>
        </w:numPr>
      </w:pPr>
      <w:r>
        <w:rPr>
          <w:rFonts w:ascii="Times New Roman" w:hAnsi="Times New Roman" w:eastAsia="Times New Roman" w:cs="Times New Roman"/>
          <w:b w:val="0"/>
          <w:color w:val="000000"/>
          <w:sz w:val="28"/>
        </w:rPr>
        <w:t>Провести сравнительный анализ существующих решений по критериям, выведенным из бизнес-требований, и обосновать разработку собственной системы.</w:t>
      </w:r>
    </w:p>
    <w:p>
      <w:pPr>
        <w:spacing w:line="360" w:lineRule="auto"/>
        <w:ind w:firstLine="0" w:left="709"/>
        <w:numPr>
          <w:ilvl w:val="0"/>
          <w:numId w:val="13"/>
        </w:numPr>
      </w:pPr>
      <w:r>
        <w:rPr>
          <w:rFonts w:ascii="Times New Roman" w:hAnsi="Times New Roman" w:eastAsia="Times New Roman" w:cs="Times New Roman"/>
          <w:b w:val="0"/>
          <w:color w:val="000000"/>
          <w:sz w:val="28"/>
        </w:rPr>
        <w:t>Разработать концепцию первой версии: детализировать требования по структуре ГОСТ 34.602, описать прецеденты UML, путь руководителя проекта и карту пользовательских историй, зафиксировать границы решения и риски.</w:t>
      </w:r>
    </w:p>
    <w:p>
      <w:pPr>
        <w:spacing w:line="360" w:lineRule="auto"/>
        <w:ind w:firstLine="0" w:left="709"/>
        <w:numPr>
          <w:ilvl w:val="0"/>
          <w:numId w:val="13"/>
        </w:numPr>
      </w:pPr>
      <w:r>
        <w:rPr>
          <w:rFonts w:ascii="Times New Roman" w:hAnsi="Times New Roman" w:eastAsia="Times New Roman" w:cs="Times New Roman"/>
          <w:b w:val="0"/>
          <w:color w:val="000000"/>
          <w:sz w:val="28"/>
        </w:rPr>
        <w:t>Спроектировать архитектуру, модель данных и пользовательский интерфейс распределённой системы, включая выбор стека и шаблоны обмена между процессами.</w:t>
      </w:r>
    </w:p>
    <w:p>
      <w:pPr>
        <w:spacing w:line="360" w:lineRule="auto"/>
        <w:ind w:firstLine="0" w:left="709"/>
        <w:numPr>
          <w:ilvl w:val="0"/>
          <w:numId w:val="13"/>
        </w:numPr>
      </w:pPr>
      <w:r>
        <w:rPr>
          <w:rFonts w:ascii="Times New Roman" w:hAnsi="Times New Roman" w:eastAsia="Times New Roman" w:cs="Times New Roman"/>
          <w:b w:val="0"/>
          <w:color w:val="000000"/>
          <w:sz w:val="28"/>
        </w:rPr>
        <w:t>Реализовать первую версию сквозного контура: импорт неоднородных прайсов, каталог и сопоставление, генерацию вариантов КП, согласование, внутренний счёт, заказ с резервом и складскую приёмку.</w:t>
      </w:r>
    </w:p>
    <w:p>
      <w:pPr>
        <w:spacing w:line="360" w:lineRule="auto"/>
        <w:ind w:firstLine="0" w:left="709"/>
        <w:numPr>
          <w:ilvl w:val="0"/>
          <w:numId w:val="13"/>
        </w:numPr>
      </w:pPr>
      <w:r>
        <w:rPr>
          <w:rFonts w:ascii="Times New Roman" w:hAnsi="Times New Roman" w:eastAsia="Times New Roman" w:cs="Times New Roman"/>
          <w:b w:val="0"/>
          <w:color w:val="000000"/>
          <w:sz w:val="28"/>
        </w:rPr>
        <w:t>Вынести доменные модули в отдельные процессы по шаблону Strangler Fig, сохранив единую точку входа через шлюз.</w:t>
      </w:r>
    </w:p>
    <w:p>
      <w:pPr>
        <w:spacing w:line="360" w:lineRule="auto"/>
        <w:ind w:firstLine="0" w:left="709"/>
        <w:numPr>
          <w:ilvl w:val="0"/>
          <w:numId w:val="13"/>
        </w:numPr>
      </w:pPr>
      <w:r>
        <w:rPr>
          <w:rFonts w:ascii="Times New Roman" w:hAnsi="Times New Roman" w:eastAsia="Times New Roman" w:cs="Times New Roman"/>
          <w:b w:val="0"/>
          <w:color w:val="000000"/>
          <w:sz w:val="28"/>
        </w:rPr>
        <w:t>Выполнить функциональное тестирование по тест-кейсам на живом стенде и зафиксировать покрытие обязательного состава первой версии.</w:t>
      </w:r>
    </w:p>
    <w:p>
      <w:r>
        <w:rPr>
          <w:rFonts w:ascii="Times New Roman" w:hAnsi="Times New Roman" w:eastAsia="Times New Roman" w:cs="Times New Roman"/>
          <w:b w:val="0"/>
          <w:color w:val="000000"/>
          <w:sz w:val="28"/>
        </w:rPr>
        <w:t>Методы работы сочетают бизнес-анализ, моделирование требований, проектирование по комплексу стандартов на автоматизированные системы и проверку на стенде. Бизнес-анализ выполнен через реконструкцию интервью по тексту ТЗ и ответам на открытые вопросы, поскольку полевой опрос сотрудников заказчика не проводился. Модельная анкета ролей и словарь из двадцати четырёх терминов фиксируют язык предметной области, а связь целей с функциями разложена картой воздействий [36]. Требования детализированы по структуре ГОСТ 34.602 [3, 4] с приоритизацией по Вигерсу [5]. Поведение системы описано прецедентами UML [7, 8], путём руководителя проекта на Customer Journey Map и картой пользовательских историй [9, 37]. Архитектура опирается на слоистую модель и шаблоны распределённых систем: транзакционный Outbox, асинхронный поиск и поэтапный вынос сервисов по шаблону Strangler Fig [10, 12, 14]. Проверка выполнена функциональными тест-кейсами и живыми прогонами Docker-стенда, а не только модульными тестами в памяти.</w:t>
      </w:r>
    </w:p>
    <w:p>
      <w:r>
        <w:rPr>
          <w:rFonts w:ascii="Times New Roman" w:hAnsi="Times New Roman" w:eastAsia="Times New Roman" w:cs="Times New Roman"/>
          <w:b w:val="0"/>
          <w:color w:val="000000"/>
          <w:sz w:val="28"/>
        </w:rPr>
        <w:t>Практическая значимость состоит в том, что заказчик получает рабочий контур от неоднородного Excel до оформленного закупочного документа, а не набор разрозненных таблиц. Руководитель проекта загружает прайсы с гибким разбором колонок, видит найденные и ненайденные строки перечня и сравнивает варианты КП по цене, сроку и балансу. При необходимости поставщика в строке можно указать вручную, не отменяя остальные позиции выбранной стратегии расчёта. Коммерческий блок работает с себестоимостью, наценкой и маржой и фиксирует решение с комментарием, после чего система создаёт счёт и заказ-снимок. Склад вводит факт приёмки, шлюзы оставляют замену адаптера 1С и WMS без переписывания домена, а роли и журнал «было → стало» делают маршрут проверяемым.</w:t>
      </w:r>
    </w:p>
    <w:p>
      <w:r>
        <w:rPr>
          <w:rFonts w:ascii="Times New Roman" w:hAnsi="Times New Roman" w:eastAsia="Times New Roman" w:cs="Times New Roman"/>
          <w:b w:val="0"/>
          <w:color w:val="000000"/>
          <w:sz w:val="28"/>
        </w:rPr>
        <w:t>Пояснительная записка построена по шаблону кафедры и по ГОСТ 7.32 [1] и содержит шесть основных разделов. Раздел 1 даёт бизнес-анализ: интервью, анкету, словарь, ситуации AS IS и TO BE, заинтересованных лиц и бизнес-требования. Раздел 2 сравнивает «1С:Управление торговлей», SAP Ariba, B2B-Center, AGORA и Docsvision и обосновывает собственную разработку. Раздел 3 фиксирует концепцию по ГОСТ 34.602, прецеденты UML, Customer Journey Map, User Story Map и риски проекта. Разделы 4 и 5 описывают проектирование архитектуры, данных и интерфейса и программную реализацию сквозного контура. Раздел 6 приводит функциональные тест-кейсы по шаблону методички и фиксирует результаты живых прогонов Docker-стенда.</w:t>
      </w:r>
    </w:p>
    <w:p>
      <w:pPr>
        <w:pStyle w:val="Heading1"/>
        <w:jc w:val="left"/>
      </w:pPr>
      <w:r>
        <w:rPr>
          <w:rFonts w:ascii="Times New Roman" w:hAnsi="Times New Roman" w:eastAsia="Times New Roman" w:cs="Times New Roman"/>
          <w:b/>
          <w:color w:val="000000"/>
          <w:sz w:val="28"/>
        </w:rPr>
        <w:t>1 БИЗНЕС-АНАЛИЗ</w:t>
      </w:r>
    </w:p>
    <w:p>
      <w:r>
        <w:rPr>
          <w:rFonts w:ascii="Times New Roman" w:hAnsi="Times New Roman" w:eastAsia="Times New Roman" w:cs="Times New Roman"/>
          <w:b w:val="0"/>
          <w:color w:val="000000"/>
          <w:sz w:val="28"/>
        </w:rPr>
        <w:t>Подразделение-заказчик регулярно выполняет проекты, в которых проектирование совмещено с поставкой оборудования, а перечни позиций бывают значительными по объёму. Пока эти перечни разбираются вручную, руководитель проекта сравнивает прайсы в разрозненных файлах Excel и не успевает проверить актуальность цен, из-за чего выбор часто сводится к одному поставщику без формального сравнения. Исходные сведения взяты из технического задания версии 1.0 от 24.04.2026 и из зафиксированных в проекте ответов на открытые вопросы ТЗ. Отдельного подписанного протокола интервью в репозитории нет: реконструкция диалога собрана по тексту ТЗ и по решениям, которые уже заложены в систему. Ниже используются термины предметной области, а не язык программной реализации.</w:t>
      </w:r>
    </w:p>
    <w:p>
      <w:pPr>
        <w:pStyle w:val="Heading2"/>
      </w:pPr>
      <w:r>
        <w:rPr>
          <w:rFonts w:ascii="Times New Roman" w:hAnsi="Times New Roman" w:eastAsia="Times New Roman" w:cs="Times New Roman"/>
          <w:b/>
          <w:color w:val="000000"/>
          <w:sz w:val="28"/>
        </w:rPr>
        <w:t>1.1 Интервьюирование заказчика (целевой аудитории)</w:t>
      </w:r>
    </w:p>
    <w:p>
      <w:r>
        <w:rPr>
          <w:rFonts w:ascii="Times New Roman" w:hAnsi="Times New Roman" w:eastAsia="Times New Roman" w:cs="Times New Roman"/>
          <w:b w:val="0"/>
          <w:color w:val="000000"/>
          <w:sz w:val="28"/>
        </w:rPr>
        <w:t>При существующем подходе руководитель проекта тратит существенное время на анализ поставщиков. В ТЗ это связывается с недостаточной глубиной анализа рынка, выбором единственного поставщика без сравнительного анализа, завышением себестоимости, снижением маржинальности и падением доли выигранных тендеров. Цепочка здесь причинно-следственная, а не набор независимых жалоб: ручной разбор съедает время, нехватка времени сокращает сравнение, узкое сравнение поднимает закупочную цену, а завышенная цена бьёт по марже и по тендеру. Интервью должно было зафиксировать, что именно в этой работе не устраивает и какой результат считается успехом.</w:t>
      </w:r>
    </w:p>
    <w:p>
      <w:r>
        <w:rPr>
          <w:rFonts w:ascii="Times New Roman" w:hAnsi="Times New Roman" w:eastAsia="Times New Roman" w:cs="Times New Roman"/>
          <w:b w:val="0"/>
          <w:color w:val="000000"/>
          <w:sz w:val="28"/>
        </w:rPr>
        <w:t>Вопросы 1–8 воспроизводят контекстно-свободные уточнения по предпосылкам ТЗ. Вопросы 9–22 соответствуют открытым вопросам §16 ТЗ; ответы совпадают с решениями, которые сверка покрытия фиксирует как принятые для данной курсовой реализации. Где числовой KPI в ТЗ помечен «требует уточнения», это указано прямо, без подстановки вымышленных целевых значений.</w:t>
      </w:r>
    </w:p>
    <w:p>
      <w:r>
        <w:rPr>
          <w:rFonts w:ascii="Times New Roman" w:hAnsi="Times New Roman" w:eastAsia="Times New Roman" w:cs="Times New Roman"/>
          <w:b w:val="0"/>
          <w:color w:val="000000"/>
          <w:sz w:val="28"/>
        </w:rPr>
        <w:t>Основная деятельность подразделения состоит в подготовке и поставке оборудования по проектам. Система нужна, чтобы автоматизировать подбор, сравнение предложений поставщиков, формирование коммерческих предложений и ведение закупки от запроса до прихода на склад и отражения в 1С. Руководителя проекта не устраивает ручной разбор прайсов и перечней: часто выбирается один поставщик без сравнения, актуальность цен проверить не успевают. Это увеличивает себестоимость и снижает шансы в тендере, потому что ошибка выбора обнаруживается уже после того, как цена ушла клиенту.</w:t>
      </w:r>
    </w:p>
    <w:p>
      <w:r>
        <w:rPr>
          <w:rFonts w:ascii="Times New Roman" w:hAnsi="Times New Roman" w:eastAsia="Times New Roman" w:cs="Times New Roman"/>
          <w:b w:val="0"/>
          <w:color w:val="000000"/>
          <w:sz w:val="28"/>
        </w:rPr>
        <w:t>В процесс поступают прайс-листы поставщиков и производителей в Excel (</w:t>
      </w:r>
      <w:r>
        <w:rPr>
          <w:rFonts w:ascii="Courier New" w:hAnsi="Courier New" w:eastAsia="Courier New" w:cs="Courier New"/>
          <w:b w:val="0"/>
          <w:color w:val="000000"/>
          <w:sz w:val="26"/>
        </w:rPr>
        <w:t>.xlsx</w:t>
      </w:r>
      <w:r>
        <w:rPr>
          <w:rFonts w:ascii="Times New Roman" w:hAnsi="Times New Roman" w:eastAsia="Times New Roman" w:cs="Times New Roman"/>
          <w:b w:val="0"/>
          <w:color w:val="000000"/>
          <w:sz w:val="28"/>
        </w:rPr>
        <w:t xml:space="preserve">, </w:t>
      </w:r>
      <w:r>
        <w:rPr>
          <w:rFonts w:ascii="Courier New" w:hAnsi="Courier New" w:eastAsia="Courier New" w:cs="Courier New"/>
          <w:b w:val="0"/>
          <w:color w:val="000000"/>
          <w:sz w:val="26"/>
        </w:rPr>
        <w:t>.xls</w:t>
      </w:r>
      <w:r>
        <w:rPr>
          <w:rFonts w:ascii="Times New Roman" w:hAnsi="Times New Roman" w:eastAsia="Times New Roman" w:cs="Times New Roman"/>
          <w:b w:val="0"/>
          <w:color w:val="000000"/>
          <w:sz w:val="28"/>
        </w:rPr>
        <w:t>) и перечень оборудования проекта, тоже в Excel: наименование, артикул, количество. Структуры файлов у поставщиков различаются, поэтому заранее зафиксировать единый шаблон колонок нельзя, если не заставлять поставщика переделывать выгрузку. Успешным результатом подбора считаются несколько альтернативных вариантов КП по цене, срокам и сбалансированный. Их сравнивают, согласовывают с коммерческим блоком и передают в контур счёта, заказа и склада, чтобы выбранная цена не жила только в рабочей книге РП.</w:t>
      </w:r>
    </w:p>
    <w:p>
      <w:r>
        <w:rPr>
          <w:rFonts w:ascii="Times New Roman" w:hAnsi="Times New Roman" w:eastAsia="Times New Roman" w:cs="Times New Roman"/>
          <w:b w:val="0"/>
          <w:color w:val="000000"/>
          <w:sz w:val="28"/>
        </w:rPr>
        <w:t>Цену для клиента согласовывает коммерческий блок, поскольку именно он отвечает за маржу, а не руководитель проекта, который собирает себестоимость. Бухгалтерия фиксирует оплату и документы, склад подтверждает физический приход. Стыковка нужна с внутренним инструментом заказов и согласований NOC и с бухгалтерской 1С, иначе согласованное КП придётся вводить в учёт повторно. Детальные форматы обмена в ТЗ отложены на этап проектирования.</w:t>
      </w:r>
    </w:p>
    <w:p>
      <w:r>
        <w:rPr>
          <w:rFonts w:ascii="Times New Roman" w:hAnsi="Times New Roman" w:eastAsia="Times New Roman" w:cs="Times New Roman"/>
          <w:b w:val="0"/>
          <w:color w:val="000000"/>
          <w:sz w:val="28"/>
        </w:rPr>
        <w:t>Ожидаемые показатели эффекта: снижение себестоимости, рост качества анализа рынка, сокращение времени РП, рост доли выигранных тендеров, сквозная прозрачность процесса. Конкретные числовые KPI в ТЗ не согласованы, поэтому система не может честно обещать «минус N процентов» и подменять приёмку неподтверждённой цифрой. В первую версию обязательно входят загрузка прайсов, единая база, загрузка перечня, точное сопоставление по артикулу, ручные скидки, три варианта КП, выбор варианта РП, передача в коммерческий блок, данные для NOC, роли РП и коммерческого блока. Этот набор закрывает обязательный контур §14 ТЗ и даёт проверяемый результат без спорных KPI.</w:t>
      </w:r>
    </w:p>
    <w:p>
      <w:r>
        <w:rPr>
          <w:rFonts w:ascii="Times New Roman" w:hAnsi="Times New Roman" w:eastAsia="Times New Roman" w:cs="Times New Roman"/>
          <w:b w:val="0"/>
          <w:color w:val="000000"/>
          <w:sz w:val="28"/>
        </w:rPr>
        <w:t>Точные целевые значения KPI (снижение себестоимости, доля тендеров, доля от НМЦ) в систему как метрики не закладывались. Аналитика показывает факт по суммам, марже и доле несопоставления. Числовые цели остаются на согласовании с коммерческим блоком, потому что иначе разработка измеряла бы то, чего заказчик ещё не утвердил.</w:t>
      </w:r>
    </w:p>
    <w:p>
      <w:r>
        <w:rPr>
          <w:rFonts w:ascii="Times New Roman" w:hAnsi="Times New Roman" w:eastAsia="Times New Roman" w:cs="Times New Roman"/>
          <w:b w:val="0"/>
          <w:color w:val="000000"/>
          <w:sz w:val="28"/>
        </w:rPr>
        <w:t>Состав и порядок круга согласователей в NOC сведён к одному шагу «Согласован». Этот шаг ставит коммерческий блок, далее работу продолжает бухгалтерия. Многошагового круга лиц в реализации нет, поскольку внешний NOC на стенд не подключался, а моделировать чужой маршрут без API было бы декорацией. NOC реализован как внутренний модуль счетов, и внешняя система NOC не подключалась, поэтому способ интеграции через API, прямую БД или файловый обмен на стенде не применялся.</w:t>
      </w:r>
    </w:p>
    <w:p>
      <w:r>
        <w:rPr>
          <w:rFonts w:ascii="Times New Roman" w:hAnsi="Times New Roman" w:eastAsia="Times New Roman" w:cs="Times New Roman"/>
          <w:b w:val="0"/>
          <w:color w:val="000000"/>
          <w:sz w:val="28"/>
        </w:rPr>
        <w:t>Способ интеграции с 1С: контракт шлюза и стендовый адаптер (мок). Опционально демонстрируется HTTP-вызов ERPNext по тому же контракту, и это не адаптер 1С: он нужен, чтобы показать заменяемость шлюза, а не чтобы выдать ERPNext за бухгалтерию заказчика. Аутентификация принята через Keycloak, протокол OIDC, JWT; SPA использует Authorization Code с PKCE.</w:t>
      </w:r>
    </w:p>
    <w:p>
      <w:r>
        <w:rPr>
          <w:rFonts w:ascii="Times New Roman" w:hAnsi="Times New Roman" w:eastAsia="Times New Roman" w:cs="Times New Roman"/>
          <w:b w:val="0"/>
          <w:color w:val="000000"/>
          <w:sz w:val="28"/>
        </w:rPr>
        <w:t>Алгоритм сбалансированного варианта КП по умолчанию берёт веса цены и срока 0,5 / 0,5. Веса задаются параметрами запроса и нормируются на сумму, чтобы РП мог сместить приоритет, не меняя код. Отдельного словаря синонимов нет, аналоги подбираются по нижней категории. Нечёткое сопоставление выполняется средствами TF-IDF, 3-грамм и логистической регрессии, потому что точный артикул не покрывает опечатки и строки без SKU.</w:t>
      </w:r>
    </w:p>
    <w:p>
      <w:r>
        <w:rPr>
          <w:rFonts w:ascii="Times New Roman" w:hAnsi="Times New Roman" w:eastAsia="Times New Roman" w:cs="Times New Roman"/>
          <w:b w:val="0"/>
          <w:color w:val="000000"/>
          <w:sz w:val="28"/>
        </w:rPr>
        <w:t>Источник уведомления о прибытии товара на склад: in-app уведомление и письмо SMTP по роли склада. Отдельного внешнего сигнала от WMS нет, так как промышленная WMS на стенде не подключена и подменять её вымышленным событием нельзя. Сроки действия скидок задаются датой начала и датой окончания; оба поля допускают пустое значение, в том числе бессрочно. Журнал аудита хранится 1095 дней, файлы прайсов хранятся, пока есть база. Пятилетняя политика из рекомендации ТЗ не автоматизирована, потому что отдельный контур архивного хранения в репозитории не разворачивался.</w:t>
      </w:r>
    </w:p>
    <w:p>
      <w:r>
        <w:rPr>
          <w:rFonts w:ascii="Times New Roman" w:hAnsi="Times New Roman" w:eastAsia="Times New Roman" w:cs="Times New Roman"/>
          <w:b w:val="0"/>
          <w:color w:val="000000"/>
          <w:sz w:val="28"/>
        </w:rPr>
        <w:t>Учебный стенд развёрнут как локальный Docker Compose, промышленный контур не разворачивался. Требуемый технологический стек принят таким: .NET 10, PostgreSQL, NATS JetStream, Meilisearch, Keycloak, React. Отклонения от первоначальной заявки (RabbitMQ, Elasticsearch, .NET 8) обоснованы в разделе 4.2, где сравниваются альтернативы и следствия замены. Мобильный интерфейс в MVP не требуется, есть адаптивная вёрстка SPA. В интерфейсе система называется «Подбор оборудования / Система формирования КП»; в коде используется имя Procurement System, а наименование в ТЗ помечено как требующее согласования.</w:t>
      </w:r>
    </w:p>
    <w:p>
      <w:pPr>
        <w:pStyle w:val="Heading2"/>
      </w:pPr>
      <w:r>
        <w:rPr>
          <w:rFonts w:ascii="Times New Roman" w:hAnsi="Times New Roman" w:eastAsia="Times New Roman" w:cs="Times New Roman"/>
          <w:b/>
          <w:color w:val="000000"/>
          <w:sz w:val="28"/>
        </w:rPr>
        <w:t>1.2 Анкетирование пользователей</w:t>
      </w:r>
    </w:p>
    <w:p>
      <w:r>
        <w:rPr>
          <w:rFonts w:ascii="Times New Roman" w:hAnsi="Times New Roman" w:eastAsia="Times New Roman" w:cs="Times New Roman"/>
          <w:b w:val="0"/>
          <w:color w:val="000000"/>
          <w:sz w:val="28"/>
        </w:rPr>
        <w:t>Поскольку полевой опрос сотрудников заказчика не проводился, анкета из десяти вопросов и распределения ответов построены как модельная оценка. Основание модели: роли и проблемы, зафиксированные в ТЗ (нагрузка РП на разбор прайсов, неоднородность Excel, отсутствие сравнимых вариантов КП, согласование вне системы, потребность в стыке с 1С). Интерпретировать эти распределения как статистику конкретного предприятия нельзя: они показывают приоритет функций, который следует из самого ТЗ, а не измеренный опрос.</w:t>
      </w:r>
    </w:p>
    <w:p>
      <w:r>
        <w:rPr>
          <w:rFonts w:ascii="Times New Roman" w:hAnsi="Times New Roman" w:eastAsia="Times New Roman" w:cs="Times New Roman"/>
          <w:b w:val="0"/>
          <w:color w:val="000000"/>
          <w:sz w:val="28"/>
        </w:rPr>
        <w:t>Анкета нужна, чтобы получить портреты пользователей и подтвердить приоритет функций MVP, не подменяя интервью вымышленными «N респондентами». Предполагаемые группы: руководитель проекта, коммерческий блок, бухгалтерия, склад, администратор. Состав вопросов и типы ответов приведены в таблице 1. Вопросы про время, устаревшую цену и структуру Excel проверяют, насколько боль РП первична; вопросы про согласование и 1С проверяют, нельзя ли сузить первую версию до генератора КП без маршрута и учёта.</w:t>
      </w:r>
    </w:p>
    <w:p>
      <w:pPr>
        <w:pStyle w:val="GOSTCaption"/>
        <w:keepNext/>
        <w:jc w:val="left"/>
      </w:pPr>
      <w:r>
        <w:rPr>
          <w:rFonts w:ascii="Times New Roman" w:hAnsi="Times New Roman" w:eastAsia="Times New Roman" w:cs="Times New Roman"/>
          <w:b w:val="0"/>
          <w:color w:val="000000"/>
          <w:sz w:val="28"/>
        </w:rPr>
        <w:t>Таблица 1 – Анкета (модельная)</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val="true"/>
          <w:tblHeader w:val="true"/>
        </w:trPr>
        <w:tc>
          <w:tcPr>
            <w:tcW w:type="dxa" w:w="1367"/>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w:t>
            </w:r>
          </w:p>
        </w:tc>
        <w:tc>
          <w:tcPr>
            <w:tcW w:type="dxa" w:w="4704"/>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Вопрос</w:t>
            </w:r>
          </w:p>
        </w:tc>
        <w:tc>
          <w:tcPr>
            <w:tcW w:type="dxa" w:w="3283"/>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Тип ответа</w:t>
            </w:r>
          </w:p>
        </w:tc>
      </w:tr>
      <w:tr>
        <w:trPr>
          <w:cantSplit w:val="true"/>
        </w:trPr>
        <w:tc>
          <w:tcPr>
            <w:tcW w:type="dxa" w:w="13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1</w:t>
            </w:r>
          </w:p>
        </w:tc>
        <w:tc>
          <w:tcPr>
            <w:tcW w:type="dxa" w:w="470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Какова ваша роль в закупочном процессе?</w:t>
            </w:r>
          </w:p>
        </w:tc>
        <w:tc>
          <w:tcPr>
            <w:tcW w:type="dxa" w:w="328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выбор: РП / КБ / бухгалтерия / склад / иное</w:t>
            </w:r>
          </w:p>
        </w:tc>
      </w:tr>
      <w:tr>
        <w:trPr>
          <w:cantSplit w:val="true"/>
        </w:trPr>
        <w:tc>
          <w:tcPr>
            <w:tcW w:type="dxa" w:w="13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2</w:t>
            </w:r>
          </w:p>
        </w:tc>
        <w:tc>
          <w:tcPr>
            <w:tcW w:type="dxa" w:w="470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Сколько часов в неделю уходит на разбор прайсов и подготовку КП?</w:t>
            </w:r>
          </w:p>
        </w:tc>
        <w:tc>
          <w:tcPr>
            <w:tcW w:type="dxa" w:w="328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интервалы времени</w:t>
            </w:r>
          </w:p>
        </w:tc>
      </w:tr>
      <w:tr>
        <w:trPr>
          <w:cantSplit w:val="true"/>
        </w:trPr>
        <w:tc>
          <w:tcPr>
            <w:tcW w:type="dxa" w:w="13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3</w:t>
            </w:r>
          </w:p>
        </w:tc>
        <w:tc>
          <w:tcPr>
            <w:tcW w:type="dxa" w:w="470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Как часто вы сталкиваетесь с устаревшей ценой в рабочем файле?</w:t>
            </w:r>
          </w:p>
        </w:tc>
        <w:tc>
          <w:tcPr>
            <w:tcW w:type="dxa" w:w="328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редко / иногда / часто</w:t>
            </w:r>
          </w:p>
        </w:tc>
      </w:tr>
      <w:tr>
        <w:trPr>
          <w:cantSplit w:val="true"/>
        </w:trPr>
        <w:tc>
          <w:tcPr>
            <w:tcW w:type="dxa" w:w="13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4</w:t>
            </w:r>
          </w:p>
        </w:tc>
        <w:tc>
          <w:tcPr>
            <w:tcW w:type="dxa" w:w="470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Что сильнее всего мешает подбору поставщика?</w:t>
            </w:r>
          </w:p>
        </w:tc>
        <w:tc>
          <w:tcPr>
            <w:tcW w:type="dxa" w:w="328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один основной вариант</w:t>
            </w:r>
          </w:p>
        </w:tc>
      </w:tr>
      <w:tr>
        <w:trPr>
          <w:cantSplit w:val="true"/>
        </w:trPr>
        <w:tc>
          <w:tcPr>
            <w:tcW w:type="dxa" w:w="13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5</w:t>
            </w:r>
          </w:p>
        </w:tc>
        <w:tc>
          <w:tcPr>
            <w:tcW w:type="dxa" w:w="470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Насколько различается структура Excel у поставщиков?</w:t>
            </w:r>
          </w:p>
        </w:tc>
        <w:tc>
          <w:tcPr>
            <w:tcW w:type="dxa" w:w="328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почти не различается / различается заметно / каждый файл уникален</w:t>
            </w:r>
          </w:p>
        </w:tc>
      </w:tr>
      <w:tr>
        <w:trPr>
          <w:cantSplit w:val="true"/>
        </w:trPr>
        <w:tc>
          <w:tcPr>
            <w:tcW w:type="dxa" w:w="13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6</w:t>
            </w:r>
          </w:p>
        </w:tc>
        <w:tc>
          <w:tcPr>
            <w:tcW w:type="dxa" w:w="470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Нужно ли несколько формально сравнимых вариантов КП?</w:t>
            </w:r>
          </w:p>
        </w:tc>
        <w:tc>
          <w:tcPr>
            <w:tcW w:type="dxa" w:w="328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да / достаточно одного / затрудняюсь</w:t>
            </w:r>
          </w:p>
        </w:tc>
      </w:tr>
      <w:tr>
        <w:trPr>
          <w:cantSplit w:val="true"/>
        </w:trPr>
        <w:tc>
          <w:tcPr>
            <w:tcW w:type="dxa" w:w="13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7</w:t>
            </w:r>
          </w:p>
        </w:tc>
        <w:tc>
          <w:tcPr>
            <w:tcW w:type="dxa" w:w="470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Где сейчас живёт согласование наценки?</w:t>
            </w:r>
          </w:p>
        </w:tc>
        <w:tc>
          <w:tcPr>
            <w:tcW w:type="dxa" w:w="328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таблица / почта / устно / учётная система</w:t>
            </w:r>
          </w:p>
        </w:tc>
      </w:tr>
      <w:tr>
        <w:trPr>
          <w:cantSplit w:val="true"/>
        </w:trPr>
        <w:tc>
          <w:tcPr>
            <w:tcW w:type="dxa" w:w="13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8</w:t>
            </w:r>
          </w:p>
        </w:tc>
        <w:tc>
          <w:tcPr>
            <w:tcW w:type="dxa" w:w="470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Насколько критична передача результата в 1С?</w:t>
            </w:r>
          </w:p>
        </w:tc>
        <w:tc>
          <w:tcPr>
            <w:tcW w:type="dxa" w:w="328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низкая / средняя / высокая</w:t>
            </w:r>
          </w:p>
        </w:tc>
      </w:tr>
      <w:tr>
        <w:trPr>
          <w:cantSplit w:val="true"/>
        </w:trPr>
        <w:tc>
          <w:tcPr>
            <w:tcW w:type="dxa" w:w="13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9</w:t>
            </w:r>
          </w:p>
        </w:tc>
        <w:tc>
          <w:tcPr>
            <w:tcW w:type="dxa" w:w="470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Допустимо ли автоматическое сопоставление без показа вероятности?</w:t>
            </w:r>
          </w:p>
        </w:tc>
        <w:tc>
          <w:tcPr>
            <w:tcW w:type="dxa" w:w="328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да / нет, только с подтверждением</w:t>
            </w:r>
          </w:p>
        </w:tc>
      </w:tr>
      <w:tr>
        <w:trPr>
          <w:cantSplit w:val="true"/>
        </w:trPr>
        <w:tc>
          <w:tcPr>
            <w:tcW w:type="dxa" w:w="13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10</w:t>
            </w:r>
          </w:p>
        </w:tc>
        <w:tc>
          <w:tcPr>
            <w:tcW w:type="dxa" w:w="470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Готовы ли вы загружать прайсы в систему, если это экономит время подготовки КП?</w:t>
            </w:r>
          </w:p>
        </w:tc>
        <w:tc>
          <w:tcPr>
            <w:tcW w:type="dxa" w:w="328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да / скорее да / скорее нет</w:t>
            </w:r>
          </w:p>
        </w:tc>
      </w:tr>
    </w:tbl>
    <w:p>
      <w:pPr>
        <w:spacing w:after="0"/>
      </w:pPr>
    </w:p>
    <w:p>
      <w:r>
        <w:rPr>
          <w:rFonts w:ascii="Times New Roman" w:hAnsi="Times New Roman" w:eastAsia="Times New Roman" w:cs="Times New Roman"/>
          <w:b w:val="0"/>
          <w:color w:val="000000"/>
          <w:sz w:val="28"/>
        </w:rPr>
        <w:t>По модельной оценке основным пользователем первой версии выступает руководитель проекта: на него приходится наибольшая ручная нагрузка и наибольший выигрыш от импорта, сопоставления и генератора КП. Коммерческий блок нуждается не в разборе Excel, а в прозрачной себестоимости и марже, иначе решение по цене клиенту останется экспертным «на глаз». Бухгалтерия и склад входят в процесс после фиксации варианта, поэтому их экраны появляются позже по маршруту, но без них сквозной контур не замыкается. Автоподстановка товара без вероятности и ручного подтверждения нежелательна, потому что ложное совпадение в тендере дороже, чем лишний клик РП. Интеграция с 1С важна, но не блокирует MVP, если есть шлюз и возможность заменить адаптер.</w:t>
      </w:r>
    </w:p>
    <w:p>
      <w:r>
        <w:rPr>
          <w:rFonts w:ascii="Times New Roman" w:hAnsi="Times New Roman" w:eastAsia="Times New Roman" w:cs="Times New Roman"/>
          <w:b w:val="0"/>
          <w:color w:val="000000"/>
          <w:sz w:val="28"/>
        </w:rPr>
        <w:t>Затраты времени руководителя проекта на разбор прайсов по модельной оценке показаны на рисунке 1. Наибольшая доля приходится на интервал 8–16 часов в неделю, заметны и оценки 2–8 часов и свыше 16 часов; это согласуется с предпосылкой ТЗ, что анализ поставщиков съедает рабочее время РП. Основную проблему текущего процесса модельная оценка относит прежде всего к отсутствию сравнимых вариантов КП, затем к устаревшим прайсам и разным названиям одного товара; распределение приведено на рисунке 2. Потребность в функциях выше всего у импорта произвольного Excel и нескольких вариантов КП, что видно на рисунке 3; интеграция с 1С/WMS оценивается ниже, мобильное приложение набирает наименьшую долю. Для приоритизации MVP это означает, что ядро первой версии должно закрыть вход данных и сравнимый расчёт, а не мобильный клиент и не промышленный коннектор 1С.</w:t>
      </w:r>
    </w:p>
    <w:p>
      <w:pPr>
        <w:keepNext/>
        <w:spacing w:line="240" w:lineRule="auto" w:before="240" w:after="0"/>
        <w:ind w:firstLine="0"/>
        <w:jc w:val="center"/>
      </w:pPr>
      <w:r>
        <w:drawing>
          <wp:inline xmlns:a="http://schemas.openxmlformats.org/drawingml/2006/main" xmlns:pic="http://schemas.openxmlformats.org/drawingml/2006/picture">
            <wp:extent cx="5760000" cy="4058280"/>
            <wp:docPr id="1" name="Picture 1"/>
            <wp:cNvGraphicFramePr>
              <a:graphicFrameLocks noChangeAspect="1"/>
            </wp:cNvGraphicFramePr>
            <a:graphic>
              <a:graphicData uri="http://schemas.openxmlformats.org/drawingml/2006/picture">
                <pic:pic>
                  <pic:nvPicPr>
                    <pic:cNvPr id="0" name="ris-24-survey-time.png"/>
                    <pic:cNvPicPr/>
                  </pic:nvPicPr>
                  <pic:blipFill>
                    <a:blip r:embed="rId11"/>
                    <a:stretch>
                      <a:fillRect/>
                    </a:stretch>
                  </pic:blipFill>
                  <pic:spPr>
                    <a:xfrm>
                      <a:off x="0" y="0"/>
                      <a:ext cx="5760000" cy="4058280"/>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1 – Модельная оценка затрат времени руководителя проекта на разбор прайсов</w:t>
      </w:r>
    </w:p>
    <w:p>
      <w:pPr>
        <w:keepNext/>
        <w:spacing w:line="240" w:lineRule="auto" w:before="240" w:after="0"/>
        <w:ind w:firstLine="0"/>
        <w:jc w:val="center"/>
      </w:pPr>
      <w:r>
        <w:drawing>
          <wp:inline xmlns:a="http://schemas.openxmlformats.org/drawingml/2006/main" xmlns:pic="http://schemas.openxmlformats.org/drawingml/2006/picture">
            <wp:extent cx="5760000" cy="3591056"/>
            <wp:docPr id="2" name="Picture 2"/>
            <wp:cNvGraphicFramePr>
              <a:graphicFrameLocks noChangeAspect="1"/>
            </wp:cNvGraphicFramePr>
            <a:graphic>
              <a:graphicData uri="http://schemas.openxmlformats.org/drawingml/2006/picture">
                <pic:pic>
                  <pic:nvPicPr>
                    <pic:cNvPr id="0" name="ris-25-survey-pain.png"/>
                    <pic:cNvPicPr/>
                  </pic:nvPicPr>
                  <pic:blipFill>
                    <a:blip r:embed="rId12"/>
                    <a:stretch>
                      <a:fillRect/>
                    </a:stretch>
                  </pic:blipFill>
                  <pic:spPr>
                    <a:xfrm>
                      <a:off x="0" y="0"/>
                      <a:ext cx="5760000" cy="3591056"/>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2 – Модельная оценка основной проблемы текущего процесса</w:t>
      </w:r>
    </w:p>
    <w:p>
      <w:pPr>
        <w:keepNext/>
        <w:spacing w:line="240" w:lineRule="auto" w:before="240" w:after="0"/>
        <w:ind w:firstLine="0"/>
        <w:jc w:val="center"/>
      </w:pPr>
      <w:r>
        <w:drawing>
          <wp:inline xmlns:a="http://schemas.openxmlformats.org/drawingml/2006/main" xmlns:pic="http://schemas.openxmlformats.org/drawingml/2006/picture">
            <wp:extent cx="5760000" cy="3541723"/>
            <wp:docPr id="3" name="Picture 3"/>
            <wp:cNvGraphicFramePr>
              <a:graphicFrameLocks noChangeAspect="1"/>
            </wp:cNvGraphicFramePr>
            <a:graphic>
              <a:graphicData uri="http://schemas.openxmlformats.org/drawingml/2006/picture">
                <pic:pic>
                  <pic:nvPicPr>
                    <pic:cNvPr id="0" name="ris-26-survey-need.png"/>
                    <pic:cNvPicPr/>
                  </pic:nvPicPr>
                  <pic:blipFill>
                    <a:blip r:embed="rId13"/>
                    <a:stretch>
                      <a:fillRect/>
                    </a:stretch>
                  </pic:blipFill>
                  <pic:spPr>
                    <a:xfrm>
                      <a:off x="0" y="0"/>
                      <a:ext cx="5760000" cy="3541723"/>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3 – Модельная оценка потребности в функциях системы</w:t>
      </w:r>
    </w:p>
    <w:p>
      <w:r>
        <w:rPr>
          <w:rFonts w:ascii="Times New Roman" w:hAnsi="Times New Roman" w:eastAsia="Times New Roman" w:cs="Times New Roman"/>
          <w:b w:val="0"/>
          <w:color w:val="000000"/>
          <w:sz w:val="28"/>
        </w:rPr>
        <w:t>Из анкеты и ТЗ складываются четыре рабочих портрета. Руководитель проекта, профессионал предметной области, ежедневно работает с Excel и ценит экономию времени и объяснимость выбора, иначе он не будет загружать файлы и вернётся к своей таблице. Сотрудник коммерческого блока выступает экспертом ценообразования и работает с итогом, а не с сырым прайсом. Бухгалтер и кладовщик исполняют стадии процесса: им нужны однозначный документ и запрет «перескока» статуса, потому что пропущенная стадия ломает учёт. Администратор является техническим экспертом и в бизнес-согласование не входит.</w:t>
      </w:r>
    </w:p>
    <w:p>
      <w:pPr>
        <w:pStyle w:val="Heading2"/>
      </w:pPr>
      <w:r>
        <w:rPr>
          <w:rFonts w:ascii="Times New Roman" w:hAnsi="Times New Roman" w:eastAsia="Times New Roman" w:cs="Times New Roman"/>
          <w:b/>
          <w:color w:val="000000"/>
          <w:sz w:val="28"/>
        </w:rPr>
        <w:t>1.3 Словарь предметной области</w:t>
      </w:r>
    </w:p>
    <w:p>
      <w:r>
        <w:rPr>
          <w:rFonts w:ascii="Times New Roman" w:hAnsi="Times New Roman" w:eastAsia="Times New Roman" w:cs="Times New Roman"/>
          <w:b w:val="0"/>
          <w:color w:val="000000"/>
          <w:sz w:val="28"/>
        </w:rPr>
        <w:t>Двадцать четыре термина, которыми оперируют роли закупочного процесса, сведены в таблицу 2. Без этих обозначений нельзя однозначно прочитать интервью, анкету и последующие схемы AS IS / TO BE, потому что одно и то же слово в бытовой речи заказчика и в модели данных означает разное. Определения соответствуют формулировкам ТЗ и фактическим сущностям реализации. Нельзя смешивать товар каталога с оффером поставщика, живую цену прайса со снимком в заказе и согласование КП со счётом NOC: от этих различий зависят и требования раздела 3, и инварианты раздела 4.</w:t>
      </w:r>
    </w:p>
    <w:p>
      <w:pPr>
        <w:pStyle w:val="GOSTCaption"/>
        <w:keepNext/>
        <w:jc w:val="left"/>
      </w:pPr>
      <w:r>
        <w:rPr>
          <w:rFonts w:ascii="Times New Roman" w:hAnsi="Times New Roman" w:eastAsia="Times New Roman" w:cs="Times New Roman"/>
          <w:b w:val="0"/>
          <w:color w:val="000000"/>
          <w:sz w:val="28"/>
        </w:rPr>
        <w:t>Таблица 2 – Словарь предметной области</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val="true"/>
          <w:tblHeader w:val="true"/>
        </w:trPr>
        <w:tc>
          <w:tcPr>
            <w:tcW w:type="dxa" w:w="1202"/>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w:t>
            </w:r>
          </w:p>
        </w:tc>
        <w:tc>
          <w:tcPr>
            <w:tcW w:type="dxa" w:w="1930"/>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Термин или понятие</w:t>
            </w:r>
          </w:p>
        </w:tc>
        <w:tc>
          <w:tcPr>
            <w:tcW w:type="dxa" w:w="4371"/>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Описание понятия</w:t>
            </w:r>
          </w:p>
        </w:tc>
        <w:tc>
          <w:tcPr>
            <w:tcW w:type="dxa" w:w="1851"/>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Аббревиатура</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1</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Руководитель проекта</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Сотрудник, загружающий прайсы и перечень, вводящий скидки, выбирающий вариант КП и инициирующий согласование</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РП</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2</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Коммерческий блок</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Роль, рассчитывающая и утверждающая цену для клиента, согласующая КП</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КБ</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3</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Прайс-лист</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Файл поставщика или производителя с номенклатурой, ценами, сроками и остатками</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прайс</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4</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Номенклатура / товар</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Позиция каталога с артикулом и наименованием; может иметь несколько предложений</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SKU</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5</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Артикул</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Идентификатор позиции у поставщика или в каталоге, ключ точного сопоставления</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SKU</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6</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Оффер</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Предложение конкретного поставщика на товар: цена, срок, остаток, валюта</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7</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Спецификация / перечень проекта</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Список позиций проекта (имя, артикул, количество), по которому строится КП</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8</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Сопоставление</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Привязка строки перечня к товару каталога (точно, нечётко или как аналог)</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match</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9</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Коммерческое предложение</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Расчёт стоимости перечня по выбранному правилу подбора офферов</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КП</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10</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Стратегия КП</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Правило выбора оффера: минимальная цена, минимальный срок, баланс, актуальность</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11</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Эффективная цена</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Цена после скидки поставщика либо производителя, до наценки клиенту</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12</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Скидка</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Процент снижения цены, действующий в заданном периоде на поставщика или производителя</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13</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Наценка</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Процент над себестоимостью, задаваемый при передаче в коммерческий блок</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14</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Маржа</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Доля прибыли в цене клиента: (цена продажи − себестоимость) / цена продажи</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15</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Override</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Ручной выбор поставщика в отдельной строке КП, перекрывающий стратегию</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16</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Согласование</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Документ маршрута РП → КБ с решением утвердить или вернуть на доработку</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Approval</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17</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NOC</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 ТЗ — внутренний инструмент заказов и согласований; в системе — модуль счетов</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NOC</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18</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Счёт</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Документ с построчным снимком согласованного КП и стадиями оплаты/поставки</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Invoice</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19</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Заказ</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Неизменяемый снимок выбранного варианта КП с резервом остатка</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Order</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20</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Приёмка</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Складской документ сверки заказанного и принятого количества</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21</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НМЦ</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Начальная (максимальная) цена тендера; в ТЗ фигурирует как KPI, в системе не хранится</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НМЦ</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22</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НДС</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Налог на добавленную стоимость; в расчёте КП ставка по умолчанию 20 %</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НДС</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23</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1С</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Бухгалтерская система заказчика; на стенде представлена шлюзом</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1С</w:t>
            </w:r>
          </w:p>
        </w:tc>
      </w:tr>
      <w:tr>
        <w:trPr>
          <w:cantSplit w:val="true"/>
        </w:trPr>
        <w:tc>
          <w:tcPr>
            <w:tcW w:type="dxa" w:w="1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24</w:t>
            </w:r>
          </w:p>
        </w:tc>
        <w:tc>
          <w:tcPr>
            <w:tcW w:type="dxa" w:w="193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WMS</w:t>
            </w:r>
          </w:p>
        </w:tc>
        <w:tc>
          <w:tcPr>
            <w:tcW w:type="dxa" w:w="437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Складская система; на стенде представлена шлюзом</w:t>
            </w:r>
          </w:p>
        </w:tc>
        <w:tc>
          <w:tcPr>
            <w:tcW w:type="dxa" w:w="185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WMS</w:t>
            </w:r>
          </w:p>
        </w:tc>
      </w:tr>
    </w:tbl>
    <w:p>
      <w:pPr>
        <w:spacing w:after="0"/>
      </w:pPr>
    </w:p>
    <w:p>
      <w:pPr>
        <w:pStyle w:val="Heading2"/>
      </w:pPr>
      <w:r>
        <w:rPr>
          <w:rFonts w:ascii="Times New Roman" w:hAnsi="Times New Roman" w:eastAsia="Times New Roman" w:cs="Times New Roman"/>
          <w:b/>
          <w:color w:val="000000"/>
          <w:sz w:val="28"/>
        </w:rPr>
        <w:t>1.4 Описание текущей ситуации (как было)</w:t>
      </w:r>
    </w:p>
    <w:p>
      <w:r>
        <w:rPr>
          <w:rFonts w:ascii="Times New Roman" w:hAnsi="Times New Roman" w:eastAsia="Times New Roman" w:cs="Times New Roman"/>
          <w:b w:val="0"/>
          <w:color w:val="000000"/>
          <w:sz w:val="28"/>
        </w:rPr>
        <w:t>До внедрения системы закупка оборудования ведётся через разрозненные электронные таблицы и переписку. Поставщики присылают прайсы разной структуры, и каждый новый файл заставляет руководителя проекта заново искать строку заголовков, колонки цены и артикула. Он ищет артикул в нескольких файлах, вручную приводит цены к общей основе и восстанавливает, какой прайс считать актуальным, потому что дата файла и дата «рабочей» копии часто расходятся. Один и тот же товар может называться по-разному; точное совпадение по артикулу не покрывает опечатки и строки без SKU. На этом шаге теряется время, а несопоставленная позиция либо выпадает из расчёта, либо подставляется «похожим» наименованием без явной вероятности.</w:t>
      </w:r>
    </w:p>
    <w:p>
      <w:r>
        <w:rPr>
          <w:rFonts w:ascii="Times New Roman" w:hAnsi="Times New Roman" w:eastAsia="Times New Roman" w:cs="Times New Roman"/>
          <w:b w:val="0"/>
          <w:color w:val="000000"/>
          <w:sz w:val="28"/>
        </w:rPr>
        <w:t>Результат подбора обычно сводится к одному варианту, поскольку сравнивать несколько книг вручную на перечне в сотни строк не успевают. Скидка и НДС считаются в той же таблице, статусы согласования живут в письмах, и через неделю уже нельзя восстановить, кто именно утвердил наценку и с каким комментарием. После «утверждения» исходный прайс может измениться, и согласованная стоимость уже не восстанавливается: заказ поставщику собирается по новой выгрузке, а клиенту ушла старая цифра. Счёт во внутреннем NOC и заказ поставщику вводятся отдельно; склад и 1С получают факт прихода своим контуром. Расхождение учёта и факта закупки обнаруживается поздно, когда исправлять цену уже дороже, чем признать ошибку.</w:t>
      </w:r>
    </w:p>
    <w:p>
      <w:r>
        <w:rPr>
          <w:rFonts w:ascii="Times New Roman" w:hAnsi="Times New Roman" w:eastAsia="Times New Roman" w:cs="Times New Roman"/>
          <w:b w:val="0"/>
          <w:color w:val="000000"/>
          <w:sz w:val="28"/>
        </w:rPr>
        <w:t>Эта цепочка объясняет, почему проблема дорогая для заказчика. Ручной труд РП увеличивает цикл подготовки КП и одновременно сужает анализ рынка до привычного поставщика. Узкий выбор поднимает себестоимость, а завышенная себестоимость снижает маржу и долю выигранных тендеров, что прямо указано в предпосылках ТЗ. Потерянный комментарий согласования и «поплывшая» цена после заказа бьют уже не только по РП, но и по коммерческому блоку, бухгалтерии и складу, потому что у них нет общего снимка утверждённого документа.</w:t>
      </w:r>
    </w:p>
    <w:p>
      <w:r>
        <w:rPr>
          <w:rFonts w:ascii="Times New Roman" w:hAnsi="Times New Roman" w:eastAsia="Times New Roman" w:cs="Times New Roman"/>
          <w:b w:val="0"/>
          <w:color w:val="000000"/>
          <w:sz w:val="28"/>
        </w:rPr>
        <w:t>Ключевая проблема текущей ситуации зафиксирована в таблице 3: подготовка КП и выбор поставщика выполняются вручную по неоднородным прайсам без сравнимых альтернатив и без защищённого снимка цены. Проблемы исходного процесса, их последствия и механизмы, которыми система должна их закрыть, приведены в таблице 4, а схема текущей ситуации показана на рисунке 4. Таблицы не заменяют разбор выше, а фиксируют ту же цепочку в форме, которую требует методичка.</w:t>
      </w:r>
    </w:p>
    <w:p>
      <w:pPr>
        <w:pStyle w:val="GOSTCaption"/>
        <w:keepNext/>
        <w:jc w:val="left"/>
      </w:pPr>
      <w:r>
        <w:rPr>
          <w:rFonts w:ascii="Times New Roman" w:hAnsi="Times New Roman" w:eastAsia="Times New Roman" w:cs="Times New Roman"/>
          <w:b w:val="0"/>
          <w:color w:val="000000"/>
          <w:sz w:val="28"/>
        </w:rPr>
        <w:t>Таблица 3 – Ключевая проблема текущей ситуации</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2139"/>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Поле</w:t>
            </w:r>
          </w:p>
        </w:tc>
        <w:tc>
          <w:tcPr>
            <w:tcW w:type="dxa" w:w="7215"/>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Содержание</w:t>
            </w:r>
          </w:p>
        </w:tc>
      </w:tr>
      <w:tr>
        <w:trPr>
          <w:cantSplit w:val="true"/>
        </w:trPr>
        <w:tc>
          <w:tcPr>
            <w:tcW w:type="dxa" w:w="213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Проблема</w:t>
            </w:r>
          </w:p>
        </w:tc>
        <w:tc>
          <w:tcPr>
            <w:tcW w:type="dxa" w:w="72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Подготовка КП и выбор поставщика выполняются вручную по неоднородным прайсам без сравнимых альтернатив и без защищённого снимка цены</w:t>
            </w:r>
          </w:p>
        </w:tc>
      </w:tr>
      <w:tr>
        <w:trPr>
          <w:cantSplit w:val="true"/>
        </w:trPr>
        <w:tc>
          <w:tcPr>
            <w:tcW w:type="dxa" w:w="213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Воздействует на</w:t>
            </w:r>
          </w:p>
        </w:tc>
        <w:tc>
          <w:tcPr>
            <w:tcW w:type="dxa" w:w="72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руководителя проекта, коммерческий блок, бухгалтерию, склад, маржинальность проектов</w:t>
            </w:r>
          </w:p>
        </w:tc>
      </w:tr>
      <w:tr>
        <w:trPr>
          <w:cantSplit w:val="true"/>
        </w:trPr>
        <w:tc>
          <w:tcPr>
            <w:tcW w:type="dxa" w:w="213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Результатом чего является</w:t>
            </w:r>
          </w:p>
        </w:tc>
        <w:tc>
          <w:tcPr>
            <w:tcW w:type="dxa" w:w="72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длительный цикл подготовки, риск устаревшей цены, выбор единственного поставщика, потеря комментариев согласования, расхождение учёта и факта закупки</w:t>
            </w:r>
          </w:p>
        </w:tc>
      </w:tr>
      <w:tr>
        <w:trPr>
          <w:cantSplit w:val="true"/>
        </w:trPr>
        <w:tc>
          <w:tcPr>
            <w:tcW w:type="dxa" w:w="213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Сейчас решается</w:t>
            </w:r>
          </w:p>
        </w:tc>
        <w:tc>
          <w:tcPr>
            <w:tcW w:type="dxa" w:w="72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Excel, почта, устные согласования, ручной ввод в NOC и 1С</w:t>
            </w:r>
          </w:p>
        </w:tc>
      </w:tr>
      <w:tr>
        <w:trPr>
          <w:cantSplit w:val="true"/>
        </w:trPr>
        <w:tc>
          <w:tcPr>
            <w:tcW w:type="dxa" w:w="213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Имеющиеся решения не</w:t>
            </w:r>
          </w:p>
        </w:tc>
        <w:tc>
          <w:tcPr>
            <w:tcW w:type="dxa" w:w="72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не дают гибкого разбора произвольного Excel, нескольких объяснимых вариантов КП из внутренних прайсов, ролевого маршрута и неизменности оформленного документа</w:t>
            </w:r>
          </w:p>
        </w:tc>
      </w:tr>
    </w:tbl>
    <w:p>
      <w:pPr>
        <w:spacing w:after="0"/>
      </w:pPr>
    </w:p>
    <w:p>
      <w:pPr>
        <w:pStyle w:val="GOSTCaption"/>
        <w:keepNext/>
        <w:jc w:val="left"/>
      </w:pPr>
      <w:r>
        <w:rPr>
          <w:rFonts w:ascii="Times New Roman" w:hAnsi="Times New Roman" w:eastAsia="Times New Roman" w:cs="Times New Roman"/>
          <w:b w:val="0"/>
          <w:color w:val="000000"/>
          <w:sz w:val="28"/>
        </w:rPr>
        <w:t>Таблица 4 – Проблемы исходного процесса и требуемые механизмы</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val="true"/>
          <w:tblHeader w:val="true"/>
        </w:trPr>
        <w:tc>
          <w:tcPr>
            <w:tcW w:type="dxa" w:w="2808"/>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Проблема</w:t>
            </w:r>
          </w:p>
        </w:tc>
        <w:tc>
          <w:tcPr>
            <w:tcW w:type="dxa" w:w="2943"/>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Последствие</w:t>
            </w:r>
          </w:p>
        </w:tc>
        <w:tc>
          <w:tcPr>
            <w:tcW w:type="dxa" w:w="3603"/>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Механизм системы</w:t>
            </w:r>
          </w:p>
        </w:tc>
      </w:tr>
      <w:tr>
        <w:trPr>
          <w:cantSplit w:val="true"/>
        </w:trPr>
        <w:tc>
          <w:tcPr>
            <w:tcW w:type="dxa" w:w="280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Разрозненные прайс-листы</w:t>
            </w:r>
          </w:p>
        </w:tc>
        <w:tc>
          <w:tcPr>
            <w:tcW w:type="dxa" w:w="294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повторный поиск и неясная актуальность</w:t>
            </w:r>
          </w:p>
        </w:tc>
        <w:tc>
          <w:tcPr>
            <w:tcW w:type="dxa" w:w="360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единый каталог, архив файлов, история цен</w:t>
            </w:r>
          </w:p>
        </w:tc>
      </w:tr>
      <w:tr>
        <w:trPr>
          <w:cantSplit w:val="true"/>
        </w:trPr>
        <w:tc>
          <w:tcPr>
            <w:tcW w:type="dxa" w:w="280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Различающиеся структуры Excel</w:t>
            </w:r>
          </w:p>
        </w:tc>
        <w:tc>
          <w:tcPr>
            <w:tcW w:type="dxa" w:w="294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ручная подготовка файлов</w:t>
            </w:r>
          </w:p>
        </w:tc>
        <w:tc>
          <w:tcPr>
            <w:tcW w:type="dxa" w:w="360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поиск заголовка и гибкий маппинг колонок</w:t>
            </w:r>
          </w:p>
        </w:tc>
      </w:tr>
      <w:tr>
        <w:trPr>
          <w:cantSplit w:val="true"/>
        </w:trPr>
        <w:tc>
          <w:tcPr>
            <w:tcW w:type="dxa" w:w="280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Разные наименования одного товара</w:t>
            </w:r>
          </w:p>
        </w:tc>
        <w:tc>
          <w:tcPr>
            <w:tcW w:type="dxa" w:w="294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пропуски и ошибочные совпадения</w:t>
            </w:r>
          </w:p>
        </w:tc>
        <w:tc>
          <w:tcPr>
            <w:tcW w:type="dxa" w:w="360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точный артикул, fuzzy-кандидаты, TF-IDF, ручное подтверждение</w:t>
            </w:r>
          </w:p>
        </w:tc>
      </w:tr>
      <w:tr>
        <w:trPr>
          <w:cantSplit w:val="true"/>
        </w:trPr>
        <w:tc>
          <w:tcPr>
            <w:tcW w:type="dxa" w:w="280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Несколько поставщиков на позицию</w:t>
            </w:r>
          </w:p>
        </w:tc>
        <w:tc>
          <w:tcPr>
            <w:tcW w:type="dxa" w:w="294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выбор без формального сравнения</w:t>
            </w:r>
          </w:p>
        </w:tc>
        <w:tc>
          <w:tcPr>
            <w:tcW w:type="dxa" w:w="360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объяснимые стратегии формирования КП</w:t>
            </w:r>
          </w:p>
        </w:tc>
      </w:tr>
      <w:tr>
        <w:trPr>
          <w:cantSplit w:val="true"/>
        </w:trPr>
        <w:tc>
          <w:tcPr>
            <w:tcW w:type="dxa" w:w="280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Ручной расчёт скидок и НДС</w:t>
            </w:r>
          </w:p>
        </w:tc>
        <w:tc>
          <w:tcPr>
            <w:tcW w:type="dxa" w:w="294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арифметические ошибки</w:t>
            </w:r>
          </w:p>
        </w:tc>
        <w:tc>
          <w:tcPr>
            <w:tcW w:type="dxa" w:w="360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единый порядок эффективной цены и итогов</w:t>
            </w:r>
          </w:p>
        </w:tc>
      </w:tr>
      <w:tr>
        <w:trPr>
          <w:cantSplit w:val="true"/>
        </w:trPr>
        <w:tc>
          <w:tcPr>
            <w:tcW w:type="dxa" w:w="280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Статусы в таблицах и переписке</w:t>
            </w:r>
          </w:p>
        </w:tc>
        <w:tc>
          <w:tcPr>
            <w:tcW w:type="dxa" w:w="294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пропуск стадий, потеря комментариев</w:t>
            </w:r>
          </w:p>
        </w:tc>
        <w:tc>
          <w:tcPr>
            <w:tcW w:type="dxa" w:w="360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доменные конечные автоматы и ролевые политики</w:t>
            </w:r>
          </w:p>
        </w:tc>
      </w:tr>
      <w:tr>
        <w:trPr>
          <w:cantSplit w:val="true"/>
        </w:trPr>
        <w:tc>
          <w:tcPr>
            <w:tcW w:type="dxa" w:w="280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Изменение прайса после заказа</w:t>
            </w:r>
          </w:p>
        </w:tc>
        <w:tc>
          <w:tcPr>
            <w:tcW w:type="dxa" w:w="294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искажение согласованной стоимости</w:t>
            </w:r>
          </w:p>
        </w:tc>
        <w:tc>
          <w:tcPr>
            <w:tcW w:type="dxa" w:w="360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снимки строк заказа и счёта</w:t>
            </w:r>
          </w:p>
        </w:tc>
      </w:tr>
      <w:tr>
        <w:trPr>
          <w:cantSplit w:val="true"/>
        </w:trPr>
        <w:tc>
          <w:tcPr>
            <w:tcW w:type="dxa" w:w="280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Отсутствие сквозного журнала</w:t>
            </w:r>
          </w:p>
        </w:tc>
        <w:tc>
          <w:tcPr>
            <w:tcW w:type="dxa" w:w="294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невозможно восстановить действия</w:t>
            </w:r>
          </w:p>
        </w:tc>
        <w:tc>
          <w:tcPr>
            <w:tcW w:type="dxa" w:w="360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аудит аутентифицированных мутаций</w:t>
            </w:r>
          </w:p>
        </w:tc>
      </w:tr>
    </w:tbl>
    <w:p>
      <w:pPr>
        <w:spacing w:after="0"/>
      </w:pPr>
    </w:p>
    <w:p>
      <w:pPr>
        <w:keepNext/>
        <w:spacing w:line="240" w:lineRule="auto" w:before="240" w:after="0"/>
        <w:ind w:firstLine="0"/>
        <w:jc w:val="center"/>
      </w:pPr>
      <w:r>
        <w:drawing>
          <wp:inline xmlns:a="http://schemas.openxmlformats.org/drawingml/2006/main" xmlns:pic="http://schemas.openxmlformats.org/drawingml/2006/picture">
            <wp:extent cx="5760000" cy="3415172"/>
            <wp:docPr id="4" name="Picture 4"/>
            <wp:cNvGraphicFramePr>
              <a:graphicFrameLocks noChangeAspect="1"/>
            </wp:cNvGraphicFramePr>
            <a:graphic>
              <a:graphicData uri="http://schemas.openxmlformats.org/drawingml/2006/picture">
                <pic:pic>
                  <pic:nvPicPr>
                    <pic:cNvPr id="0" name="ris-17-asis.png"/>
                    <pic:cNvPicPr/>
                  </pic:nvPicPr>
                  <pic:blipFill>
                    <a:blip r:embed="rId14"/>
                    <a:stretch>
                      <a:fillRect/>
                    </a:stretch>
                  </pic:blipFill>
                  <pic:spPr>
                    <a:xfrm>
                      <a:off x="0" y="0"/>
                      <a:ext cx="5760000" cy="3415172"/>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4 – Текущая ситуация закупки оборудования (AS IS)</w:t>
      </w:r>
    </w:p>
    <w:p>
      <w:pPr>
        <w:pStyle w:val="Heading2"/>
      </w:pPr>
      <w:r>
        <w:rPr>
          <w:rFonts w:ascii="Times New Roman" w:hAnsi="Times New Roman" w:eastAsia="Times New Roman" w:cs="Times New Roman"/>
          <w:b/>
          <w:color w:val="000000"/>
          <w:sz w:val="28"/>
        </w:rPr>
        <w:t>1.5 Описание будущей ситуации (как будет)</w:t>
      </w:r>
    </w:p>
    <w:p>
      <w:r>
        <w:rPr>
          <w:rFonts w:ascii="Times New Roman" w:hAnsi="Times New Roman" w:eastAsia="Times New Roman" w:cs="Times New Roman"/>
          <w:b w:val="0"/>
          <w:color w:val="000000"/>
          <w:sz w:val="28"/>
        </w:rPr>
        <w:t>После внедрения руководитель проекта загружает прайсы в систему: файл архивируется, структура определяется автоматически, корректные строки попадают в каталог, отклонения уходят в диагностику. Это закрывает первую половину цепочки AS IS, потому что повторный поиск по чужим книгам заменяется каталогом с историей цены, а «битый» Excel больше не останавливает весь импорт необработанной ошибкой. Перечень проекта сопоставляется с каталогом; ненайденные позиции остаются видимыми, чтобы тендерная строка не исчезла из расчёта. Система строит несколько вариантов КП, показывает причину выбора по каждой строке и допускает ручную замену поставщика, если формальная стратегия на конкретной позиции неприемлема.</w:t>
      </w:r>
    </w:p>
    <w:p>
      <w:r>
        <w:rPr>
          <w:rFonts w:ascii="Times New Roman" w:hAnsi="Times New Roman" w:eastAsia="Times New Roman" w:cs="Times New Roman"/>
          <w:b w:val="0"/>
          <w:color w:val="000000"/>
          <w:sz w:val="28"/>
        </w:rPr>
        <w:t>Коммерческий блок получает себестоимость, заданную наценку и маржу и фиксирует решение, так что комментарий отклонения не теряется в почте. При согласовании создаётся счёт, а заказ копирует цены и поставщиков в снимок и резервирует остаток, чтобы смена прайса не переписала уже утверждённую стоимость. Склад вводит факт приёмки; шлюзы передают сведения во внешний учёт. Участник не выполняет чужую роль: РП не согласовывает КП от имени коммерческого блока, бухгалтерия не ставит стадию «Согласован». Это прямое следствие разделения ответственности, которое в AS IS нарушалось тем, что статусы жили вне системы.</w:t>
      </w:r>
    </w:p>
    <w:p>
      <w:r>
        <w:rPr>
          <w:rFonts w:ascii="Times New Roman" w:hAnsi="Times New Roman" w:eastAsia="Times New Roman" w:cs="Times New Roman"/>
          <w:b w:val="0"/>
          <w:color w:val="000000"/>
          <w:sz w:val="28"/>
        </w:rPr>
        <w:t>Будущая ситуация не заменяет 1С и не претендует на полный ERP-контур. Она закрывает разрыв между неоднородным входом Excel и оформленным закупочным документом, оставляя регламентированный учёт и складскую WMS смежным системам за шлюзом. Целевой сквозной процесс, который должен получиться после этих шагов, показан на рисунке 5.</w:t>
      </w:r>
    </w:p>
    <w:p>
      <w:pPr>
        <w:keepNext/>
        <w:spacing w:line="240" w:lineRule="auto" w:before="240" w:after="0"/>
        <w:ind w:firstLine="0"/>
        <w:jc w:val="center"/>
      </w:pPr>
      <w:r>
        <w:drawing>
          <wp:inline xmlns:a="http://schemas.openxmlformats.org/drawingml/2006/main" xmlns:pic="http://schemas.openxmlformats.org/drawingml/2006/picture">
            <wp:extent cx="2366212" cy="7379998"/>
            <wp:docPr id="5" name="Picture 5"/>
            <wp:cNvGraphicFramePr>
              <a:graphicFrameLocks noChangeAspect="1"/>
            </wp:cNvGraphicFramePr>
            <a:graphic>
              <a:graphicData uri="http://schemas.openxmlformats.org/drawingml/2006/picture">
                <pic:pic>
                  <pic:nvPicPr>
                    <pic:cNvPr id="0" name="ris-01-process.png"/>
                    <pic:cNvPicPr/>
                  </pic:nvPicPr>
                  <pic:blipFill>
                    <a:blip r:embed="rId15"/>
                    <a:stretch>
                      <a:fillRect/>
                    </a:stretch>
                  </pic:blipFill>
                  <pic:spPr>
                    <a:xfrm>
                      <a:off x="0" y="0"/>
                      <a:ext cx="2366212" cy="7379998"/>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5 – Целевой сквозной процесс закупки (TO BE)</w:t>
      </w:r>
    </w:p>
    <w:p>
      <w:pPr>
        <w:pStyle w:val="Heading2"/>
      </w:pPr>
      <w:r>
        <w:rPr>
          <w:rFonts w:ascii="Times New Roman" w:hAnsi="Times New Roman" w:eastAsia="Times New Roman" w:cs="Times New Roman"/>
          <w:b/>
          <w:color w:val="000000"/>
          <w:sz w:val="28"/>
        </w:rPr>
        <w:t>1.6 Описание заинтересованных лиц и конечных пользователей</w:t>
      </w:r>
    </w:p>
    <w:p>
      <w:r>
        <w:rPr>
          <w:rFonts w:ascii="Times New Roman" w:hAnsi="Times New Roman" w:eastAsia="Times New Roman" w:cs="Times New Roman"/>
          <w:b w:val="0"/>
          <w:color w:val="000000"/>
          <w:sz w:val="28"/>
        </w:rPr>
        <w:t>В контур входят как конечные пользователи, так и те, кто влияет на внедрение, но не работает в интерфейсе ежедневно. Имена конкретных сотрудников в материалах заказчика не приведены, в таблицах указаны роли, а форма строк соответствует шаблону методички. Характеристики ролей сведены в таблицы 5–5.5. Конфликт интересов здесь не риторический: РП выигрывает от скорости и полноты сравнения, коммерческий блок от контролируемой маржи, бухгалтерия и склад от однозначного документа, руководство от проверяемого эффекта без раздувания промышленного контура.</w:t>
      </w:r>
    </w:p>
    <w:p>
      <w:pPr>
        <w:pStyle w:val="GOSTCaption"/>
        <w:keepNext/>
        <w:jc w:val="left"/>
      </w:pPr>
      <w:r>
        <w:rPr>
          <w:rFonts w:ascii="Times New Roman" w:hAnsi="Times New Roman" w:eastAsia="Times New Roman" w:cs="Times New Roman"/>
          <w:b w:val="0"/>
          <w:color w:val="000000"/>
          <w:sz w:val="28"/>
        </w:rPr>
        <w:t>Таблица 5 – Руководитель проекта</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3946"/>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Поле</w:t>
            </w:r>
          </w:p>
        </w:tc>
        <w:tc>
          <w:tcPr>
            <w:tcW w:type="dxa" w:w="5409"/>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Содержание</w:t>
            </w:r>
          </w:p>
        </w:tc>
      </w:tr>
      <w:tr>
        <w:trPr>
          <w:cantSplit w:val="true"/>
        </w:trPr>
        <w:tc>
          <w:tcPr>
            <w:tcW w:type="dxa" w:w="394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Представитель</w:t>
            </w:r>
          </w:p>
        </w:tc>
        <w:tc>
          <w:tcPr>
            <w:tcW w:type="dxa" w:w="540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роль РП (конечный пользователь)</w:t>
            </w:r>
          </w:p>
        </w:tc>
      </w:tr>
      <w:tr>
        <w:trPr>
          <w:cantSplit w:val="true"/>
        </w:trPr>
        <w:tc>
          <w:tcPr>
            <w:tcW w:type="dxa" w:w="394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Описание</w:t>
            </w:r>
          </w:p>
        </w:tc>
        <w:tc>
          <w:tcPr>
            <w:tcW w:type="dxa" w:w="540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готовит КП и ведёт закупку проекта</w:t>
            </w:r>
          </w:p>
        </w:tc>
      </w:tr>
      <w:tr>
        <w:trPr>
          <w:cantSplit w:val="true"/>
        </w:trPr>
        <w:tc>
          <w:tcPr>
            <w:tcW w:type="dxa" w:w="394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Тип</w:t>
            </w:r>
          </w:p>
        </w:tc>
        <w:tc>
          <w:tcPr>
            <w:tcW w:type="dxa" w:w="540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профессионал предметной области</w:t>
            </w:r>
          </w:p>
        </w:tc>
      </w:tr>
      <w:tr>
        <w:trPr>
          <w:cantSplit w:val="true"/>
        </w:trPr>
        <w:tc>
          <w:tcPr>
            <w:tcW w:type="dxa" w:w="394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Ответственность</w:t>
            </w:r>
          </w:p>
        </w:tc>
        <w:tc>
          <w:tcPr>
            <w:tcW w:type="dxa" w:w="540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корректность загрузок, полнота скидок, выбор варианта КП</w:t>
            </w:r>
          </w:p>
        </w:tc>
      </w:tr>
      <w:tr>
        <w:trPr>
          <w:cantSplit w:val="true"/>
        </w:trPr>
        <w:tc>
          <w:tcPr>
            <w:tcW w:type="dxa" w:w="394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Критерий успеха</w:t>
            </w:r>
          </w:p>
        </w:tc>
        <w:tc>
          <w:tcPr>
            <w:tcW w:type="dxa" w:w="540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КП за приемлемое время, сравнимые варианты</w:t>
            </w:r>
          </w:p>
        </w:tc>
      </w:tr>
      <w:tr>
        <w:trPr>
          <w:cantSplit w:val="true"/>
        </w:trPr>
        <w:tc>
          <w:tcPr>
            <w:tcW w:type="dxa" w:w="394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Вовлечённость</w:t>
            </w:r>
          </w:p>
        </w:tc>
        <w:tc>
          <w:tcPr>
            <w:tcW w:type="dxa" w:w="540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ежедневная работа, рецензия сценариев</w:t>
            </w:r>
          </w:p>
        </w:tc>
      </w:tr>
      <w:tr>
        <w:trPr>
          <w:cantSplit w:val="true"/>
        </w:trPr>
        <w:tc>
          <w:tcPr>
            <w:tcW w:type="dxa" w:w="394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Поставляемые артефакты</w:t>
            </w:r>
          </w:p>
        </w:tc>
        <w:tc>
          <w:tcPr>
            <w:tcW w:type="dxa" w:w="540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прайсы, спецификация, выбранное КП, заказ</w:t>
            </w:r>
          </w:p>
        </w:tc>
      </w:tr>
      <w:tr>
        <w:trPr>
          <w:cantSplit w:val="true"/>
        </w:trPr>
        <w:tc>
          <w:tcPr>
            <w:tcW w:type="dxa" w:w="394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Комментарии / проблемы</w:t>
            </w:r>
          </w:p>
        </w:tc>
        <w:tc>
          <w:tcPr>
            <w:tcW w:type="dxa" w:w="540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риск ТЗ: сопротивление загрузке файлов</w:t>
            </w:r>
          </w:p>
        </w:tc>
      </w:tr>
    </w:tbl>
    <w:p>
      <w:pPr>
        <w:spacing w:after="0"/>
      </w:pPr>
    </w:p>
    <w:p>
      <w:pPr>
        <w:pStyle w:val="GOSTCaption"/>
        <w:keepNext/>
        <w:jc w:val="left"/>
      </w:pPr>
      <w:r>
        <w:rPr>
          <w:rFonts w:ascii="Times New Roman" w:hAnsi="Times New Roman" w:eastAsia="Times New Roman" w:cs="Times New Roman"/>
          <w:b w:val="0"/>
          <w:color w:val="000000"/>
          <w:sz w:val="28"/>
        </w:rPr>
        <w:t>Таблица 5.1 – Коммерческий блок</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4410"/>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Поле</w:t>
            </w:r>
          </w:p>
        </w:tc>
        <w:tc>
          <w:tcPr>
            <w:tcW w:type="dxa" w:w="4945"/>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Содержание</w:t>
            </w:r>
          </w:p>
        </w:tc>
      </w:tr>
      <w:tr>
        <w:trPr>
          <w:cantSplit w:val="true"/>
        </w:trPr>
        <w:tc>
          <w:tcPr>
            <w:tcW w:type="dxa" w:w="441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Представитель</w:t>
            </w:r>
          </w:p>
        </w:tc>
        <w:tc>
          <w:tcPr>
            <w:tcW w:type="dxa" w:w="494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роль КБ (конечный пользователь)</w:t>
            </w:r>
          </w:p>
        </w:tc>
      </w:tr>
      <w:tr>
        <w:trPr>
          <w:cantSplit w:val="true"/>
        </w:trPr>
        <w:tc>
          <w:tcPr>
            <w:tcW w:type="dxa" w:w="441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Описание</w:t>
            </w:r>
          </w:p>
        </w:tc>
        <w:tc>
          <w:tcPr>
            <w:tcW w:type="dxa" w:w="494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утверждает цену для клиента</w:t>
            </w:r>
          </w:p>
        </w:tc>
      </w:tr>
      <w:tr>
        <w:trPr>
          <w:cantSplit w:val="true"/>
        </w:trPr>
        <w:tc>
          <w:tcPr>
            <w:tcW w:type="dxa" w:w="441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Тип</w:t>
            </w:r>
          </w:p>
        </w:tc>
        <w:tc>
          <w:tcPr>
            <w:tcW w:type="dxa" w:w="494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эксперт ценообразования</w:t>
            </w:r>
          </w:p>
        </w:tc>
      </w:tr>
      <w:tr>
        <w:trPr>
          <w:cantSplit w:val="true"/>
        </w:trPr>
        <w:tc>
          <w:tcPr>
            <w:tcW w:type="dxa" w:w="441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Ответственность</w:t>
            </w:r>
          </w:p>
        </w:tc>
        <w:tc>
          <w:tcPr>
            <w:tcW w:type="dxa" w:w="494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финансовая корректность КП</w:t>
            </w:r>
          </w:p>
        </w:tc>
      </w:tr>
      <w:tr>
        <w:trPr>
          <w:cantSplit w:val="true"/>
        </w:trPr>
        <w:tc>
          <w:tcPr>
            <w:tcW w:type="dxa" w:w="441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Критерий успеха</w:t>
            </w:r>
          </w:p>
        </w:tc>
        <w:tc>
          <w:tcPr>
            <w:tcW w:type="dxa" w:w="494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маржа в допустимых рамках</w:t>
            </w:r>
          </w:p>
        </w:tc>
      </w:tr>
      <w:tr>
        <w:trPr>
          <w:cantSplit w:val="true"/>
        </w:trPr>
        <w:tc>
          <w:tcPr>
            <w:tcW w:type="dxa" w:w="441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Вовлечённость</w:t>
            </w:r>
          </w:p>
        </w:tc>
        <w:tc>
          <w:tcPr>
            <w:tcW w:type="dxa" w:w="494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рецензия маршрута согласования</w:t>
            </w:r>
          </w:p>
        </w:tc>
      </w:tr>
      <w:tr>
        <w:trPr>
          <w:cantSplit w:val="true"/>
        </w:trPr>
        <w:tc>
          <w:tcPr>
            <w:tcW w:type="dxa" w:w="441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Поставляемые артефакты</w:t>
            </w:r>
          </w:p>
        </w:tc>
        <w:tc>
          <w:tcPr>
            <w:tcW w:type="dxa" w:w="494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решение по КП, стадия «Согласован»</w:t>
            </w:r>
          </w:p>
        </w:tc>
      </w:tr>
      <w:tr>
        <w:trPr>
          <w:cantSplit w:val="true"/>
        </w:trPr>
        <w:tc>
          <w:tcPr>
            <w:tcW w:type="dxa" w:w="441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Комментарии / проблемы</w:t>
            </w:r>
          </w:p>
        </w:tc>
        <w:tc>
          <w:tcPr>
            <w:tcW w:type="dxa" w:w="494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нет круга согласователей внешнего NOC в MVP</w:t>
            </w:r>
          </w:p>
        </w:tc>
      </w:tr>
    </w:tbl>
    <w:p>
      <w:pPr>
        <w:spacing w:after="0"/>
      </w:pPr>
    </w:p>
    <w:p>
      <w:pPr>
        <w:pStyle w:val="GOSTCaption"/>
        <w:keepNext/>
        <w:jc w:val="left"/>
      </w:pPr>
      <w:r>
        <w:rPr>
          <w:rFonts w:ascii="Times New Roman" w:hAnsi="Times New Roman" w:eastAsia="Times New Roman" w:cs="Times New Roman"/>
          <w:b w:val="0"/>
          <w:color w:val="000000"/>
          <w:sz w:val="28"/>
        </w:rPr>
        <w:t>Таблица 5.2 – Бухгалтерия</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4417"/>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Поле</w:t>
            </w:r>
          </w:p>
        </w:tc>
        <w:tc>
          <w:tcPr>
            <w:tcW w:type="dxa" w:w="4937"/>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Содержание</w:t>
            </w:r>
          </w:p>
        </w:tc>
      </w:tr>
      <w:tr>
        <w:trPr>
          <w:cantSplit w:val="true"/>
        </w:trPr>
        <w:tc>
          <w:tcPr>
            <w:tcW w:type="dxa" w:w="441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Представитель</w:t>
            </w:r>
          </w:p>
        </w:tc>
        <w:tc>
          <w:tcPr>
            <w:tcW w:type="dxa" w:w="493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роль бухгалтера (конечный пользователь)</w:t>
            </w:r>
          </w:p>
        </w:tc>
      </w:tr>
      <w:tr>
        <w:trPr>
          <w:cantSplit w:val="true"/>
        </w:trPr>
        <w:tc>
          <w:tcPr>
            <w:tcW w:type="dxa" w:w="441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Описание</w:t>
            </w:r>
          </w:p>
        </w:tc>
        <w:tc>
          <w:tcPr>
            <w:tcW w:type="dxa" w:w="493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ведёт оплату и документы счёта</w:t>
            </w:r>
          </w:p>
        </w:tc>
      </w:tr>
      <w:tr>
        <w:trPr>
          <w:cantSplit w:val="true"/>
        </w:trPr>
        <w:tc>
          <w:tcPr>
            <w:tcW w:type="dxa" w:w="441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Тип</w:t>
            </w:r>
          </w:p>
        </w:tc>
        <w:tc>
          <w:tcPr>
            <w:tcW w:type="dxa" w:w="493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профессионал учёта</w:t>
            </w:r>
          </w:p>
        </w:tc>
      </w:tr>
      <w:tr>
        <w:trPr>
          <w:cantSplit w:val="true"/>
        </w:trPr>
        <w:tc>
          <w:tcPr>
            <w:tcW w:type="dxa" w:w="441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Ответственность</w:t>
            </w:r>
          </w:p>
        </w:tc>
        <w:tc>
          <w:tcPr>
            <w:tcW w:type="dxa" w:w="493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своевременность оплаты, комплект документов</w:t>
            </w:r>
          </w:p>
        </w:tc>
      </w:tr>
      <w:tr>
        <w:trPr>
          <w:cantSplit w:val="true"/>
        </w:trPr>
        <w:tc>
          <w:tcPr>
            <w:tcW w:type="dxa" w:w="441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Критерий успеха</w:t>
            </w:r>
          </w:p>
        </w:tc>
        <w:tc>
          <w:tcPr>
            <w:tcW w:type="dxa" w:w="493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статус оплаты соответствует факту</w:t>
            </w:r>
          </w:p>
        </w:tc>
      </w:tr>
      <w:tr>
        <w:trPr>
          <w:cantSplit w:val="true"/>
        </w:trPr>
        <w:tc>
          <w:tcPr>
            <w:tcW w:type="dxa" w:w="441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Вовлечённость</w:t>
            </w:r>
          </w:p>
        </w:tc>
        <w:tc>
          <w:tcPr>
            <w:tcW w:type="dxa" w:w="493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приёмка стадий счёта</w:t>
            </w:r>
          </w:p>
        </w:tc>
      </w:tr>
      <w:tr>
        <w:trPr>
          <w:cantSplit w:val="true"/>
        </w:trPr>
        <w:tc>
          <w:tcPr>
            <w:tcW w:type="dxa" w:w="441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Поставляемые артефакты</w:t>
            </w:r>
          </w:p>
        </w:tc>
        <w:tc>
          <w:tcPr>
            <w:tcW w:type="dxa" w:w="493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вложения, статусы оплаты</w:t>
            </w:r>
          </w:p>
        </w:tc>
      </w:tr>
      <w:tr>
        <w:trPr>
          <w:cantSplit w:val="true"/>
        </w:trPr>
        <w:tc>
          <w:tcPr>
            <w:tcW w:type="dxa" w:w="441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Комментарии / проблемы</w:t>
            </w:r>
          </w:p>
        </w:tc>
        <w:tc>
          <w:tcPr>
            <w:tcW w:type="dxa" w:w="493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нет отдельной проверки договора</w:t>
            </w:r>
          </w:p>
        </w:tc>
      </w:tr>
    </w:tbl>
    <w:p>
      <w:pPr>
        <w:spacing w:after="0"/>
      </w:pPr>
    </w:p>
    <w:p>
      <w:pPr>
        <w:pStyle w:val="GOSTCaption"/>
        <w:keepNext/>
        <w:jc w:val="left"/>
      </w:pPr>
      <w:r>
        <w:rPr>
          <w:rFonts w:ascii="Times New Roman" w:hAnsi="Times New Roman" w:eastAsia="Times New Roman" w:cs="Times New Roman"/>
          <w:b w:val="0"/>
          <w:color w:val="000000"/>
          <w:sz w:val="28"/>
        </w:rPr>
        <w:t>Таблица 5.3 – Склад</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4668"/>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Поле</w:t>
            </w:r>
          </w:p>
        </w:tc>
        <w:tc>
          <w:tcPr>
            <w:tcW w:type="dxa" w:w="4686"/>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Содержание</w:t>
            </w:r>
          </w:p>
        </w:tc>
      </w:tr>
      <w:tr>
        <w:trPr>
          <w:cantSplit w:val="true"/>
        </w:trPr>
        <w:tc>
          <w:tcPr>
            <w:tcW w:type="dxa" w:w="466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Представитель</w:t>
            </w:r>
          </w:p>
        </w:tc>
        <w:tc>
          <w:tcPr>
            <w:tcW w:type="dxa" w:w="468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роль кладовщика (конечный пользователь)</w:t>
            </w:r>
          </w:p>
        </w:tc>
      </w:tr>
      <w:tr>
        <w:trPr>
          <w:cantSplit w:val="true"/>
        </w:trPr>
        <w:tc>
          <w:tcPr>
            <w:tcW w:type="dxa" w:w="466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Описание</w:t>
            </w:r>
          </w:p>
        </w:tc>
        <w:tc>
          <w:tcPr>
            <w:tcW w:type="dxa" w:w="468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фиксирует приход товара</w:t>
            </w:r>
          </w:p>
        </w:tc>
      </w:tr>
      <w:tr>
        <w:trPr>
          <w:cantSplit w:val="true"/>
        </w:trPr>
        <w:tc>
          <w:tcPr>
            <w:tcW w:type="dxa" w:w="466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Тип</w:t>
            </w:r>
          </w:p>
        </w:tc>
        <w:tc>
          <w:tcPr>
            <w:tcW w:type="dxa" w:w="468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профессионал склада</w:t>
            </w:r>
          </w:p>
        </w:tc>
      </w:tr>
      <w:tr>
        <w:trPr>
          <w:cantSplit w:val="true"/>
        </w:trPr>
        <w:tc>
          <w:tcPr>
            <w:tcW w:type="dxa" w:w="466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Ответственность</w:t>
            </w:r>
          </w:p>
        </w:tc>
        <w:tc>
          <w:tcPr>
            <w:tcW w:type="dxa" w:w="468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физическая приёмка, фиксация расхождений</w:t>
            </w:r>
          </w:p>
        </w:tc>
      </w:tr>
      <w:tr>
        <w:trPr>
          <w:cantSplit w:val="true"/>
        </w:trPr>
        <w:tc>
          <w:tcPr>
            <w:tcW w:type="dxa" w:w="466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Критерий успеха</w:t>
            </w:r>
          </w:p>
        </w:tc>
        <w:tc>
          <w:tcPr>
            <w:tcW w:type="dxa" w:w="468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расхождения зафиксированы</w:t>
            </w:r>
          </w:p>
        </w:tc>
      </w:tr>
      <w:tr>
        <w:trPr>
          <w:cantSplit w:val="true"/>
        </w:trPr>
        <w:tc>
          <w:tcPr>
            <w:tcW w:type="dxa" w:w="466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Вовлечённость</w:t>
            </w:r>
          </w:p>
        </w:tc>
        <w:tc>
          <w:tcPr>
            <w:tcW w:type="dxa" w:w="468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приёмка сценария склада</w:t>
            </w:r>
          </w:p>
        </w:tc>
      </w:tr>
      <w:tr>
        <w:trPr>
          <w:cantSplit w:val="true"/>
        </w:trPr>
        <w:tc>
          <w:tcPr>
            <w:tcW w:type="dxa" w:w="466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Поставляемые артефакты</w:t>
            </w:r>
          </w:p>
        </w:tc>
        <w:tc>
          <w:tcPr>
            <w:tcW w:type="dxa" w:w="468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документ приёмки</w:t>
            </w:r>
          </w:p>
        </w:tc>
      </w:tr>
      <w:tr>
        <w:trPr>
          <w:cantSplit w:val="true"/>
        </w:trPr>
        <w:tc>
          <w:tcPr>
            <w:tcW w:type="dxa" w:w="466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Комментарии / проблемы</w:t>
            </w:r>
          </w:p>
        </w:tc>
        <w:tc>
          <w:tcPr>
            <w:tcW w:type="dxa" w:w="468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1С/WMS на стенде — мок</w:t>
            </w:r>
          </w:p>
        </w:tc>
      </w:tr>
    </w:tbl>
    <w:p>
      <w:pPr>
        <w:spacing w:after="0"/>
      </w:pPr>
    </w:p>
    <w:p>
      <w:pPr>
        <w:pStyle w:val="GOSTCaption"/>
        <w:keepNext/>
        <w:jc w:val="left"/>
      </w:pPr>
      <w:r>
        <w:rPr>
          <w:rFonts w:ascii="Times New Roman" w:hAnsi="Times New Roman" w:eastAsia="Times New Roman" w:cs="Times New Roman"/>
          <w:b w:val="0"/>
          <w:color w:val="000000"/>
          <w:sz w:val="28"/>
        </w:rPr>
        <w:t>Таблица 5.4 – Администратор</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4387"/>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Поле</w:t>
            </w:r>
          </w:p>
        </w:tc>
        <w:tc>
          <w:tcPr>
            <w:tcW w:type="dxa" w:w="4967"/>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Содержание</w:t>
            </w:r>
          </w:p>
        </w:tc>
      </w:tr>
      <w:tr>
        <w:trPr>
          <w:cantSplit w:val="true"/>
        </w:trPr>
        <w:tc>
          <w:tcPr>
            <w:tcW w:type="dxa" w:w="438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Представитель</w:t>
            </w:r>
          </w:p>
        </w:tc>
        <w:tc>
          <w:tcPr>
            <w:tcW w:type="dxa" w:w="49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администратор стенда</w:t>
            </w:r>
          </w:p>
        </w:tc>
      </w:tr>
      <w:tr>
        <w:trPr>
          <w:cantSplit w:val="true"/>
        </w:trPr>
        <w:tc>
          <w:tcPr>
            <w:tcW w:type="dxa" w:w="438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Описание</w:t>
            </w:r>
          </w:p>
        </w:tc>
        <w:tc>
          <w:tcPr>
            <w:tcW w:type="dxa" w:w="49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отвечает за доступ и работоспособность</w:t>
            </w:r>
          </w:p>
        </w:tc>
      </w:tr>
      <w:tr>
        <w:trPr>
          <w:cantSplit w:val="true"/>
        </w:trPr>
        <w:tc>
          <w:tcPr>
            <w:tcW w:type="dxa" w:w="438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Тип</w:t>
            </w:r>
          </w:p>
        </w:tc>
        <w:tc>
          <w:tcPr>
            <w:tcW w:type="dxa" w:w="49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технический эксперт</w:t>
            </w:r>
          </w:p>
        </w:tc>
      </w:tr>
      <w:tr>
        <w:trPr>
          <w:cantSplit w:val="true"/>
        </w:trPr>
        <w:tc>
          <w:tcPr>
            <w:tcW w:type="dxa" w:w="438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Ответственность</w:t>
            </w:r>
          </w:p>
        </w:tc>
        <w:tc>
          <w:tcPr>
            <w:tcW w:type="dxa" w:w="49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безопасность доступов, справочники</w:t>
            </w:r>
          </w:p>
        </w:tc>
      </w:tr>
      <w:tr>
        <w:trPr>
          <w:cantSplit w:val="true"/>
        </w:trPr>
        <w:tc>
          <w:tcPr>
            <w:tcW w:type="dxa" w:w="438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Критерий успеха</w:t>
            </w:r>
          </w:p>
        </w:tc>
        <w:tc>
          <w:tcPr>
            <w:tcW w:type="dxa" w:w="49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система доступна ролям</w:t>
            </w:r>
          </w:p>
        </w:tc>
      </w:tr>
      <w:tr>
        <w:trPr>
          <w:cantSplit w:val="true"/>
        </w:trPr>
        <w:tc>
          <w:tcPr>
            <w:tcW w:type="dxa" w:w="438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Вовлечённость</w:t>
            </w:r>
          </w:p>
        </w:tc>
        <w:tc>
          <w:tcPr>
            <w:tcW w:type="dxa" w:w="49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настройка Keycloak, диагностика</w:t>
            </w:r>
          </w:p>
        </w:tc>
      </w:tr>
      <w:tr>
        <w:trPr>
          <w:cantSplit w:val="true"/>
        </w:trPr>
        <w:tc>
          <w:tcPr>
            <w:tcW w:type="dxa" w:w="438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Поставляемые артефакты</w:t>
            </w:r>
          </w:p>
        </w:tc>
        <w:tc>
          <w:tcPr>
            <w:tcW w:type="dxa" w:w="49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журнал аудита, учётные записи</w:t>
            </w:r>
          </w:p>
        </w:tc>
      </w:tr>
      <w:tr>
        <w:trPr>
          <w:cantSplit w:val="true"/>
        </w:trPr>
        <w:tc>
          <w:tcPr>
            <w:tcW w:type="dxa" w:w="438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Комментарии / проблемы</w:t>
            </w:r>
          </w:p>
        </w:tc>
        <w:tc>
          <w:tcPr>
            <w:tcW w:type="dxa" w:w="49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учебные пароли недопустимы в промышленном контуре</w:t>
            </w:r>
          </w:p>
        </w:tc>
      </w:tr>
    </w:tbl>
    <w:p>
      <w:pPr>
        <w:spacing w:after="0"/>
      </w:pPr>
    </w:p>
    <w:p>
      <w:pPr>
        <w:pStyle w:val="GOSTCaption"/>
        <w:keepNext/>
        <w:jc w:val="left"/>
      </w:pPr>
      <w:r>
        <w:rPr>
          <w:rFonts w:ascii="Times New Roman" w:hAnsi="Times New Roman" w:eastAsia="Times New Roman" w:cs="Times New Roman"/>
          <w:b w:val="0"/>
          <w:color w:val="000000"/>
          <w:sz w:val="28"/>
        </w:rPr>
        <w:t>Таблица 5.5 – Руководство подразделения</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4184"/>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Поле</w:t>
            </w:r>
          </w:p>
        </w:tc>
        <w:tc>
          <w:tcPr>
            <w:tcW w:type="dxa" w:w="5170"/>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Содержание</w:t>
            </w:r>
          </w:p>
        </w:tc>
      </w:tr>
      <w:tr>
        <w:trPr>
          <w:cantSplit w:val="true"/>
        </w:trPr>
        <w:tc>
          <w:tcPr>
            <w:tcW w:type="dxa" w:w="418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Представитель</w:t>
            </w:r>
          </w:p>
        </w:tc>
        <w:tc>
          <w:tcPr>
            <w:tcW w:type="dxa" w:w="517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заказчик / руководитель подразделения</w:t>
            </w:r>
          </w:p>
        </w:tc>
      </w:tr>
      <w:tr>
        <w:trPr>
          <w:cantSplit w:val="true"/>
        </w:trPr>
        <w:tc>
          <w:tcPr>
            <w:tcW w:type="dxa" w:w="418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Описание</w:t>
            </w:r>
          </w:p>
        </w:tc>
        <w:tc>
          <w:tcPr>
            <w:tcW w:type="dxa" w:w="517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финансирует работу и принимает результат; конечным пользователем интерфейса не является</w:t>
            </w:r>
          </w:p>
        </w:tc>
      </w:tr>
      <w:tr>
        <w:trPr>
          <w:cantSplit w:val="true"/>
        </w:trPr>
        <w:tc>
          <w:tcPr>
            <w:tcW w:type="dxa" w:w="418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Тип</w:t>
            </w:r>
          </w:p>
        </w:tc>
        <w:tc>
          <w:tcPr>
            <w:tcW w:type="dxa" w:w="517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лицо, принимающее решение</w:t>
            </w:r>
          </w:p>
        </w:tc>
      </w:tr>
      <w:tr>
        <w:trPr>
          <w:cantSplit w:val="true"/>
        </w:trPr>
        <w:tc>
          <w:tcPr>
            <w:tcW w:type="dxa" w:w="418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Ответственность</w:t>
            </w:r>
          </w:p>
        </w:tc>
        <w:tc>
          <w:tcPr>
            <w:tcW w:type="dxa" w:w="517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достижение целей ТЗ</w:t>
            </w:r>
          </w:p>
        </w:tc>
      </w:tr>
      <w:tr>
        <w:trPr>
          <w:cantSplit w:val="true"/>
        </w:trPr>
        <w:tc>
          <w:tcPr>
            <w:tcW w:type="dxa" w:w="418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Критерий успеха</w:t>
            </w:r>
          </w:p>
        </w:tc>
        <w:tc>
          <w:tcPr>
            <w:tcW w:type="dxa" w:w="517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снижение трудозатрат РП и прозрачность процесса</w:t>
            </w:r>
          </w:p>
        </w:tc>
      </w:tr>
      <w:tr>
        <w:trPr>
          <w:cantSplit w:val="true"/>
        </w:trPr>
        <w:tc>
          <w:tcPr>
            <w:tcW w:type="dxa" w:w="418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Вовлечённость</w:t>
            </w:r>
          </w:p>
        </w:tc>
        <w:tc>
          <w:tcPr>
            <w:tcW w:type="dxa" w:w="517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приёмка MVP</w:t>
            </w:r>
          </w:p>
        </w:tc>
      </w:tr>
      <w:tr>
        <w:trPr>
          <w:cantSplit w:val="true"/>
        </w:trPr>
        <w:tc>
          <w:tcPr>
            <w:tcW w:type="dxa" w:w="418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Поставляемые артефакты</w:t>
            </w:r>
          </w:p>
        </w:tc>
        <w:tc>
          <w:tcPr>
            <w:tcW w:type="dxa" w:w="517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согласованное ТЗ</w:t>
            </w:r>
          </w:p>
        </w:tc>
      </w:tr>
      <w:tr>
        <w:trPr>
          <w:cantSplit w:val="true"/>
        </w:trPr>
        <w:tc>
          <w:tcPr>
            <w:tcW w:type="dxa" w:w="418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Комментарии / проблемы</w:t>
            </w:r>
          </w:p>
        </w:tc>
        <w:tc>
          <w:tcPr>
            <w:tcW w:type="dxa" w:w="517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KPI не зафиксированы численно</w:t>
            </w:r>
          </w:p>
        </w:tc>
      </w:tr>
    </w:tbl>
    <w:p>
      <w:pPr>
        <w:spacing w:after="0"/>
      </w:pPr>
    </w:p>
    <w:p>
      <w:r>
        <w:rPr>
          <w:rFonts w:ascii="Times New Roman" w:hAnsi="Times New Roman" w:eastAsia="Times New Roman" w:cs="Times New Roman"/>
          <w:b w:val="0"/>
          <w:color w:val="000000"/>
          <w:sz w:val="28"/>
        </w:rPr>
        <w:t>Наблюдатель (</w:t>
      </w:r>
      <w:r>
        <w:rPr>
          <w:rFonts w:ascii="Courier New" w:hAnsi="Courier New" w:eastAsia="Courier New" w:cs="Courier New"/>
          <w:b w:val="0"/>
          <w:color w:val="000000"/>
          <w:sz w:val="26"/>
        </w:rPr>
        <w:t>viewer</w:t>
      </w:r>
      <w:r>
        <w:rPr>
          <w:rFonts w:ascii="Times New Roman" w:hAnsi="Times New Roman" w:eastAsia="Times New Roman" w:cs="Times New Roman"/>
          <w:b w:val="0"/>
          <w:color w:val="000000"/>
          <w:sz w:val="28"/>
        </w:rPr>
        <w:t>) является конечным пользователем только на чтение. Опциональные роли ТЗ «аналитик» и «менеджер справочников» в реализации не выделены: аналитик покрывается доступом на чтение, операции справочников выполняют РП и администратор. Это упрощение MVP, а не отрицание потребности в аналитике: отдельная роль появилась бы, если бы конструктор отчётов входил в первую версию. Взаимодействие ролей в сквозном сценарии показано на рисунке 6.</w:t>
      </w:r>
    </w:p>
    <w:p>
      <w:pPr>
        <w:keepNext/>
        <w:spacing w:line="240" w:lineRule="auto" w:before="240" w:after="0"/>
        <w:ind w:firstLine="0"/>
        <w:jc w:val="center"/>
      </w:pPr>
      <w:r>
        <w:drawing>
          <wp:inline xmlns:a="http://schemas.openxmlformats.org/drawingml/2006/main" xmlns:pic="http://schemas.openxmlformats.org/drawingml/2006/picture">
            <wp:extent cx="5760000" cy="3020400"/>
            <wp:docPr id="6" name="Picture 6"/>
            <wp:cNvGraphicFramePr>
              <a:graphicFrameLocks noChangeAspect="1"/>
            </wp:cNvGraphicFramePr>
            <a:graphic>
              <a:graphicData uri="http://schemas.openxmlformats.org/drawingml/2006/picture">
                <pic:pic>
                  <pic:nvPicPr>
                    <pic:cNvPr id="0" name="ris-02-roles.png"/>
                    <pic:cNvPicPr/>
                  </pic:nvPicPr>
                  <pic:blipFill>
                    <a:blip r:embed="rId16"/>
                    <a:stretch>
                      <a:fillRect/>
                    </a:stretch>
                  </pic:blipFill>
                  <pic:spPr>
                    <a:xfrm>
                      <a:off x="0" y="0"/>
                      <a:ext cx="5760000" cy="3020400"/>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6 – Взаимодействие ролей в сквозном сценарии</w:t>
      </w:r>
    </w:p>
    <w:p>
      <w:pPr>
        <w:pStyle w:val="Heading2"/>
      </w:pPr>
      <w:r>
        <w:rPr>
          <w:rFonts w:ascii="Times New Roman" w:hAnsi="Times New Roman" w:eastAsia="Times New Roman" w:cs="Times New Roman"/>
          <w:b/>
          <w:color w:val="000000"/>
          <w:sz w:val="28"/>
        </w:rPr>
        <w:t>1.7 Бизнес-требования</w:t>
      </w:r>
    </w:p>
    <w:p>
      <w:r>
        <w:rPr>
          <w:rFonts w:ascii="Times New Roman" w:hAnsi="Times New Roman" w:eastAsia="Times New Roman" w:cs="Times New Roman"/>
          <w:b w:val="0"/>
          <w:color w:val="000000"/>
          <w:sz w:val="28"/>
        </w:rPr>
        <w:t>Бизнес-цели сформулированы заказчиком в ТЗ: снизить себестоимость закупки, повысить глубину анализа рынка поставщиков, сократить время РП, увеличить долю выигранных тендеров, обеспечить прозрачность от КП до склада. Числовые KPI не согласованы и в систему как целевые метрики не переносились, следуя практике фиксировать только проверяемые обязательства [5]. В качестве рабочих критериев приняты проверяемые свойства процесса: воспроизводимый расчёт, видимость несопоставленных строк, ролевой маршрут, снимок цены. Если эти свойства выполняются на стенде, цели ТЗ получают механизм, даже пока проценты эффекта остаются на согласовании.</w:t>
      </w:r>
    </w:p>
    <w:p>
      <w:r>
        <w:rPr>
          <w:rFonts w:ascii="Times New Roman" w:hAnsi="Times New Roman" w:eastAsia="Times New Roman" w:cs="Times New Roman"/>
          <w:b w:val="0"/>
          <w:color w:val="000000"/>
          <w:sz w:val="28"/>
        </w:rPr>
        <w:t>Связь целей, воздействий и функций показана на рисунке 7 по принципу impact mapping [36]. Приоритет P1 соответствует обязательному MVP, P2 желательным функциям первой версии, P3 развитию. Высокий приоритет отдан тому, без чего цепочка раздела 1.4 не разрывается: единому каталогу, сопоставлению, сравнимым стратегиям КП, маршруту цены и снимку документа. Приёмка и шлюзы 1С/WMS отнесены к среднему приоритету, потому что без них процесс не доходит до склада, но учебный стенд вправе закрыть внешний учёт контрактом и моком. Бизнес-требования и ключевые функции сведены в таблицу 6.</w:t>
      </w:r>
    </w:p>
    <w:p>
      <w:pPr>
        <w:keepNext/>
        <w:spacing w:line="240" w:lineRule="auto" w:before="240" w:after="0"/>
        <w:ind w:firstLine="0"/>
        <w:jc w:val="center"/>
      </w:pPr>
      <w:r>
        <w:drawing>
          <wp:inline xmlns:a="http://schemas.openxmlformats.org/drawingml/2006/main" xmlns:pic="http://schemas.openxmlformats.org/drawingml/2006/picture">
            <wp:extent cx="5760000" cy="3948218"/>
            <wp:docPr id="7" name="Picture 7"/>
            <wp:cNvGraphicFramePr>
              <a:graphicFrameLocks noChangeAspect="1"/>
            </wp:cNvGraphicFramePr>
            <a:graphic>
              <a:graphicData uri="http://schemas.openxmlformats.org/drawingml/2006/picture">
                <pic:pic>
                  <pic:nvPicPr>
                    <pic:cNvPr id="0" name="ris-18-impact.png"/>
                    <pic:cNvPicPr/>
                  </pic:nvPicPr>
                  <pic:blipFill>
                    <a:blip r:embed="rId17"/>
                    <a:stretch>
                      <a:fillRect/>
                    </a:stretch>
                  </pic:blipFill>
                  <pic:spPr>
                    <a:xfrm>
                      <a:off x="0" y="0"/>
                      <a:ext cx="5760000" cy="3948218"/>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7 – Карта воздействий (Impact Mapping)</w:t>
      </w:r>
    </w:p>
    <w:p>
      <w:pPr>
        <w:pStyle w:val="GOSTCaption"/>
        <w:keepNext/>
        <w:jc w:val="left"/>
      </w:pPr>
      <w:r>
        <w:rPr>
          <w:rFonts w:ascii="Times New Roman" w:hAnsi="Times New Roman" w:eastAsia="Times New Roman" w:cs="Times New Roman"/>
          <w:b w:val="0"/>
          <w:color w:val="000000"/>
          <w:sz w:val="28"/>
        </w:rPr>
        <w:t>Таблица 6 – Бизнес-требования и функции</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val="true"/>
          <w:tblHeader w:val="true"/>
        </w:trPr>
        <w:tc>
          <w:tcPr>
            <w:tcW w:type="dxa" w:w="1331"/>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ID</w:t>
            </w:r>
          </w:p>
        </w:tc>
        <w:tc>
          <w:tcPr>
            <w:tcW w:type="dxa" w:w="3174"/>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Бизнес-требование</w:t>
            </w:r>
          </w:p>
        </w:tc>
        <w:tc>
          <w:tcPr>
            <w:tcW w:type="dxa" w:w="1861"/>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Приоритет</w:t>
            </w:r>
          </w:p>
        </w:tc>
        <w:tc>
          <w:tcPr>
            <w:tcW w:type="dxa" w:w="2988"/>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Ключевые функции</w:t>
            </w:r>
          </w:p>
        </w:tc>
      </w:tr>
      <w:tr>
        <w:trPr>
          <w:cantSplit w:val="true"/>
        </w:trPr>
        <w:tc>
          <w:tcPr>
            <w:tcW w:type="dxa" w:w="13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БТ-1</w:t>
            </w:r>
          </w:p>
        </w:tc>
        <w:tc>
          <w:tcPr>
            <w:tcW w:type="dxa" w:w="31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Единое хранение актуальных предложений поставщиков</w:t>
            </w:r>
          </w:p>
        </w:tc>
        <w:tc>
          <w:tcPr>
            <w:tcW w:type="dxa" w:w="186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w:t>
            </w:r>
          </w:p>
        </w:tc>
        <w:tc>
          <w:tcPr>
            <w:tcW w:type="dxa" w:w="298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импорт Excel, каталог, архив, история цен</w:t>
            </w:r>
          </w:p>
        </w:tc>
      </w:tr>
      <w:tr>
        <w:trPr>
          <w:cantSplit w:val="true"/>
        </w:trPr>
        <w:tc>
          <w:tcPr>
            <w:tcW w:type="dxa" w:w="13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БТ-2</w:t>
            </w:r>
          </w:p>
        </w:tc>
        <w:tc>
          <w:tcPr>
            <w:tcW w:type="dxa" w:w="31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Сопоставление перечня проекта с каталогом</w:t>
            </w:r>
          </w:p>
        </w:tc>
        <w:tc>
          <w:tcPr>
            <w:tcW w:type="dxa" w:w="186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w:t>
            </w:r>
          </w:p>
        </w:tc>
        <w:tc>
          <w:tcPr>
            <w:tcW w:type="dxa" w:w="298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точный SKU, fuzzy, ML, ручное подтверждение</w:t>
            </w:r>
          </w:p>
        </w:tc>
      </w:tr>
      <w:tr>
        <w:trPr>
          <w:cantSplit w:val="true"/>
        </w:trPr>
        <w:tc>
          <w:tcPr>
            <w:tcW w:type="dxa" w:w="13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БТ-3</w:t>
            </w:r>
          </w:p>
        </w:tc>
        <w:tc>
          <w:tcPr>
            <w:tcW w:type="dxa" w:w="31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Сравнимые варианты КП вместо единственного выбора</w:t>
            </w:r>
          </w:p>
        </w:tc>
        <w:tc>
          <w:tcPr>
            <w:tcW w:type="dxa" w:w="186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w:t>
            </w:r>
          </w:p>
        </w:tc>
        <w:tc>
          <w:tcPr>
            <w:tcW w:type="dxa" w:w="298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стратегии цены, срока, баланса; скидки; НДС</w:t>
            </w:r>
          </w:p>
        </w:tc>
      </w:tr>
      <w:tr>
        <w:trPr>
          <w:cantSplit w:val="true"/>
        </w:trPr>
        <w:tc>
          <w:tcPr>
            <w:tcW w:type="dxa" w:w="13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БТ-4</w:t>
            </w:r>
          </w:p>
        </w:tc>
        <w:tc>
          <w:tcPr>
            <w:tcW w:type="dxa" w:w="31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Управляемая цена для клиента</w:t>
            </w:r>
          </w:p>
        </w:tc>
        <w:tc>
          <w:tcPr>
            <w:tcW w:type="dxa" w:w="186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w:t>
            </w:r>
          </w:p>
        </w:tc>
        <w:tc>
          <w:tcPr>
            <w:tcW w:type="dxa" w:w="298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наценка, маржа, решение КБ, комментарий</w:t>
            </w:r>
          </w:p>
        </w:tc>
      </w:tr>
      <w:tr>
        <w:trPr>
          <w:cantSplit w:val="true"/>
        </w:trPr>
        <w:tc>
          <w:tcPr>
            <w:tcW w:type="dxa" w:w="13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БТ-5</w:t>
            </w:r>
          </w:p>
        </w:tc>
        <w:tc>
          <w:tcPr>
            <w:tcW w:type="dxa" w:w="31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Зафиксированный документ исполнения</w:t>
            </w:r>
          </w:p>
        </w:tc>
        <w:tc>
          <w:tcPr>
            <w:tcW w:type="dxa" w:w="186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w:t>
            </w:r>
          </w:p>
        </w:tc>
        <w:tc>
          <w:tcPr>
            <w:tcW w:type="dxa" w:w="298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счёт NOC, заказ-снимок, резерв</w:t>
            </w:r>
          </w:p>
        </w:tc>
      </w:tr>
      <w:tr>
        <w:trPr>
          <w:cantSplit w:val="true"/>
        </w:trPr>
        <w:tc>
          <w:tcPr>
            <w:tcW w:type="dxa" w:w="13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БТ-6</w:t>
            </w:r>
          </w:p>
        </w:tc>
        <w:tc>
          <w:tcPr>
            <w:tcW w:type="dxa" w:w="31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Доведение закупки до склада и учёта</w:t>
            </w:r>
          </w:p>
        </w:tc>
        <w:tc>
          <w:tcPr>
            <w:tcW w:type="dxa" w:w="186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средний</w:t>
            </w:r>
          </w:p>
        </w:tc>
        <w:tc>
          <w:tcPr>
            <w:tcW w:type="dxa" w:w="298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приёмка, шлюзы 1С/WMS</w:t>
            </w:r>
          </w:p>
        </w:tc>
      </w:tr>
      <w:tr>
        <w:trPr>
          <w:cantSplit w:val="true"/>
        </w:trPr>
        <w:tc>
          <w:tcPr>
            <w:tcW w:type="dxa" w:w="13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БТ-7</w:t>
            </w:r>
          </w:p>
        </w:tc>
        <w:tc>
          <w:tcPr>
            <w:tcW w:type="dxa" w:w="31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Разграничение ответственности</w:t>
            </w:r>
          </w:p>
        </w:tc>
        <w:tc>
          <w:tcPr>
            <w:tcW w:type="dxa" w:w="186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w:t>
            </w:r>
          </w:p>
        </w:tc>
        <w:tc>
          <w:tcPr>
            <w:tcW w:type="dxa" w:w="298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роли, политики, аудит</w:t>
            </w:r>
          </w:p>
        </w:tc>
      </w:tr>
      <w:tr>
        <w:trPr>
          <w:cantSplit w:val="true"/>
        </w:trPr>
        <w:tc>
          <w:tcPr>
            <w:tcW w:type="dxa" w:w="13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БТ-8</w:t>
            </w:r>
          </w:p>
        </w:tc>
        <w:tc>
          <w:tcPr>
            <w:tcW w:type="dxa" w:w="31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Наблюдаемость и уведомления</w:t>
            </w:r>
          </w:p>
        </w:tc>
        <w:tc>
          <w:tcPr>
            <w:tcW w:type="dxa" w:w="186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средний</w:t>
            </w:r>
          </w:p>
        </w:tc>
        <w:tc>
          <w:tcPr>
            <w:tcW w:type="dxa" w:w="298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колокольчик, SMTP, журнал</w:t>
            </w:r>
          </w:p>
        </w:tc>
      </w:tr>
      <w:tr>
        <w:trPr>
          <w:cantSplit w:val="true"/>
        </w:trPr>
        <w:tc>
          <w:tcPr>
            <w:tcW w:type="dxa" w:w="13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БТ-9</w:t>
            </w:r>
          </w:p>
        </w:tc>
        <w:tc>
          <w:tcPr>
            <w:tcW w:type="dxa" w:w="31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Аналитика по накопленным данным</w:t>
            </w:r>
          </w:p>
        </w:tc>
        <w:tc>
          <w:tcPr>
            <w:tcW w:type="dxa" w:w="186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низкий</w:t>
            </w:r>
          </w:p>
        </w:tc>
        <w:tc>
          <w:tcPr>
            <w:tcW w:type="dxa" w:w="298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сводка; конструктор отчётов вне MVP</w:t>
            </w:r>
          </w:p>
        </w:tc>
      </w:tr>
    </w:tbl>
    <w:p>
      <w:pPr>
        <w:spacing w:after="0"/>
      </w:pPr>
    </w:p>
    <w:p>
      <w:pPr>
        <w:pStyle w:val="Heading1"/>
        <w:jc w:val="left"/>
      </w:pPr>
      <w:r>
        <w:rPr>
          <w:rFonts w:ascii="Times New Roman" w:hAnsi="Times New Roman" w:eastAsia="Times New Roman" w:cs="Times New Roman"/>
          <w:b/>
          <w:color w:val="000000"/>
          <w:sz w:val="28"/>
        </w:rPr>
        <w:t>2 АНАЛИЗ СУЩЕСТВУЮЩИХ РЕШЕНИЙ</w:t>
      </w:r>
    </w:p>
    <w:p>
      <w:r>
        <w:rPr>
          <w:rFonts w:ascii="Times New Roman" w:hAnsi="Times New Roman" w:eastAsia="Times New Roman" w:cs="Times New Roman"/>
          <w:b w:val="0"/>
          <w:color w:val="000000"/>
          <w:sz w:val="28"/>
        </w:rPr>
        <w:t>Пять продуктов частично закрывают боли заказчика: хранение цен поставщиков, закупки, согласование документов, электронные процедуры. Сравнение выполняется по критериям, выведенным из бизнес-требований раздела 1, а не по универсальному «набору функций ERP», потому что заказчику нужен внутренний разбор закрытых прайсов проекта, а не замена всего учётного контура. Сведения об аналогах взяты с официальных страниц продуктов. Характеристики, которых на этих страницах нет, не приписываются: отсутствие публичного описания целевого сценария считается ограничением для выбора готового продукта, а не доказательством, что функция невозможна после проекта внедрения.</w:t>
      </w:r>
    </w:p>
    <w:p>
      <w:r>
        <w:rPr>
          <w:rFonts w:ascii="Times New Roman" w:hAnsi="Times New Roman" w:eastAsia="Times New Roman" w:cs="Times New Roman"/>
          <w:b w:val="0"/>
          <w:color w:val="000000"/>
          <w:sz w:val="28"/>
        </w:rPr>
        <w:t>Проверялось не «лучшее на рынке», а пересечение с обязательным контуром РП → КБ → бухгалтерия → склад. Для каждого продукта читались заявленные возможности импорта каталога или прайса, сопоставления номенклатуры, расчёта нескольких вариантов стоимости, маршрута согласования, фиксации сумм в документах и связи с учётным контуром. Испытаний «бок о бок» на стенде заказчика не было, поэтому оценки качественные и опираются только на то, что вендор сам публикует как целевой сценарий.</w:t>
      </w:r>
    </w:p>
    <w:p>
      <w:pPr>
        <w:pStyle w:val="Heading2"/>
      </w:pPr>
      <w:r>
        <w:rPr>
          <w:rFonts w:ascii="Times New Roman" w:hAnsi="Times New Roman" w:eastAsia="Times New Roman" w:cs="Times New Roman"/>
          <w:b/>
          <w:color w:val="000000"/>
          <w:sz w:val="28"/>
        </w:rPr>
        <w:t>2.1 Обзор существующих решений</w:t>
      </w:r>
    </w:p>
    <w:p>
      <w:pPr>
        <w:pStyle w:val="Heading3"/>
      </w:pPr>
      <w:r>
        <w:rPr>
          <w:rFonts w:ascii="Times New Roman" w:hAnsi="Times New Roman" w:eastAsia="Times New Roman" w:cs="Times New Roman"/>
          <w:b/>
          <w:color w:val="000000"/>
          <w:sz w:val="28"/>
        </w:rPr>
        <w:t>2.1.1 «1С:Управление торговлей»</w:t>
      </w:r>
    </w:p>
    <w:p>
      <w:r>
        <w:rPr>
          <w:rFonts w:ascii="Times New Roman" w:hAnsi="Times New Roman" w:eastAsia="Times New Roman" w:cs="Times New Roman"/>
          <w:b w:val="0"/>
          <w:color w:val="000000"/>
          <w:sz w:val="28"/>
        </w:rPr>
        <w:t>Официальное описание модуля закупок приведено на сайте фирмы «1С» [29]. Конфигурация предназначена для автоматизации торговли, в том числе закупок. По опубликованному описанию доступны подбор поставщиков, различные условия закупок, варианты формирования заказов поставщикам и контроль исполнения. Там же заявлены мониторинг цен поставщиков, оформление поставки, графики поставок и платежей, корректировка поступлений и возвраты. Прайс поставщика регистрируется в рамках соглашения; цены загружаются, в том числе внешней обработкой с сайта поставщика. Предусмотрено хранение соответствия номенклатуры поставщика и номенклатуры информационной базы, если наименования не совпадают.</w:t>
      </w:r>
    </w:p>
    <w:p>
      <w:r>
        <w:rPr>
          <w:rFonts w:ascii="Times New Roman" w:hAnsi="Times New Roman" w:eastAsia="Times New Roman" w:cs="Times New Roman"/>
          <w:b w:val="0"/>
          <w:color w:val="000000"/>
          <w:sz w:val="28"/>
        </w:rPr>
        <w:t>Для заказчика ценен учётный контур, привычный российской организации, и стык с остальными документами 1С. Именно поэтому конфигурация рассматривалась не как «ещё один каталог», а как кандидат на ядро подбора, которое уже стоит рядом с бухгалтерией. Готового механизма «загрузить произвольный Excel нескольких поставщиков и получить три объяснимых варианта КП по проектному перечню» официальное описание не формулирует. Специализированный подбор и маршрут коммерческого блока поверх таких прайсов требуют настройки или отдельной разработки, а учебный MVP не может принять проект внедрения 1С вместо курсовой реализации.</w:t>
      </w:r>
    </w:p>
    <w:p>
      <w:pPr>
        <w:pStyle w:val="Heading3"/>
      </w:pPr>
      <w:r>
        <w:rPr>
          <w:rFonts w:ascii="Times New Roman" w:hAnsi="Times New Roman" w:eastAsia="Times New Roman" w:cs="Times New Roman"/>
          <w:b/>
          <w:color w:val="000000"/>
          <w:sz w:val="28"/>
        </w:rPr>
        <w:t>2.1.2 SAP Ariba</w:t>
      </w:r>
    </w:p>
    <w:p>
      <w:r>
        <w:rPr>
          <w:rFonts w:ascii="Times New Roman" w:hAnsi="Times New Roman" w:eastAsia="Times New Roman" w:cs="Times New Roman"/>
          <w:b w:val="0"/>
          <w:color w:val="000000"/>
          <w:sz w:val="28"/>
        </w:rPr>
        <w:t>Публичные сведения о SAP Ariba собраны по страницам решений procure-to-pay [30] и справке продукта [31]. Продукт позиционируется как облачные решения для электронных закупок, sourcing и управления затратами. В публичном описании заявлены guided buying, каталоги, счета, сеть поставщиков, централизованный контроль заявок и согласований, загрузка каталожного контента в форматах, включая XLSX и cXML. Product Sourcing в Strategic Sourcing Suite позволяет собирать цены по материалам и BOM, сравнивать спецификации и отслеживать исторические цены.</w:t>
      </w:r>
    </w:p>
    <w:p>
      <w:r>
        <w:rPr>
          <w:rFonts w:ascii="Times New Roman" w:hAnsi="Times New Roman" w:eastAsia="Times New Roman" w:cs="Times New Roman"/>
          <w:b w:val="0"/>
          <w:color w:val="000000"/>
          <w:sz w:val="28"/>
        </w:rPr>
        <w:t>Сильная сторона состоит в корпоративном контуре source-to-pay и готовых маршрутах согласования, которые закрывают боли согласования и фиксации сумм лучше, чем таблица в почте. Это платформа класса предприятия с внедрением и лицензированием, ориентированная на процессы закупки организации, а не на учебный стенд разбора закрытых прайсов проектного подразделения и четырёх локальных стратегий КП. Прямая замена 1С заказчика продуктом не рассматривается, потому что учётный контур уже выбран, а Ariba не снимает обязанность стыка с ним. Для курсовой работы стоимость владения и контур внедрения сами по себе исключают продукт как основу MVP.</w:t>
      </w:r>
    </w:p>
    <w:p>
      <w:pPr>
        <w:pStyle w:val="Heading3"/>
      </w:pPr>
      <w:r>
        <w:rPr>
          <w:rFonts w:ascii="Times New Roman" w:hAnsi="Times New Roman" w:eastAsia="Times New Roman" w:cs="Times New Roman"/>
          <w:b/>
          <w:color w:val="000000"/>
          <w:sz w:val="28"/>
        </w:rPr>
        <w:t>2.1.3 B2B-Center</w:t>
      </w:r>
    </w:p>
    <w:p>
      <w:r>
        <w:rPr>
          <w:rFonts w:ascii="Times New Roman" w:hAnsi="Times New Roman" w:eastAsia="Times New Roman" w:cs="Times New Roman"/>
          <w:b w:val="0"/>
          <w:color w:val="000000"/>
          <w:sz w:val="28"/>
        </w:rPr>
        <w:t>С 2002 года B2B-Center работает как система электронных торговых площадок АО «Центр развития экономики» для корпоративных закупок и продаж. Официальное описание площадки опубликовано на её сайте [32]. По данным сайта проводятся десятки видов процедур: конкурсы, аукционы, запросы цен и предложений и другие. Есть поиск по классификатору, приглашение поставщиков, соответствие 223-ФЗ с выгрузкой на zakupki.gov.ru.</w:t>
      </w:r>
    </w:p>
    <w:p>
      <w:r>
        <w:rPr>
          <w:rFonts w:ascii="Times New Roman" w:hAnsi="Times New Roman" w:eastAsia="Times New Roman" w:cs="Times New Roman"/>
          <w:b w:val="0"/>
          <w:color w:val="000000"/>
          <w:sz w:val="28"/>
        </w:rPr>
        <w:t>Сильная сторона состоит в конкурентных процедурах и широкой базе участников рынка, то есть в том классе задач, где цена рождается на площадке, а не внутри закрытого прайса проекта. Площадка организует торги между организациями, но не заменяет внутренний разбор закрытых прайсов, внутренние скидки, расчёт маржи коммерческим блоком и складскую приёмку в контуре заказчика. Относительно задачи курсовой работы ограничение именно в этом: нужен внутренний контур, а не только рыночная процедура. Если бы целевой процесс сводился к запросу котировок на ЭТП, вывод был бы другим; у заказчика входные данные уже есть в виде Excel поставщиков.</w:t>
      </w:r>
    </w:p>
    <w:p>
      <w:pPr>
        <w:pStyle w:val="Heading3"/>
      </w:pPr>
      <w:r>
        <w:rPr>
          <w:rFonts w:ascii="Times New Roman" w:hAnsi="Times New Roman" w:eastAsia="Times New Roman" w:cs="Times New Roman"/>
          <w:b/>
          <w:color w:val="000000"/>
          <w:sz w:val="28"/>
        </w:rPr>
        <w:t>2.1.4 AGORA (платформа B2B и закупок)</w:t>
      </w:r>
    </w:p>
    <w:p>
      <w:r>
        <w:rPr>
          <w:rFonts w:ascii="Times New Roman" w:hAnsi="Times New Roman" w:eastAsia="Times New Roman" w:cs="Times New Roman"/>
          <w:b w:val="0"/>
          <w:color w:val="000000"/>
          <w:sz w:val="28"/>
        </w:rPr>
        <w:t>Вендор AGORA публикует сведения о компании [33] и перечень возможностей платформы [34]. AGORA описывается как вендор и интегратор решений для электронной коммерции и закупок. На базе платформы заявляются SRM, ЭТП, P2P, корпоративные магазины малых закупок, B2B-порталы, модули OMS, sourcing, highload-каталог. Заявляется интеграция с EDI и возможность доработки.</w:t>
      </w:r>
    </w:p>
    <w:p>
      <w:r>
        <w:rPr>
          <w:rFonts w:ascii="Times New Roman" w:hAnsi="Times New Roman" w:eastAsia="Times New Roman" w:cs="Times New Roman"/>
          <w:b w:val="0"/>
          <w:color w:val="000000"/>
          <w:sz w:val="28"/>
        </w:rPr>
        <w:t>Платформа даёт конструктор закупочного и B2B-контура с каталогом и заказами, и после проекта внедрения на ней, скорее всего, можно собрать маршрут, близкий к ТЗ. Это коммерческая платформа внедрения «под процессы заказчика», а не готовый алгоритм четырёх вариантов КП из неоднородных Excel-прайсов проектного перечня. Стоимость владения и срок внедрения для учебного проекта неприемлемы как путь «взять платформу»: курсовая работа должна показать проектирование и реализацию распределённой системы, а не настройку чужого low-code.</w:t>
      </w:r>
    </w:p>
    <w:p>
      <w:pPr>
        <w:pStyle w:val="Heading3"/>
      </w:pPr>
      <w:r>
        <w:rPr>
          <w:rFonts w:ascii="Times New Roman" w:hAnsi="Times New Roman" w:eastAsia="Times New Roman" w:cs="Times New Roman"/>
          <w:b/>
          <w:color w:val="000000"/>
          <w:sz w:val="28"/>
        </w:rPr>
        <w:t>2.1.5 Docsvision</w:t>
      </w:r>
    </w:p>
    <w:p>
      <w:r>
        <w:rPr>
          <w:rFonts w:ascii="Times New Roman" w:hAnsi="Times New Roman" w:eastAsia="Times New Roman" w:cs="Times New Roman"/>
          <w:b w:val="0"/>
          <w:color w:val="000000"/>
          <w:sz w:val="28"/>
        </w:rPr>
        <w:t>Docsvision закрывает класс электронного документооборота, а официальное описание СЭД приведено на сайте продукта [35]. Платформа включает регистрацию, маршруты согласования, электронную подпись, архив. Для договоров заявляются вариативные маршруты в зависимости от реквизитов и конструктор согласований.</w:t>
      </w:r>
    </w:p>
    <w:p>
      <w:r>
        <w:rPr>
          <w:rFonts w:ascii="Times New Roman" w:hAnsi="Times New Roman" w:eastAsia="Times New Roman" w:cs="Times New Roman"/>
          <w:b w:val="0"/>
          <w:color w:val="000000"/>
          <w:sz w:val="28"/>
        </w:rPr>
        <w:t>Маршрутизация документов и контроль исполнения близки к боли согласования КП и договора, которую в AS IS закрывают почта и устные статусы. СЭД не решает импорт прайсов, сопоставление номенклатуры и генерацию вариантов КП, то есть не разрывает начало цепочки раздела 1.4. Она может быть смежной системой для документов, но не ядром подбора оборудования. Рассматривать Docsvision как основу курсовой реализации значило бы автоматизировать хвост процесса и оставить РП с теми же Excel.</w:t>
      </w:r>
    </w:p>
    <w:p>
      <w:pPr>
        <w:pStyle w:val="Heading2"/>
      </w:pPr>
      <w:r>
        <w:rPr>
          <w:rFonts w:ascii="Times New Roman" w:hAnsi="Times New Roman" w:eastAsia="Times New Roman" w:cs="Times New Roman"/>
          <w:b/>
          <w:color w:val="000000"/>
          <w:sz w:val="28"/>
        </w:rPr>
        <w:t>2.2 Сравнительный анализ решений</w:t>
      </w:r>
    </w:p>
    <w:p>
      <w:r>
        <w:rPr>
          <w:rFonts w:ascii="Times New Roman" w:hAnsi="Times New Roman" w:eastAsia="Times New Roman" w:cs="Times New Roman"/>
          <w:b w:val="0"/>
          <w:color w:val="000000"/>
          <w:sz w:val="28"/>
        </w:rPr>
        <w:t>Критерии выведены из бизнес-требований раздела 1 и ограничений ТЗ. Каждый критерий отражает свойство, без которого целевой процесс РП → КБ → бухгалтерия → склад не закрывается либо закрывается ценой внедрения, неприемлемой для курсовой работы. Импорт неоднородных прайсов проверяет БТ-1 и риск «нестандартная структура Excel»; сопоставление проверяет БТ-2; несколько вариантов КП проверяют БТ-3 и прецеденты UC-02/UC-04. Маршрут цены, снимок в заказе и связь с 1С отвечают БТ-4…БТ-6; кастомизация и применимость для учебного MVP отсекают путь «взять платформу и внедрить». Обоснование каждого критерия, откуда он следует и как оценивается, приведено в таблице 7.</w:t>
      </w:r>
    </w:p>
    <w:p>
      <w:pPr>
        <w:pStyle w:val="GOSTCaption"/>
        <w:keepNext/>
        <w:jc w:val="left"/>
      </w:pPr>
      <w:r>
        <w:rPr>
          <w:rFonts w:ascii="Times New Roman" w:hAnsi="Times New Roman" w:eastAsia="Times New Roman" w:cs="Times New Roman"/>
          <w:b w:val="0"/>
          <w:color w:val="000000"/>
          <w:sz w:val="28"/>
        </w:rPr>
        <w:t>Таблица 7 – Обоснование критериев сравнения</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val="true"/>
          <w:tblHeader w:val="true"/>
        </w:trPr>
        <w:tc>
          <w:tcPr>
            <w:tcW w:type="dxa" w:w="2901"/>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Критерий</w:t>
            </w:r>
          </w:p>
        </w:tc>
        <w:tc>
          <w:tcPr>
            <w:tcW w:type="dxa" w:w="2407"/>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Откуда следует</w:t>
            </w:r>
          </w:p>
        </w:tc>
        <w:tc>
          <w:tcPr>
            <w:tcW w:type="dxa" w:w="4047"/>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Как оценивается</w:t>
            </w:r>
          </w:p>
        </w:tc>
      </w:tr>
      <w:tr>
        <w:trPr>
          <w:cantSplit w:val="true"/>
        </w:trPr>
        <w:tc>
          <w:tcPr>
            <w:tcW w:type="dxa" w:w="290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Импорт неоднородных прайсов Excel</w:t>
            </w:r>
          </w:p>
        </w:tc>
        <w:tc>
          <w:tcPr>
            <w:tcW w:type="dxa" w:w="24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БТ-1, риск «нестандартная структура Excel»</w:t>
            </w:r>
          </w:p>
        </w:tc>
        <w:tc>
          <w:tcPr>
            <w:tcW w:type="dxa" w:w="40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есть / через настройку / нет в публичном описании как целевой сценарий</w:t>
            </w:r>
          </w:p>
        </w:tc>
      </w:tr>
      <w:tr>
        <w:trPr>
          <w:cantSplit w:val="true"/>
        </w:trPr>
        <w:tc>
          <w:tcPr>
            <w:tcW w:type="dxa" w:w="290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Подбор аналогов и нечёткое сопоставление</w:t>
            </w:r>
          </w:p>
        </w:tc>
        <w:tc>
          <w:tcPr>
            <w:tcW w:type="dxa" w:w="24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БТ-2</w:t>
            </w:r>
          </w:p>
        </w:tc>
        <w:tc>
          <w:tcPr>
            <w:tcW w:type="dxa" w:w="40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есть / соответствие номенклатуры / нет</w:t>
            </w:r>
          </w:p>
        </w:tc>
      </w:tr>
      <w:tr>
        <w:trPr>
          <w:cantSplit w:val="true"/>
        </w:trPr>
        <w:tc>
          <w:tcPr>
            <w:tcW w:type="dxa" w:w="290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Генерация нескольких вариантов КП</w:t>
            </w:r>
          </w:p>
        </w:tc>
        <w:tc>
          <w:tcPr>
            <w:tcW w:type="dxa" w:w="24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БТ-3, UC-02/UC-04</w:t>
            </w:r>
          </w:p>
        </w:tc>
        <w:tc>
          <w:tcPr>
            <w:tcW w:type="dxa" w:w="40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несколько стратегий / один расчёт / нет</w:t>
            </w:r>
          </w:p>
        </w:tc>
      </w:tr>
      <w:tr>
        <w:trPr>
          <w:cantSplit w:val="true"/>
        </w:trPr>
        <w:tc>
          <w:tcPr>
            <w:tcW w:type="dxa" w:w="290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Маршрут согласования цены</w:t>
            </w:r>
          </w:p>
        </w:tc>
        <w:tc>
          <w:tcPr>
            <w:tcW w:type="dxa" w:w="24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БТ-4</w:t>
            </w:r>
          </w:p>
        </w:tc>
        <w:tc>
          <w:tcPr>
            <w:tcW w:type="dxa" w:w="40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встроенный ролевой маршрут / СЭД/BPM / нет</w:t>
            </w:r>
          </w:p>
        </w:tc>
      </w:tr>
      <w:tr>
        <w:trPr>
          <w:cantSplit w:val="true"/>
        </w:trPr>
        <w:tc>
          <w:tcPr>
            <w:tcW w:type="dxa" w:w="290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Снимок цены в заказе/счёте</w:t>
            </w:r>
          </w:p>
        </w:tc>
        <w:tc>
          <w:tcPr>
            <w:tcW w:type="dxa" w:w="24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БТ-5</w:t>
            </w:r>
          </w:p>
        </w:tc>
        <w:tc>
          <w:tcPr>
            <w:tcW w:type="dxa" w:w="40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документы с фиксацией сумм / учётные документы ERP / нет</w:t>
            </w:r>
          </w:p>
        </w:tc>
      </w:tr>
      <w:tr>
        <w:trPr>
          <w:cantSplit w:val="true"/>
        </w:trPr>
        <w:tc>
          <w:tcPr>
            <w:tcW w:type="dxa" w:w="290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Интеграция с 1С / учётным контуром</w:t>
            </w:r>
          </w:p>
        </w:tc>
        <w:tc>
          <w:tcPr>
            <w:tcW w:type="dxa" w:w="24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БТ-6</w:t>
            </w:r>
          </w:p>
        </w:tc>
        <w:tc>
          <w:tcPr>
            <w:tcW w:type="dxa" w:w="40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родная / через шину / шлюз</w:t>
            </w:r>
          </w:p>
        </w:tc>
      </w:tr>
      <w:tr>
        <w:trPr>
          <w:cantSplit w:val="true"/>
        </w:trPr>
        <w:tc>
          <w:tcPr>
            <w:tcW w:type="dxa" w:w="290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Кастомизация под закрытые прайсы проекта</w:t>
            </w:r>
          </w:p>
        </w:tc>
        <w:tc>
          <w:tcPr>
            <w:tcW w:type="dxa" w:w="24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границы решения</w:t>
            </w:r>
          </w:p>
        </w:tc>
        <w:tc>
          <w:tcPr>
            <w:tcW w:type="dxa" w:w="40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исходный код стенда / внедрение платформы / не предусмотрено</w:t>
            </w:r>
          </w:p>
        </w:tc>
      </w:tr>
      <w:tr>
        <w:trPr>
          <w:cantSplit w:val="true"/>
        </w:trPr>
        <w:tc>
          <w:tcPr>
            <w:tcW w:type="dxa" w:w="290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Применимость для учебного MVP</w:t>
            </w:r>
          </w:p>
        </w:tc>
        <w:tc>
          <w:tcPr>
            <w:tcW w:type="dxa" w:w="24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ограничение курсовой</w:t>
            </w:r>
          </w:p>
        </w:tc>
        <w:tc>
          <w:tcPr>
            <w:tcW w:type="dxa" w:w="40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можно реализовать одним исполнителем / требуется лицензия и проект внедрения</w:t>
            </w:r>
          </w:p>
        </w:tc>
      </w:tr>
    </w:tbl>
    <w:p>
      <w:pPr>
        <w:spacing w:after="0"/>
      </w:pPr>
    </w:p>
    <w:p>
      <w:r>
        <w:rPr>
          <w:rFonts w:ascii="Times New Roman" w:hAnsi="Times New Roman" w:eastAsia="Times New Roman" w:cs="Times New Roman"/>
          <w:b w:val="0"/>
          <w:color w:val="000000"/>
          <w:sz w:val="28"/>
        </w:rPr>
        <w:t>Качественные оценки по официальным описаниям, без испытаний продуктов «бок о бок», сведены в таблицу 8. Знак «настройка» означает, что функция в принципе достижима средствами платформы, но не является из коробки описанным сценарием «три КП из произвольного прайса». По таблице видно, что сильные стороны аналогов распределены по разным классам задач: учёт у 1С:УТ, source-to-pay у Ariba и AGORA, рыночные процедуры у B2B-Center, маршруты документов у Docsvision. Ни одна колонка не набирает полный набор критериев без проекта внедрения, тогда как разрабатываемая система закрывает его в границах учебного стенда. Вывод, который из этой картины следует, сформулирован в подразделе 2.3.</w:t>
      </w:r>
    </w:p>
    <w:p>
      <w:pPr>
        <w:pStyle w:val="GOSTCaption"/>
        <w:keepNext/>
        <w:jc w:val="left"/>
      </w:pPr>
      <w:r>
        <w:rPr>
          <w:rFonts w:ascii="Times New Roman" w:hAnsi="Times New Roman" w:eastAsia="Times New Roman" w:cs="Times New Roman"/>
          <w:b w:val="0"/>
          <w:color w:val="000000"/>
          <w:sz w:val="28"/>
        </w:rPr>
        <w:t>Таблица 8 – Сравнение аналогов</w:t>
      </w:r>
    </w:p>
    <w:tbl>
      <w:tblPr>
        <w:tblStyle w:val="TableGrid"/>
        <w:tblW w:type="auto" w:w="0"/>
        <w:jc w:val="center"/>
        <w:tblLayout w:type="fixed"/>
        <w:tblLook w:firstColumn="1" w:firstRow="1" w:lastColumn="0" w:lastRow="0" w:noHBand="0" w:noVBand="1" w:val="04A0"/>
      </w:tblPr>
      <w:tblGrid>
        <w:gridCol w:w="1336"/>
        <w:gridCol w:w="1336"/>
        <w:gridCol w:w="1336"/>
        <w:gridCol w:w="1336"/>
        <w:gridCol w:w="1336"/>
        <w:gridCol w:w="1336"/>
        <w:gridCol w:w="1336"/>
      </w:tblGrid>
      <w:tr>
        <w:trPr>
          <w:cantSplit w:val="true"/>
          <w:tblHeader w:val="true"/>
        </w:trPr>
        <w:tc>
          <w:tcPr>
            <w:tcW w:type="dxa" w:w="1292"/>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0"/>
              </w:rPr>
              <w:t>Критерий</w:t>
            </w:r>
          </w:p>
        </w:tc>
        <w:tc>
          <w:tcPr>
            <w:tcW w:type="dxa" w:w="1415"/>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0"/>
              </w:rPr>
              <w:t>1С:УТ</w:t>
            </w:r>
          </w:p>
        </w:tc>
        <w:tc>
          <w:tcPr>
            <w:tcW w:type="dxa" w:w="1278"/>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0"/>
              </w:rPr>
              <w:t>SAP Ariba</w:t>
            </w:r>
          </w:p>
        </w:tc>
        <w:tc>
          <w:tcPr>
            <w:tcW w:type="dxa" w:w="1307"/>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0"/>
              </w:rPr>
              <w:t>B2B-Center</w:t>
            </w:r>
          </w:p>
        </w:tc>
        <w:tc>
          <w:tcPr>
            <w:tcW w:type="dxa" w:w="1278"/>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0"/>
              </w:rPr>
              <w:t>AGORA</w:t>
            </w:r>
          </w:p>
        </w:tc>
        <w:tc>
          <w:tcPr>
            <w:tcW w:type="dxa" w:w="1307"/>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0"/>
              </w:rPr>
              <w:t>Docsvision</w:t>
            </w:r>
          </w:p>
        </w:tc>
        <w:tc>
          <w:tcPr>
            <w:tcW w:type="dxa" w:w="1476"/>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0"/>
              </w:rPr>
              <w:t>Разрабатываемая система</w:t>
            </w:r>
          </w:p>
        </w:tc>
      </w:tr>
      <w:tr>
        <w:trPr>
          <w:cantSplit w:val="true"/>
        </w:trPr>
        <w:tc>
          <w:tcPr>
            <w:tcW w:type="dxa" w:w="129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Импорт неоднородных Excel-прайсов</w:t>
            </w:r>
          </w:p>
        </w:tc>
        <w:tc>
          <w:tcPr>
            <w:tcW w:type="dxa" w:w="14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загрузка цен, в т.ч. обработкой; структура ожидается согласованной</w:t>
            </w:r>
          </w:p>
        </w:tc>
        <w:tc>
          <w:tcPr>
            <w:tcW w:type="dxa" w:w="12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загрузка каталогов (в т.ч. XLSX)</w:t>
            </w:r>
          </w:p>
        </w:tc>
        <w:tc>
          <w:tcPr>
            <w:tcW w:type="dxa" w:w="13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не ядро продукта</w:t>
            </w:r>
          </w:p>
        </w:tc>
        <w:tc>
          <w:tcPr>
            <w:tcW w:type="dxa" w:w="12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зависит от внедрения</w:t>
            </w:r>
          </w:p>
        </w:tc>
        <w:tc>
          <w:tcPr>
            <w:tcW w:type="dxa" w:w="13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нет</w:t>
            </w:r>
          </w:p>
        </w:tc>
        <w:tc>
          <w:tcPr>
            <w:tcW w:type="dxa" w:w="147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 xml:space="preserve">гибкий маппинг, </w:t>
            </w:r>
            <w:r>
              <w:rPr>
                <w:rFonts w:ascii="Courier New" w:hAnsi="Courier New" w:eastAsia="Courier New" w:cs="Courier New"/>
                <w:b w:val="0"/>
                <w:color w:val="000000"/>
                <w:sz w:val="20"/>
              </w:rPr>
              <w:t>.xlsx</w:t>
            </w:r>
            <w:r>
              <w:rPr>
                <w:rFonts w:ascii="Times New Roman" w:hAnsi="Times New Roman" w:eastAsia="Times New Roman" w:cs="Times New Roman"/>
                <w:b w:val="0"/>
                <w:color w:val="000000"/>
                <w:sz w:val="20"/>
              </w:rPr>
              <w:t>/</w:t>
            </w:r>
            <w:r>
              <w:rPr>
                <w:rFonts w:ascii="Courier New" w:hAnsi="Courier New" w:eastAsia="Courier New" w:cs="Courier New"/>
                <w:b w:val="0"/>
                <w:color w:val="000000"/>
                <w:sz w:val="20"/>
              </w:rPr>
              <w:t>.xls</w:t>
            </w:r>
            <w:r>
              <w:rPr>
                <w:rFonts w:ascii="Times New Roman" w:hAnsi="Times New Roman" w:eastAsia="Times New Roman" w:cs="Times New Roman"/>
                <w:b w:val="0"/>
                <w:color w:val="000000"/>
                <w:sz w:val="20"/>
              </w:rPr>
              <w:t>, диагностика</w:t>
            </w:r>
          </w:p>
        </w:tc>
      </w:tr>
      <w:tr>
        <w:trPr>
          <w:cantSplit w:val="true"/>
        </w:trPr>
        <w:tc>
          <w:tcPr>
            <w:tcW w:type="dxa" w:w="129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Сопоставление / аналоги</w:t>
            </w:r>
          </w:p>
        </w:tc>
        <w:tc>
          <w:tcPr>
            <w:tcW w:type="dxa" w:w="14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соответствие номенклатуры поставщика</w:t>
            </w:r>
          </w:p>
        </w:tc>
        <w:tc>
          <w:tcPr>
            <w:tcW w:type="dxa" w:w="12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каталожный поиск, BOM/материалы</w:t>
            </w:r>
          </w:p>
        </w:tc>
        <w:tc>
          <w:tcPr>
            <w:tcW w:type="dxa" w:w="13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поиск по классификатору процедур</w:t>
            </w:r>
          </w:p>
        </w:tc>
        <w:tc>
          <w:tcPr>
            <w:tcW w:type="dxa" w:w="12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каталог платформы</w:t>
            </w:r>
          </w:p>
        </w:tc>
        <w:tc>
          <w:tcPr>
            <w:tcW w:type="dxa" w:w="13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не применимо</w:t>
            </w:r>
          </w:p>
        </w:tc>
        <w:tc>
          <w:tcPr>
            <w:tcW w:type="dxa" w:w="147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точный SKU, fuzzy, TF-IDF/ML, аналоги категории</w:t>
            </w:r>
          </w:p>
        </w:tc>
      </w:tr>
      <w:tr>
        <w:trPr>
          <w:cantSplit w:val="true"/>
        </w:trPr>
        <w:tc>
          <w:tcPr>
            <w:tcW w:type="dxa" w:w="129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Несколько вариантов КП</w:t>
            </w:r>
          </w:p>
        </w:tc>
        <w:tc>
          <w:tcPr>
            <w:tcW w:type="dxa" w:w="14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не заявлено как три стратегии</w:t>
            </w:r>
          </w:p>
        </w:tc>
        <w:tc>
          <w:tcPr>
            <w:tcW w:type="dxa" w:w="12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сбор котировок / RFx</w:t>
            </w:r>
          </w:p>
        </w:tc>
        <w:tc>
          <w:tcPr>
            <w:tcW w:type="dxa" w:w="13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конкурентные процедуры</w:t>
            </w:r>
          </w:p>
        </w:tc>
        <w:tc>
          <w:tcPr>
            <w:tcW w:type="dxa" w:w="12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RFQ/RFP в e-procurement</w:t>
            </w:r>
          </w:p>
        </w:tc>
        <w:tc>
          <w:tcPr>
            <w:tcW w:type="dxa" w:w="13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нет</w:t>
            </w:r>
          </w:p>
        </w:tc>
        <w:tc>
          <w:tcPr>
            <w:tcW w:type="dxa" w:w="147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цена, срок, баланс, актуальность</w:t>
            </w:r>
          </w:p>
        </w:tc>
      </w:tr>
      <w:tr>
        <w:trPr>
          <w:cantSplit w:val="true"/>
        </w:trPr>
        <w:tc>
          <w:tcPr>
            <w:tcW w:type="dxa" w:w="129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Согласование цены клиенту</w:t>
            </w:r>
          </w:p>
        </w:tc>
        <w:tc>
          <w:tcPr>
            <w:tcW w:type="dxa" w:w="14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учётные документы, не маршрут КБ ТЗ</w:t>
            </w:r>
          </w:p>
        </w:tc>
        <w:tc>
          <w:tcPr>
            <w:tcW w:type="dxa" w:w="12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маршруты P2P</w:t>
            </w:r>
          </w:p>
        </w:tc>
        <w:tc>
          <w:tcPr>
            <w:tcW w:type="dxa" w:w="13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процедура площадки</w:t>
            </w:r>
          </w:p>
        </w:tc>
        <w:tc>
          <w:tcPr>
            <w:tcW w:type="dxa" w:w="12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настраиваемые процессы</w:t>
            </w:r>
          </w:p>
        </w:tc>
        <w:tc>
          <w:tcPr>
            <w:tcW w:type="dxa" w:w="13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сильная сторона СЭД</w:t>
            </w:r>
          </w:p>
        </w:tc>
        <w:tc>
          <w:tcPr>
            <w:tcW w:type="dxa" w:w="147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Approval: РП → КБ, комментарий, resubmit</w:t>
            </w:r>
          </w:p>
        </w:tc>
      </w:tr>
      <w:tr>
        <w:trPr>
          <w:cantSplit w:val="true"/>
        </w:trPr>
        <w:tc>
          <w:tcPr>
            <w:tcW w:type="dxa" w:w="129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Счёт / заказ / приёмка</w:t>
            </w:r>
          </w:p>
        </w:tc>
        <w:tc>
          <w:tcPr>
            <w:tcW w:type="dxa" w:w="14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заказы, поступления, расчёты</w:t>
            </w:r>
          </w:p>
        </w:tc>
        <w:tc>
          <w:tcPr>
            <w:tcW w:type="dxa" w:w="12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P2P, invoices</w:t>
            </w:r>
          </w:p>
        </w:tc>
        <w:tc>
          <w:tcPr>
            <w:tcW w:type="dxa" w:w="13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вне внутреннего склада заказчика</w:t>
            </w:r>
          </w:p>
        </w:tc>
        <w:tc>
          <w:tcPr>
            <w:tcW w:type="dxa" w:w="12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OMS, P2P</w:t>
            </w:r>
          </w:p>
        </w:tc>
        <w:tc>
          <w:tcPr>
            <w:tcW w:type="dxa" w:w="13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договоры, не складской ордер</w:t>
            </w:r>
          </w:p>
        </w:tc>
        <w:tc>
          <w:tcPr>
            <w:tcW w:type="dxa" w:w="147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Invoice, Order-снимок, GoodsReceipt</w:t>
            </w:r>
          </w:p>
        </w:tc>
      </w:tr>
      <w:tr>
        <w:trPr>
          <w:cantSplit w:val="true"/>
        </w:trPr>
        <w:tc>
          <w:tcPr>
            <w:tcW w:type="dxa" w:w="129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Связь с 1С</w:t>
            </w:r>
          </w:p>
        </w:tc>
        <w:tc>
          <w:tcPr>
            <w:tcW w:type="dxa" w:w="14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родная среда 1С</w:t>
            </w:r>
          </w:p>
        </w:tc>
        <w:tc>
          <w:tcPr>
            <w:tcW w:type="dxa" w:w="12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API / SAP ERP</w:t>
            </w:r>
          </w:p>
        </w:tc>
        <w:tc>
          <w:tcPr>
            <w:tcW w:type="dxa" w:w="13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не 1С</w:t>
            </w:r>
          </w:p>
        </w:tc>
        <w:tc>
          <w:tcPr>
            <w:tcW w:type="dxa" w:w="12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заявляется интеграция</w:t>
            </w:r>
          </w:p>
        </w:tc>
        <w:tc>
          <w:tcPr>
            <w:tcW w:type="dxa" w:w="13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интеграционные коннекторы</w:t>
            </w:r>
          </w:p>
        </w:tc>
        <w:tc>
          <w:tcPr>
            <w:tcW w:type="dxa" w:w="147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шлюз; на стенде мок</w:t>
            </w:r>
          </w:p>
        </w:tc>
      </w:tr>
      <w:tr>
        <w:trPr>
          <w:cantSplit w:val="true"/>
        </w:trPr>
        <w:tc>
          <w:tcPr>
            <w:tcW w:type="dxa" w:w="129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Кастомизация алгоритма КП</w:t>
            </w:r>
          </w:p>
        </w:tc>
        <w:tc>
          <w:tcPr>
            <w:tcW w:type="dxa" w:w="14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доработка конфигурации</w:t>
            </w:r>
          </w:p>
        </w:tc>
        <w:tc>
          <w:tcPr>
            <w:tcW w:type="dxa" w:w="12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проект внедрения</w:t>
            </w:r>
          </w:p>
        </w:tc>
        <w:tc>
          <w:tcPr>
            <w:tcW w:type="dxa" w:w="13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не тот класс задачи</w:t>
            </w:r>
          </w:p>
        </w:tc>
        <w:tc>
          <w:tcPr>
            <w:tcW w:type="dxa" w:w="12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low-code + проект</w:t>
            </w:r>
          </w:p>
        </w:tc>
        <w:tc>
          <w:tcPr>
            <w:tcW w:type="dxa" w:w="13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не тот класс</w:t>
            </w:r>
          </w:p>
        </w:tc>
        <w:tc>
          <w:tcPr>
            <w:tcW w:type="dxa" w:w="147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полный контроль кода стенда</w:t>
            </w:r>
          </w:p>
        </w:tc>
      </w:tr>
      <w:tr>
        <w:trPr>
          <w:cantSplit w:val="true"/>
        </w:trPr>
        <w:tc>
          <w:tcPr>
            <w:tcW w:type="dxa" w:w="129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Стоимость владения для MVP</w:t>
            </w:r>
          </w:p>
        </w:tc>
        <w:tc>
          <w:tcPr>
            <w:tcW w:type="dxa" w:w="14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лицензия 1С + работы</w:t>
            </w:r>
          </w:p>
        </w:tc>
        <w:tc>
          <w:tcPr>
            <w:tcW w:type="dxa" w:w="12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корпоративная подписка</w:t>
            </w:r>
          </w:p>
        </w:tc>
        <w:tc>
          <w:tcPr>
            <w:tcW w:type="dxa" w:w="13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тариф площадки</w:t>
            </w:r>
          </w:p>
        </w:tc>
        <w:tc>
          <w:tcPr>
            <w:tcW w:type="dxa" w:w="12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проект платформы</w:t>
            </w:r>
          </w:p>
        </w:tc>
        <w:tc>
          <w:tcPr>
            <w:tcW w:type="dxa" w:w="13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лицензия СЭД</w:t>
            </w:r>
          </w:p>
        </w:tc>
        <w:tc>
          <w:tcPr>
            <w:tcW w:type="dxa" w:w="147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0"/>
              </w:rPr>
              <w:t>учебный Compose-стенд</w:t>
            </w:r>
          </w:p>
        </w:tc>
      </w:tr>
    </w:tbl>
    <w:p>
      <w:pPr>
        <w:spacing w:after="0"/>
      </w:pPr>
    </w:p>
    <w:p>
      <w:pPr>
        <w:pStyle w:val="Heading2"/>
      </w:pPr>
      <w:r>
        <w:rPr>
          <w:rFonts w:ascii="Times New Roman" w:hAnsi="Times New Roman" w:eastAsia="Times New Roman" w:cs="Times New Roman"/>
          <w:b/>
          <w:color w:val="000000"/>
          <w:sz w:val="28"/>
        </w:rPr>
        <w:t>2.3 Выводы по анализу</w:t>
      </w:r>
    </w:p>
    <w:p>
      <w:r>
        <w:rPr>
          <w:rFonts w:ascii="Times New Roman" w:hAnsi="Times New Roman" w:eastAsia="Times New Roman" w:cs="Times New Roman"/>
          <w:b w:val="0"/>
          <w:color w:val="000000"/>
          <w:sz w:val="28"/>
        </w:rPr>
        <w:t>Ни один из рассмотренных продуктов не закрывает сразу весь целевой набор. Речь о разборе произвольных прайсов нескольких поставщиков, сопоставлении проектного перечня с вероятностью, четырёх объяснимых вариантах КП, внутреннем маршруте коммерческого блока и снимке цены в заказе. Без проекта внедрения этот набор у рассмотренных продуктов не собирается, а проект внедрения выносит работу за границы курсовой и оставляет нерешённым как раз алгоритм, ради которого писалось ТЗ.</w:t>
      </w:r>
    </w:p>
    <w:p>
      <w:r>
        <w:rPr>
          <w:rFonts w:ascii="Times New Roman" w:hAnsi="Times New Roman" w:eastAsia="Times New Roman" w:cs="Times New Roman"/>
          <w:b w:val="0"/>
          <w:color w:val="000000"/>
          <w:sz w:val="28"/>
        </w:rPr>
        <w:t>«1С:Управление торговлей» остаётся целевой смежной системой учёта, а не заменяемым ядром подбора, потому что её сила в документах торговли, а не в гибком разборе чужих Excel и четырёх локальных стратегий КП. SAP Ariba и AGORA решают класс e-procurement, но несоразмерны учебному MVP. B2B-Center закрывает конкурентные процедуры на рынке, а не закрытый прайс проекта. Docsvision усиливает согласование документов, но не считает КП. Собирать «лучший кусок» из пяти лицензий было бы дороже собственной реализации и не дало бы контроля над правилом выбора оффера.</w:t>
      </w:r>
    </w:p>
    <w:p>
      <w:r>
        <w:rPr>
          <w:rFonts w:ascii="Times New Roman" w:hAnsi="Times New Roman" w:eastAsia="Times New Roman" w:cs="Times New Roman"/>
          <w:b w:val="0"/>
          <w:color w:val="000000"/>
          <w:sz w:val="28"/>
        </w:rPr>
        <w:t>Принятое решение: разрабатывать собственную систему «с нуля» в границах ТЗ. У аналогов перенимаются отдельные достоинства: учёт соответствия номенклатуры у 1С:УТ, маршруты согласования у СЭД/P2P, идея нескольких котировок у sourcing-контуров. Контуры 1С и WMS изолируются за шлюзами, чтобы не подменять учёт заказчика и не делать промышленное внедрение условием приёмки. Выбор готовой лицензии в качестве основы курсовой работы отклонён не декларативно, а потому что критерии таблицы 8 не сходятся в одном продукте без внедрения, неприемлемого для исполнителя и для цели дисциплины.</w:t>
      </w:r>
    </w:p>
    <w:p>
      <w:pPr>
        <w:pStyle w:val="Heading1"/>
        <w:jc w:val="left"/>
      </w:pPr>
      <w:r>
        <w:rPr>
          <w:rFonts w:ascii="Times New Roman" w:hAnsi="Times New Roman" w:eastAsia="Times New Roman" w:cs="Times New Roman"/>
          <w:b/>
          <w:color w:val="000000"/>
          <w:sz w:val="28"/>
        </w:rPr>
        <w:t>3 КОНЦЕПЦИЯ РЕШЕНИЯ</w:t>
      </w:r>
    </w:p>
    <w:p>
      <w:r>
        <w:rPr>
          <w:rFonts w:ascii="Times New Roman" w:hAnsi="Times New Roman" w:eastAsia="Times New Roman" w:cs="Times New Roman"/>
          <w:b w:val="0"/>
          <w:color w:val="000000"/>
          <w:sz w:val="28"/>
        </w:rPr>
        <w:t>Потребности раздела 1 закрываются концепцией первой версии, достаточной для проектирования и приёмки. Граница не претендует на промышленный контур заказчика: внешние 1С и WMS остаются за шлюзом, а числовые KPI ТЗ не превращаются в непроверяемые обещания. Использованы три согласованных представления: техническое задание по структуре ГОСТ 34.602 [3, 4], модель прецедентов на UML [7, 8] и связка Customer Journey Map с User Story Map [9, 36, 37]. Первое фиксирует обязательства системы, второе показывает инициаторов сценариев, третье раскладывает путь пользователя и приоритет историй. Факторы, которые могут сорвать эти обязательства, сведены в таблицу 19; меры по ним уже заложены в требования, а не отложены «на потом».</w:t>
      </w:r>
    </w:p>
    <w:p>
      <w:pPr>
        <w:pStyle w:val="Heading2"/>
      </w:pPr>
      <w:r>
        <w:rPr>
          <w:rFonts w:ascii="Times New Roman" w:hAnsi="Times New Roman" w:eastAsia="Times New Roman" w:cs="Times New Roman"/>
          <w:b/>
          <w:color w:val="000000"/>
          <w:sz w:val="28"/>
        </w:rPr>
        <w:t>3.1 Техническое задание</w:t>
      </w:r>
    </w:p>
    <w:p>
      <w:r>
        <w:rPr>
          <w:rFonts w:ascii="Times New Roman" w:hAnsi="Times New Roman" w:eastAsia="Times New Roman" w:cs="Times New Roman"/>
          <w:b w:val="0"/>
          <w:color w:val="000000"/>
          <w:sz w:val="28"/>
        </w:rPr>
        <w:t>Основание для ТЗ: черновик заказчика версии 1.0 от 24.04.2026 и фактические границы курсовой реализации. Шаблон кафедры ссылается на ГОСТ 34.602-89 [3], тогда как действующая редакция, на которую опираются формулировки, это ГОСТ 34.602-2020 [4]. Структура подразделов сохранена по методичке, чтобы записка читалась в том же порядке, который требует кафедра, даже если формулировки опираются на более новый стандарт. Приоритизация требований следует практике, изложенной у Вигерса [5]: высокий приоритет соответствует MVP, средний желателен в первой версии, низкий отнесён к развитию.</w:t>
      </w:r>
    </w:p>
    <w:p>
      <w:pPr>
        <w:pStyle w:val="Heading3"/>
      </w:pPr>
      <w:r>
        <w:rPr>
          <w:rFonts w:ascii="Times New Roman" w:hAnsi="Times New Roman" w:eastAsia="Times New Roman" w:cs="Times New Roman"/>
          <w:b/>
          <w:color w:val="000000"/>
          <w:sz w:val="28"/>
        </w:rPr>
        <w:t>3.1.1 Общие сведения</w:t>
      </w:r>
    </w:p>
    <w:p>
      <w:r>
        <w:rPr>
          <w:rFonts w:ascii="Times New Roman" w:hAnsi="Times New Roman" w:eastAsia="Times New Roman" w:cs="Times New Roman"/>
          <w:b w:val="0"/>
          <w:color w:val="000000"/>
          <w:sz w:val="28"/>
        </w:rPr>
        <w:t>Полное наименование: распределённая информационная система автоматизации закупочных процессов и интеллектуального подбора оборудования; условное обозначение: Система (Procurement System). Заказчик, он же пользователь, это подразделение, выполняющее проекты с поставкой оборудования. Наименование организации в материалах ТЗ не зафиксировано, поэтому в записке фигурируют роли, а не вымышленное юридическое лицо. Разработчик: студент заочной формы обучения, курсовая работа по дисциплине «Проектирование и разработка распределенных программных систем», ФГБОУ ВО «ЧелГУ».</w:t>
      </w:r>
    </w:p>
    <w:p>
      <w:r>
        <w:rPr>
          <w:rFonts w:ascii="Times New Roman" w:hAnsi="Times New Roman" w:eastAsia="Times New Roman" w:cs="Times New Roman"/>
          <w:b w:val="0"/>
          <w:color w:val="000000"/>
          <w:sz w:val="28"/>
        </w:rPr>
        <w:t>Плановые сроки отсчитываются от даты ТЗ (24.04.2026): обследование и концепция приходятся на апрель–май 2026 г., проектирование и реализация на июнь–сентябрь 2026 г. Контрольный прогон тестов назначен на 12.09.2026, и именно его результаты использует раздел 6. Финансирование учебное, отдельной сметы заказчика в материалах нет. Стенд разворачивается на локальной инфраструктуре исполнителя, потому что промышленный контур заказчика в работу не передавался.</w:t>
      </w:r>
    </w:p>
    <w:p>
      <w:pPr>
        <w:pStyle w:val="Heading3"/>
      </w:pPr>
      <w:r>
        <w:rPr>
          <w:rFonts w:ascii="Times New Roman" w:hAnsi="Times New Roman" w:eastAsia="Times New Roman" w:cs="Times New Roman"/>
          <w:b/>
          <w:color w:val="000000"/>
          <w:sz w:val="28"/>
        </w:rPr>
        <w:t>3.1.2 Назначение и цели создания системы</w:t>
      </w:r>
    </w:p>
    <w:p>
      <w:r>
        <w:rPr>
          <w:rFonts w:ascii="Times New Roman" w:hAnsi="Times New Roman" w:eastAsia="Times New Roman" w:cs="Times New Roman"/>
          <w:b w:val="0"/>
          <w:color w:val="000000"/>
          <w:sz w:val="28"/>
        </w:rPr>
        <w:t>Система предназначена для автоматизации подбора оборудования, анализа предложений поставщиков, формирования коммерческих предложений и ведения закупки от запроса до приёмки на складе. Объект автоматизации это закупочный процесс проектного подразделения, а автоматизируемые роли: руководитель проекта, коммерческий блок, бухгалтерия, склад, администратор. Назначение следует из цепочки раздела 1.4: пока эти роли работают в разных файлах и письмах, согласованная цена не становится документом.</w:t>
      </w:r>
    </w:p>
    <w:p>
      <w:r>
        <w:rPr>
          <w:rFonts w:ascii="Times New Roman" w:hAnsi="Times New Roman" w:eastAsia="Times New Roman" w:cs="Times New Roman"/>
          <w:b w:val="0"/>
          <w:color w:val="000000"/>
          <w:sz w:val="28"/>
        </w:rPr>
        <w:t>Создание системы направлено на сокращение трудозатрат руководителя проекта на разбор прайсов и подготовку КП. Выбор поставщика должен стать сравнимым за счёт формальных стратегий, а не единственного прайса без анализа. Согласованная стоимость фиксируется в счёте и заказе, чтобы смена прайса не переписывала утверждённый итог. Действия ролей разграничиваются, изменения сохраняются в журнале. Эти цели закрывают БТ-1…БТ-7; уведомления и аналитика остаются желательными, потому что без них процесс жив, но хуже наблюдается.</w:t>
      </w:r>
    </w:p>
    <w:p>
      <w:r>
        <w:rPr>
          <w:rFonts w:ascii="Times New Roman" w:hAnsi="Times New Roman" w:eastAsia="Times New Roman" w:cs="Times New Roman"/>
          <w:b w:val="0"/>
          <w:color w:val="000000"/>
          <w:sz w:val="28"/>
        </w:rPr>
        <w:t>Критерии достижения в рамках MVP проверяемые и не подменяют несогласованные числовые KPI ТЗ. Обязательные функции §14 ТЗ реализованы и доступны через интерфейс. Три варианта КП для одной спецификации различаются правилом выбора оффера, а недопустимый переход статуса счёта отвергается. Контрольный импорт реального прайса завершается сводкой, а не аварийным отказом. Проверка этих критериев описана в разделе 6 и не сводится к демонстрации экрана.</w:t>
      </w:r>
    </w:p>
    <w:p>
      <w:pPr>
        <w:pStyle w:val="Heading3"/>
      </w:pPr>
      <w:r>
        <w:rPr>
          <w:rFonts w:ascii="Times New Roman" w:hAnsi="Times New Roman" w:eastAsia="Times New Roman" w:cs="Times New Roman"/>
          <w:b/>
          <w:color w:val="000000"/>
          <w:sz w:val="28"/>
        </w:rPr>
        <w:t>3.1.3 Требования к системе</w:t>
      </w:r>
    </w:p>
    <w:p>
      <w:r>
        <w:rPr>
          <w:rFonts w:ascii="Times New Roman" w:hAnsi="Times New Roman" w:eastAsia="Times New Roman" w:cs="Times New Roman"/>
          <w:b w:val="0"/>
          <w:color w:val="000000"/>
          <w:sz w:val="28"/>
        </w:rPr>
        <w:t>Приоритет указан у каждого требования: высокий соответствует MVP, средний означает желательность в первой версии, низкий отнесён к развитию. Такое разделение нужно, чтобы приёмка не требовала конструктора отчётов и промышленного HA как условия «система есть». Функциональная детализация по подсистемам, с приоритетом и критерием проверки, сведена в таблицу 9. Критерий в таблице задаёт наблюдаемое поведение, а не пожелание к интерфейсу. Файл либо принимается, либо даёт построчную диагностику. Одинаковые входы КП дают воспроизводимый итог, а недопустимый переход отклоняется.</w:t>
      </w:r>
    </w:p>
    <w:p>
      <w:r>
        <w:rPr>
          <w:rFonts w:ascii="Times New Roman" w:hAnsi="Times New Roman" w:eastAsia="Times New Roman" w:cs="Times New Roman"/>
          <w:b/>
          <w:color w:val="000000"/>
          <w:sz w:val="28"/>
        </w:rPr>
        <w:t>Требования к структуре и функционированию.</w:t>
      </w:r>
      <w:r>
        <w:rPr>
          <w:rFonts w:ascii="Times New Roman" w:hAnsi="Times New Roman" w:eastAsia="Times New Roman" w:cs="Times New Roman"/>
          <w:b w:val="0"/>
          <w:color w:val="000000"/>
          <w:sz w:val="28"/>
        </w:rPr>
        <w:t xml:space="preserve"> Система должна включать подсистемы каталога и импорта, сопоставления и генерации КП, коммерческого согласования, счетов, заказов, приёмки, идентификации, уведомлений и аудита (приоритет: высокий). Состав закрывает сквозной процесс TO BE; если выбросить согласование или снимок заказа, цепочка раздела 1.4 снова порвётся на почте и ручном вводе. Система должна обмениваться данными между компонентами синхронным REST за единым шлюзом и асинхронными событиями для поискового индекса и отдельных фактов приёмки (приоритет: высокий). Синхронный путь нужен интерактивному кабинету, асинхронный не даёт поиску блокировать импорт. Режим работы должен быть многопользовательским, интерактивным, в рабочее время (приоритет: высокий). Система должна диагностироваться health-проверками процессов, журналом и распределёнными трассами (приоритет: высокий), иначе отказ вынесенного сервиса за шлюзом неотличим от «страница не открылась». Система должна допускать поэтапное выделение модулей в отдельные процессы без остановки пользовательского контура (приоритет: низкий). Это требование развития, уже частично выполненное шаблоном раздела 4, и оно не служит условием приёмки MVP.</w:t>
      </w:r>
    </w:p>
    <w:p>
      <w:pPr>
        <w:pStyle w:val="GOSTCaption"/>
        <w:keepNext/>
        <w:jc w:val="left"/>
      </w:pPr>
      <w:r>
        <w:rPr>
          <w:rFonts w:ascii="Times New Roman" w:hAnsi="Times New Roman" w:eastAsia="Times New Roman" w:cs="Times New Roman"/>
          <w:b w:val="0"/>
          <w:color w:val="000000"/>
          <w:sz w:val="28"/>
        </w:rPr>
        <w:t>Таблица 9 – Функциональные требования по подсистемам</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val="true"/>
          <w:tblHeader w:val="true"/>
        </w:trPr>
        <w:tc>
          <w:tcPr>
            <w:tcW w:type="dxa" w:w="1815"/>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Подсистема</w:t>
            </w:r>
          </w:p>
        </w:tc>
        <w:tc>
          <w:tcPr>
            <w:tcW w:type="dxa" w:w="3156"/>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Требование</w:t>
            </w:r>
          </w:p>
        </w:tc>
        <w:tc>
          <w:tcPr>
            <w:tcW w:type="dxa" w:w="1739"/>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Приоритет</w:t>
            </w:r>
          </w:p>
        </w:tc>
        <w:tc>
          <w:tcPr>
            <w:tcW w:type="dxa" w:w="2644"/>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Критерий проверки</w:t>
            </w:r>
          </w:p>
        </w:tc>
      </w:tr>
      <w:tr>
        <w:trPr>
          <w:cantSplit w:val="true"/>
        </w:trPr>
        <w:tc>
          <w:tcPr>
            <w:tcW w:type="dxa" w:w="18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Импорт</w:t>
            </w:r>
          </w:p>
        </w:tc>
        <w:tc>
          <w:tcPr>
            <w:tcW w:type="dxa" w:w="315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приём </w:t>
            </w:r>
            <w:r>
              <w:rPr>
                <w:rFonts w:ascii="Courier New" w:hAnsi="Courier New" w:eastAsia="Courier New" w:cs="Courier New"/>
                <w:b w:val="0"/>
                <w:color w:val="000000"/>
                <w:sz w:val="22"/>
              </w:rPr>
              <w:t>.xlsx</w:t>
            </w:r>
            <w:r>
              <w:rPr>
                <w:rFonts w:ascii="Times New Roman" w:hAnsi="Times New Roman" w:eastAsia="Times New Roman" w:cs="Times New Roman"/>
                <w:b w:val="0"/>
                <w:color w:val="000000"/>
                <w:sz w:val="24"/>
              </w:rPr>
              <w:t xml:space="preserve"> и </w:t>
            </w:r>
            <w:r>
              <w:rPr>
                <w:rFonts w:ascii="Courier New" w:hAnsi="Courier New" w:eastAsia="Courier New" w:cs="Courier New"/>
                <w:b w:val="0"/>
                <w:color w:val="000000"/>
                <w:sz w:val="22"/>
              </w:rPr>
              <w:t>.xls</w:t>
            </w:r>
            <w:r>
              <w:rPr>
                <w:rFonts w:ascii="Times New Roman" w:hAnsi="Times New Roman" w:eastAsia="Times New Roman" w:cs="Times New Roman"/>
                <w:b w:val="0"/>
                <w:color w:val="000000"/>
                <w:sz w:val="24"/>
              </w:rPr>
              <w:t>, поиск заголовка, обязательные SKU, имя, цена</w:t>
            </w:r>
          </w:p>
        </w:tc>
        <w:tc>
          <w:tcPr>
            <w:tcW w:type="dxa" w:w="173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w:t>
            </w:r>
          </w:p>
        </w:tc>
        <w:tc>
          <w:tcPr>
            <w:tcW w:type="dxa" w:w="264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файл обрабатывается либо даёт построчную диагностику</w:t>
            </w:r>
          </w:p>
        </w:tc>
      </w:tr>
      <w:tr>
        <w:trPr>
          <w:cantSplit w:val="true"/>
        </w:trPr>
        <w:tc>
          <w:tcPr>
            <w:tcW w:type="dxa" w:w="18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Импорт</w:t>
            </w:r>
          </w:p>
        </w:tc>
        <w:tc>
          <w:tcPr>
            <w:tcW w:type="dxa" w:w="315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архив оригинала, повторная загрузка, история цены</w:t>
            </w:r>
          </w:p>
        </w:tc>
        <w:tc>
          <w:tcPr>
            <w:tcW w:type="dxa" w:w="173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w:t>
            </w:r>
          </w:p>
        </w:tc>
        <w:tc>
          <w:tcPr>
            <w:tcW w:type="dxa" w:w="264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оригинал скачивается, изменение цены фиксируется</w:t>
            </w:r>
          </w:p>
        </w:tc>
      </w:tr>
      <w:tr>
        <w:trPr>
          <w:cantSplit w:val="true"/>
        </w:trPr>
        <w:tc>
          <w:tcPr>
            <w:tcW w:type="dxa" w:w="18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Каталог</w:t>
            </w:r>
          </w:p>
        </w:tc>
        <w:tc>
          <w:tcPr>
            <w:tcW w:type="dxa" w:w="315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товары, поставщики, производители, офферы, иерархия 1–4</w:t>
            </w:r>
          </w:p>
        </w:tc>
        <w:tc>
          <w:tcPr>
            <w:tcW w:type="dxa" w:w="173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w:t>
            </w:r>
          </w:p>
        </w:tc>
        <w:tc>
          <w:tcPr>
            <w:tcW w:type="dxa" w:w="264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данные доступны через REST и экраны</w:t>
            </w:r>
          </w:p>
        </w:tc>
      </w:tr>
      <w:tr>
        <w:trPr>
          <w:cantSplit w:val="true"/>
        </w:trPr>
        <w:tc>
          <w:tcPr>
            <w:tcW w:type="dxa" w:w="18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Поиск</w:t>
            </w:r>
          </w:p>
        </w:tc>
        <w:tc>
          <w:tcPr>
            <w:tcW w:type="dxa" w:w="315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точный артикул, нечёткий поиск, вероятность, аналоги категории</w:t>
            </w:r>
          </w:p>
        </w:tc>
        <w:tc>
          <w:tcPr>
            <w:tcW w:type="dxa" w:w="173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 / средний (fuzzy — желательно)</w:t>
            </w:r>
          </w:p>
        </w:tc>
        <w:tc>
          <w:tcPr>
            <w:tcW w:type="dxa" w:w="264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найденные и ненайденные строки различимы</w:t>
            </w:r>
          </w:p>
        </w:tc>
      </w:tr>
      <w:tr>
        <w:trPr>
          <w:cantSplit w:val="true"/>
        </w:trPr>
        <w:tc>
          <w:tcPr>
            <w:tcW w:type="dxa" w:w="18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КП</w:t>
            </w:r>
          </w:p>
        </w:tc>
        <w:tc>
          <w:tcPr>
            <w:tcW w:type="dxa" w:w="315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три обязательные стратегии, скидки, НДС, причина выбора, override</w:t>
            </w:r>
          </w:p>
        </w:tc>
        <w:tc>
          <w:tcPr>
            <w:tcW w:type="dxa" w:w="173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w:t>
            </w:r>
          </w:p>
        </w:tc>
        <w:tc>
          <w:tcPr>
            <w:tcW w:type="dxa" w:w="264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одинаковые входы дают воспроизводимый итог</w:t>
            </w:r>
          </w:p>
        </w:tc>
      </w:tr>
      <w:tr>
        <w:trPr>
          <w:cantSplit w:val="true"/>
        </w:trPr>
        <w:tc>
          <w:tcPr>
            <w:tcW w:type="dxa" w:w="18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КП</w:t>
            </w:r>
          </w:p>
        </w:tc>
        <w:tc>
          <w:tcPr>
            <w:tcW w:type="dxa" w:w="315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четвёртая стратегия актуальности, экспорт Excel и PDF</w:t>
            </w:r>
          </w:p>
        </w:tc>
        <w:tc>
          <w:tcPr>
            <w:tcW w:type="dxa" w:w="173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средний</w:t>
            </w:r>
          </w:p>
        </w:tc>
        <w:tc>
          <w:tcPr>
            <w:tcW w:type="dxa" w:w="264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файлы открываются, итоги совпадают с экраном</w:t>
            </w:r>
          </w:p>
        </w:tc>
      </w:tr>
      <w:tr>
        <w:trPr>
          <w:cantSplit w:val="true"/>
        </w:trPr>
        <w:tc>
          <w:tcPr>
            <w:tcW w:type="dxa" w:w="18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Согласование</w:t>
            </w:r>
          </w:p>
        </w:tc>
        <w:tc>
          <w:tcPr>
            <w:tcW w:type="dxa" w:w="315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наценка, маржа, утверждение/отклонение, возврат</w:t>
            </w:r>
          </w:p>
        </w:tc>
        <w:tc>
          <w:tcPr>
            <w:tcW w:type="dxa" w:w="173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w:t>
            </w:r>
          </w:p>
        </w:tc>
        <w:tc>
          <w:tcPr>
            <w:tcW w:type="dxa" w:w="264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недопустимый переход отклоняется</w:t>
            </w:r>
          </w:p>
        </w:tc>
      </w:tr>
      <w:tr>
        <w:trPr>
          <w:cantSplit w:val="true"/>
        </w:trPr>
        <w:tc>
          <w:tcPr>
            <w:tcW w:type="dxa" w:w="18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Исполнение</w:t>
            </w:r>
          </w:p>
        </w:tc>
        <w:tc>
          <w:tcPr>
            <w:tcW w:type="dxa" w:w="315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автосоздание счёта, линейные стадии, заказ-снимок, резерв, приёмка</w:t>
            </w:r>
          </w:p>
        </w:tc>
        <w:tc>
          <w:tcPr>
            <w:tcW w:type="dxa" w:w="173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w:t>
            </w:r>
          </w:p>
        </w:tc>
        <w:tc>
          <w:tcPr>
            <w:tcW w:type="dxa" w:w="264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жизненный цикл последователен</w:t>
            </w:r>
          </w:p>
        </w:tc>
      </w:tr>
      <w:tr>
        <w:trPr>
          <w:cantSplit w:val="true"/>
        </w:trPr>
        <w:tc>
          <w:tcPr>
            <w:tcW w:type="dxa" w:w="18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Интеграции</w:t>
            </w:r>
          </w:p>
        </w:tc>
        <w:tc>
          <w:tcPr>
            <w:tcW w:type="dxa" w:w="315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контракты 1С и WMS</w:t>
            </w:r>
          </w:p>
        </w:tc>
        <w:tc>
          <w:tcPr>
            <w:tcW w:type="dxa" w:w="173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средний</w:t>
            </w:r>
          </w:p>
        </w:tc>
        <w:tc>
          <w:tcPr>
            <w:tcW w:type="dxa" w:w="264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домен не зависит от класса адаптера</w:t>
            </w:r>
          </w:p>
        </w:tc>
      </w:tr>
      <w:tr>
        <w:trPr>
          <w:cantSplit w:val="true"/>
        </w:trPr>
        <w:tc>
          <w:tcPr>
            <w:tcW w:type="dxa" w:w="181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Аудит и уведомления</w:t>
            </w:r>
          </w:p>
        </w:tc>
        <w:tc>
          <w:tcPr>
            <w:tcW w:type="dxa" w:w="315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журнал мутаций, in-app и email</w:t>
            </w:r>
          </w:p>
        </w:tc>
        <w:tc>
          <w:tcPr>
            <w:tcW w:type="dxa" w:w="173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средний</w:t>
            </w:r>
          </w:p>
        </w:tc>
        <w:tc>
          <w:tcPr>
            <w:tcW w:type="dxa" w:w="264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запись доступна администратору</w:t>
            </w:r>
          </w:p>
        </w:tc>
      </w:tr>
    </w:tbl>
    <w:p>
      <w:pPr>
        <w:spacing w:after="0"/>
      </w:pPr>
    </w:p>
    <w:p>
      <w:r>
        <w:rPr>
          <w:rFonts w:ascii="Times New Roman" w:hAnsi="Times New Roman" w:eastAsia="Times New Roman" w:cs="Times New Roman"/>
          <w:b/>
          <w:color w:val="000000"/>
          <w:sz w:val="28"/>
        </w:rPr>
        <w:t>Требования к характеристикам взаимосвязей со смежными системами (границы решения).</w:t>
      </w:r>
      <w:r>
        <w:rPr>
          <w:rFonts w:ascii="Times New Roman" w:hAnsi="Times New Roman" w:eastAsia="Times New Roman" w:cs="Times New Roman"/>
          <w:b w:val="0"/>
          <w:color w:val="000000"/>
          <w:sz w:val="28"/>
        </w:rPr>
        <w:t xml:space="preserve"> Система должна включать внутри границы каталог, импорт, сопоставление, КП, согласование, внутренний счёт NOC, заказ, приёмку, RBAC, аудит и уведомления (приоритет: высокий). Вне границы остаются регламентированный бухгалтерский учёт, промышленная WMS, внешний корпоративный NOC, каталог AD/LDAP как отдельный продукт, мобильное приложение и конструктор аналитических отчётов. Граница следует из раздела 2: готовые ERP и СЭД не берутся как ядро, а 1С заказчика не заменяется. Связь с 1С и WMS система должна выполнять вызовом шлюза при проведении приёмки; на стенде допускается имитация (приоритет: средний, как у интеграций в таблице 9). Идентификация должна выполняться через Keycloak (приоритет: высокий), чтобы роли не жили только в клиентском меню. Доставка писем должна идти через SMTP (приоритет: средний, как у уведомлений в таблице 9). Границы решения и внешние связи показаны на рисунке 8. Проверка границ: мок шлюза отвечает по контракту, а реальный обмен с 1С в разделе 6 явно не заявляется.</w:t>
      </w:r>
    </w:p>
    <w:p>
      <w:pPr>
        <w:keepNext/>
        <w:spacing w:line="240" w:lineRule="auto" w:before="240" w:after="0"/>
        <w:ind w:firstLine="0"/>
        <w:jc w:val="center"/>
      </w:pPr>
      <w:r>
        <w:drawing>
          <wp:inline xmlns:a="http://schemas.openxmlformats.org/drawingml/2006/main" xmlns:pic="http://schemas.openxmlformats.org/drawingml/2006/picture">
            <wp:extent cx="5760000" cy="3272727"/>
            <wp:docPr id="8" name="Picture 8"/>
            <wp:cNvGraphicFramePr>
              <a:graphicFrameLocks noChangeAspect="1"/>
            </wp:cNvGraphicFramePr>
            <a:graphic>
              <a:graphicData uri="http://schemas.openxmlformats.org/drawingml/2006/picture">
                <pic:pic>
                  <pic:nvPicPr>
                    <pic:cNvPr id="0" name="ris-19-context.png"/>
                    <pic:cNvPicPr/>
                  </pic:nvPicPr>
                  <pic:blipFill>
                    <a:blip r:embed="rId18"/>
                    <a:stretch>
                      <a:fillRect/>
                    </a:stretch>
                  </pic:blipFill>
                  <pic:spPr>
                    <a:xfrm>
                      <a:off x="0" y="0"/>
                      <a:ext cx="5760000" cy="3272727"/>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8 – Контекстная диаграмма границ решения</w:t>
      </w:r>
    </w:p>
    <w:p>
      <w:r>
        <w:rPr>
          <w:rFonts w:ascii="Times New Roman" w:hAnsi="Times New Roman" w:eastAsia="Times New Roman" w:cs="Times New Roman"/>
          <w:b/>
          <w:color w:val="000000"/>
          <w:sz w:val="28"/>
        </w:rPr>
        <w:t>Требования к численности и квалификации пользователей.</w:t>
      </w:r>
      <w:r>
        <w:rPr>
          <w:rFonts w:ascii="Times New Roman" w:hAnsi="Times New Roman" w:eastAsia="Times New Roman" w:cs="Times New Roman"/>
          <w:b w:val="0"/>
          <w:color w:val="000000"/>
          <w:sz w:val="28"/>
        </w:rPr>
        <w:t xml:space="preserve"> Одновременная численность пользователей в ТЗ не согласована. Для стенда система должна поддерживать учётные записи шести ролей (приоритет: высокий), что закрывает сценарии раздела 3.2 без выдуманной нагрузки «N тысяч сессий». Квалификация РП, КБ, бухгалтерии и склада: уверенная работа с браузером и предметными документами, без навыков программирования. Квалификация администратора: развёртывание Compose, Keycloak, чтение журнала. Система должна сопровождаться кратким руководством пользователя (приоритет: средний), иначе риск «РП не будет загружать файлы» усиливается не интерфейсом, а отсутствием инструкции. Режим: обычная дневная работа, отдельной сменности система не задаёт.</w:t>
      </w:r>
    </w:p>
    <w:p>
      <w:r>
        <w:rPr>
          <w:rFonts w:ascii="Times New Roman" w:hAnsi="Times New Roman" w:eastAsia="Times New Roman" w:cs="Times New Roman"/>
          <w:b/>
          <w:color w:val="000000"/>
          <w:sz w:val="28"/>
        </w:rPr>
        <w:t>Требования к дизайну и реализации.</w:t>
      </w:r>
      <w:r>
        <w:rPr>
          <w:rFonts w:ascii="Times New Roman" w:hAnsi="Times New Roman" w:eastAsia="Times New Roman" w:cs="Times New Roman"/>
          <w:b w:val="0"/>
          <w:color w:val="000000"/>
          <w:sz w:val="28"/>
        </w:rPr>
        <w:t xml:space="preserve"> Система должна быть реализована на C# / .NET на стороне backend и как одностраничное веб-приложение на стороне интерфейса (приоритет: высокий). Система должна хранить данные в реляционной СУБД (приоритет: высокий), потому что снимки документов и Outbox требуют транзакции. Система должна обмениваться с клиентом по REST и JSON и идентифицировать пользователей по OIDC/JWT (приоритет: высокий). Пользовательский интерфейс должен быть на русском языке и представлять рабочий кабинет со списками и карточками, а не маркетинговый лендинг (приоритет: высокий). Обратная совместимость с ранее выпущенным продуктом не требуется. Стандарт обмена с 1С на стенде не фиксируется: достаточно заменяемого интерфейса шлюза (приоритет: средний). Выбор конкретных продуктов стека обоснован в разделе 4.2; здесь фиксируется класс решения, а не бренд брокера.</w:t>
      </w:r>
    </w:p>
    <w:p>
      <w:r>
        <w:rPr>
          <w:rFonts w:ascii="Times New Roman" w:hAnsi="Times New Roman" w:eastAsia="Times New Roman" w:cs="Times New Roman"/>
          <w:b/>
          <w:color w:val="000000"/>
          <w:sz w:val="28"/>
        </w:rPr>
        <w:t>Требования к операционной среде.</w:t>
      </w:r>
      <w:r>
        <w:rPr>
          <w:rFonts w:ascii="Times New Roman" w:hAnsi="Times New Roman" w:eastAsia="Times New Roman" w:cs="Times New Roman"/>
          <w:b w:val="0"/>
          <w:color w:val="000000"/>
          <w:sz w:val="28"/>
        </w:rPr>
        <w:t xml:space="preserve"> Клиентская часть должна работать в актуальных Chrome и Edge, как указано в ТЗ (приоритет: высокий). Сервер стенда должен включать Docker Compose, PostgreSQL, брокер сообщений, поисковый индекс и сервер идентификации (приоритет: высокий). Внешний контур учебного стенда допускает HTTP. Промышленный контур должен использовать TLS: это ограничение, а не выполненное требование. Проверка среды: стенд поднимается Compose и проходит ночной прогон раздела 6; TLS на учебном HTTP не имитируется сертификатом «для галочки».</w:t>
      </w:r>
    </w:p>
    <w:p>
      <w:r>
        <w:rPr>
          <w:rFonts w:ascii="Times New Roman" w:hAnsi="Times New Roman" w:eastAsia="Times New Roman" w:cs="Times New Roman"/>
          <w:b/>
          <w:color w:val="000000"/>
          <w:sz w:val="28"/>
        </w:rPr>
        <w:t>Требования к производительности.</w:t>
      </w:r>
      <w:r>
        <w:rPr>
          <w:rFonts w:ascii="Times New Roman" w:hAnsi="Times New Roman" w:eastAsia="Times New Roman" w:cs="Times New Roman"/>
          <w:b w:val="0"/>
          <w:color w:val="000000"/>
          <w:sz w:val="28"/>
        </w:rPr>
        <w:t xml:space="preserve"> Система должна формировать три варианта КП для перечня до 500 позиций не более чем за 30 с; это ориентир ТЗ, отдельный протокол нагрузки не прилагается (приоритет: средний). Система должна импортировать Excel до 10 000 строк не более чем за 60 с (приоритет: высокий). Контрольный прогон реального прайса EKF (около 20 тыс. строк) на стенде разработчика занял около 33 с; это не промышленный SLO, а факт конкретного файла и машины, который показывает, что ориентир импорта на стенде достижим. Отдельного нагрузочного стенда с согласованными процентилями в работе нет.</w:t>
      </w:r>
    </w:p>
    <w:p>
      <w:r>
        <w:rPr>
          <w:rFonts w:ascii="Times New Roman" w:hAnsi="Times New Roman" w:eastAsia="Times New Roman" w:cs="Times New Roman"/>
          <w:b/>
          <w:color w:val="000000"/>
          <w:sz w:val="28"/>
        </w:rPr>
        <w:t>Требования к защите информации.</w:t>
      </w:r>
      <w:r>
        <w:rPr>
          <w:rFonts w:ascii="Times New Roman" w:hAnsi="Times New Roman" w:eastAsia="Times New Roman" w:cs="Times New Roman"/>
          <w:b w:val="0"/>
          <w:color w:val="000000"/>
          <w:sz w:val="28"/>
        </w:rPr>
        <w:t xml:space="preserve"> Система должна предоставлять доступ только аутентифицированным пользователям, кроме проверки здоровья (приоритет: высокий). Система должна авторизовать действия по ролям и соблюдать принцип минимальных привилегий (приоритет: высокий); проверка этого требования это как раз 403 на чужой стадии счёта в разделе 6. Журнал мутаций не должен изменяться через прикладной API (приоритет: средний, как у аудита в таблице 9). Файлы прайсов и вложений должны выдаваться по JWT (приоритет: высокий), иначе архив оригинала станет публичной выгрузкой. Учебные пароли и отключённая проверка audience допустимы только на стенде. Сохранность при отказе питания обеспечивается транзакционной СУБД; отдельный контур резервного копирования в репозитории не автоматизирован.</w:t>
      </w:r>
    </w:p>
    <w:p>
      <w:r>
        <w:rPr>
          <w:rFonts w:ascii="Times New Roman" w:hAnsi="Times New Roman" w:eastAsia="Times New Roman" w:cs="Times New Roman"/>
          <w:b/>
          <w:color w:val="000000"/>
          <w:sz w:val="28"/>
        </w:rPr>
        <w:t>Требования к внешнему интерфейсу.</w:t>
      </w:r>
      <w:r>
        <w:rPr>
          <w:rFonts w:ascii="Times New Roman" w:hAnsi="Times New Roman" w:eastAsia="Times New Roman" w:cs="Times New Roman"/>
          <w:b w:val="0"/>
          <w:color w:val="000000"/>
          <w:sz w:val="28"/>
        </w:rPr>
        <w:t xml:space="preserve"> Система должна предоставлять веб-интерфейс по ролям (приоритет: высокий). Программный интерфейс должен быть REST за единой точкой </w:t>
      </w:r>
      <w:r>
        <w:rPr>
          <w:rFonts w:ascii="Courier New" w:hAnsi="Courier New" w:eastAsia="Courier New" w:cs="Courier New"/>
          <w:b w:val="0"/>
          <w:color w:val="000000"/>
          <w:sz w:val="26"/>
        </w:rPr>
        <w:t>/api</w:t>
      </w:r>
      <w:r>
        <w:rPr>
          <w:rFonts w:ascii="Times New Roman" w:hAnsi="Times New Roman" w:eastAsia="Times New Roman" w:cs="Times New Roman"/>
          <w:b w:val="0"/>
          <w:color w:val="000000"/>
          <w:sz w:val="28"/>
        </w:rPr>
        <w:t xml:space="preserve"> (приоритет: высокий), чтобы SPA и шлюз YARP говорили на одном контракте. Система должна экспортировать КП в Excel и PDF (приоритет: средний, как в таблице 9). Уведомления должны доставляться внутри приложения и по электронной почте (приоритет: средний). Проверка экспорта: файлы открываются, итоги совпадают с экраном; проверка писем: MailHog на стенде и отсутствие дубля при повторном проходе диспетчера.</w:t>
      </w:r>
    </w:p>
    <w:p>
      <w:r>
        <w:rPr>
          <w:rFonts w:ascii="Times New Roman" w:hAnsi="Times New Roman" w:eastAsia="Times New Roman" w:cs="Times New Roman"/>
          <w:b/>
          <w:color w:val="000000"/>
          <w:sz w:val="28"/>
        </w:rPr>
        <w:t>Требования к документации.</w:t>
      </w:r>
      <w:r>
        <w:rPr>
          <w:rFonts w:ascii="Times New Roman" w:hAnsi="Times New Roman" w:eastAsia="Times New Roman" w:cs="Times New Roman"/>
          <w:b w:val="0"/>
          <w:color w:val="000000"/>
          <w:sz w:val="28"/>
        </w:rPr>
        <w:t xml:space="preserve"> Для сдачи должны быть подготовлены пояснительная записка и описание архитектуры, модели данных и API. Сверка с ТЗ и руководство пользователя входят в тот же комплект сдачи. Для эксплуатации стенда должен быть README с запуском Compose. Документация здесь не «приложение к коду», а условие воспроизводимости приёмки: без README ночной прогон чужой машины не повторяется.</w:t>
      </w:r>
    </w:p>
    <w:p>
      <w:pPr>
        <w:pStyle w:val="Heading3"/>
      </w:pPr>
      <w:r>
        <w:rPr>
          <w:rFonts w:ascii="Times New Roman" w:hAnsi="Times New Roman" w:eastAsia="Times New Roman" w:cs="Times New Roman"/>
          <w:b/>
          <w:color w:val="000000"/>
          <w:sz w:val="28"/>
        </w:rPr>
        <w:t>3.1.4 Состав и содержание работ по созданию системы</w:t>
      </w:r>
    </w:p>
    <w:p>
      <w:r>
        <w:rPr>
          <w:rFonts w:ascii="Times New Roman" w:hAnsi="Times New Roman" w:eastAsia="Times New Roman" w:cs="Times New Roman"/>
          <w:b w:val="0"/>
          <w:color w:val="000000"/>
          <w:sz w:val="28"/>
        </w:rPr>
        <w:t>Сроки заданы как модельная календарная привязка к дате ТЗ и дате контрольных прогонов. Исполнитель один: студент, разработчик курсовой работы. Стадии и этапы работ, по которым шла фактическая реализация, сведены в таблицу 10. Календарь сознательно совпадает с тем, что уже сделано: обследование по ТЗ, концепция границ и прецедентов, технический проект архитектуры, реализация сквозного контура, стенд Compose и приёмка 12.09.2026. Отдельной промышленной опытной эксплуатации в плане нет, потому что контур заказчика не предоставлялся.</w:t>
      </w:r>
    </w:p>
    <w:p>
      <w:pPr>
        <w:pStyle w:val="GOSTCaption"/>
        <w:keepNext/>
        <w:jc w:val="left"/>
      </w:pPr>
      <w:r>
        <w:rPr>
          <w:rFonts w:ascii="Times New Roman" w:hAnsi="Times New Roman" w:eastAsia="Times New Roman" w:cs="Times New Roman"/>
          <w:b w:val="0"/>
          <w:color w:val="000000"/>
          <w:sz w:val="28"/>
        </w:rPr>
        <w:t>Таблица 10 – Стадии и этапы работ</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val="true"/>
          <w:tblHeader w:val="true"/>
        </w:trPr>
        <w:tc>
          <w:tcPr>
            <w:tcW w:type="dxa" w:w="2052"/>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Стадия</w:t>
            </w:r>
          </w:p>
        </w:tc>
        <w:tc>
          <w:tcPr>
            <w:tcW w:type="dxa" w:w="3104"/>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Этап</w:t>
            </w:r>
          </w:p>
        </w:tc>
        <w:tc>
          <w:tcPr>
            <w:tcW w:type="dxa" w:w="2147"/>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Срок</w:t>
            </w:r>
          </w:p>
        </w:tc>
        <w:tc>
          <w:tcPr>
            <w:tcW w:type="dxa" w:w="2052"/>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Исполнитель</w:t>
            </w:r>
          </w:p>
        </w:tc>
      </w:tr>
      <w:tr>
        <w:trPr>
          <w:cantSplit w:val="true"/>
        </w:trPr>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Обследование</w:t>
            </w:r>
          </w:p>
        </w:tc>
        <w:tc>
          <w:tcPr>
            <w:tcW w:type="dxa" w:w="310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анализ ТЗ, интервью по открытым вопросам, словарь</w:t>
            </w:r>
          </w:p>
        </w:tc>
        <w:tc>
          <w:tcPr>
            <w:tcW w:type="dxa" w:w="21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апрель 2026</w:t>
            </w:r>
          </w:p>
        </w:tc>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разработчик</w:t>
            </w:r>
          </w:p>
        </w:tc>
      </w:tr>
      <w:tr>
        <w:trPr>
          <w:cantSplit w:val="true"/>
        </w:trPr>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Концепция</w:t>
            </w:r>
          </w:p>
        </w:tc>
        <w:tc>
          <w:tcPr>
            <w:tcW w:type="dxa" w:w="310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границы, прецеденты, CJM/USM, риски</w:t>
            </w:r>
          </w:p>
        </w:tc>
        <w:tc>
          <w:tcPr>
            <w:tcW w:type="dxa" w:w="21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май 2026</w:t>
            </w:r>
          </w:p>
        </w:tc>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разработчик</w:t>
            </w:r>
          </w:p>
        </w:tc>
      </w:tr>
      <w:tr>
        <w:trPr>
          <w:cantSplit w:val="true"/>
        </w:trPr>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Технический проект</w:t>
            </w:r>
          </w:p>
        </w:tc>
        <w:tc>
          <w:tcPr>
            <w:tcW w:type="dxa" w:w="310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архитектура, модель данных, прототипы экранов</w:t>
            </w:r>
          </w:p>
        </w:tc>
        <w:tc>
          <w:tcPr>
            <w:tcW w:type="dxa" w:w="21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май–июнь 2026</w:t>
            </w:r>
          </w:p>
        </w:tc>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разработчик</w:t>
            </w:r>
          </w:p>
        </w:tc>
      </w:tr>
      <w:tr>
        <w:trPr>
          <w:cantSplit w:val="true"/>
        </w:trPr>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Рабочая документация и реализация</w:t>
            </w:r>
          </w:p>
        </w:tc>
        <w:tc>
          <w:tcPr>
            <w:tcW w:type="dxa" w:w="310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импорт, каталог, КП, согласование, счёт, заказ, приёмка, SPA</w:t>
            </w:r>
          </w:p>
        </w:tc>
        <w:tc>
          <w:tcPr>
            <w:tcW w:type="dxa" w:w="21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июнь–сентябрь 2026</w:t>
            </w:r>
          </w:p>
        </w:tc>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разработчик</w:t>
            </w:r>
          </w:p>
        </w:tc>
      </w:tr>
      <w:tr>
        <w:trPr>
          <w:cantSplit w:val="true"/>
        </w:trPr>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Ввод в действие (стенд)</w:t>
            </w:r>
          </w:p>
        </w:tc>
        <w:tc>
          <w:tcPr>
            <w:tcW w:type="dxa" w:w="310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Compose, Keycloak, контрольные прогоны</w:t>
            </w:r>
          </w:p>
        </w:tc>
        <w:tc>
          <w:tcPr>
            <w:tcW w:type="dxa" w:w="21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сентябрь 2026</w:t>
            </w:r>
          </w:p>
        </w:tc>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разработчик</w:t>
            </w:r>
          </w:p>
        </w:tc>
      </w:tr>
      <w:tr>
        <w:trPr>
          <w:cantSplit w:val="true"/>
        </w:trPr>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Приёмка учебной версии</w:t>
            </w:r>
          </w:p>
        </w:tc>
        <w:tc>
          <w:tcPr>
            <w:tcW w:type="dxa" w:w="310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сверка с ТЗ, E2E 12.09.2026</w:t>
            </w:r>
          </w:p>
        </w:tc>
        <w:tc>
          <w:tcPr>
            <w:tcW w:type="dxa" w:w="21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сентябрь 2026</w:t>
            </w:r>
          </w:p>
        </w:tc>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разработчик, научный руководитель</w:t>
            </w:r>
          </w:p>
        </w:tc>
      </w:tr>
    </w:tbl>
    <w:p>
      <w:pPr>
        <w:spacing w:after="0"/>
      </w:pPr>
    </w:p>
    <w:p>
      <w:pPr>
        <w:pStyle w:val="Heading3"/>
      </w:pPr>
      <w:r>
        <w:rPr>
          <w:rFonts w:ascii="Times New Roman" w:hAnsi="Times New Roman" w:eastAsia="Times New Roman" w:cs="Times New Roman"/>
          <w:b/>
          <w:color w:val="000000"/>
          <w:sz w:val="28"/>
        </w:rPr>
        <w:t>3.1.5 Порядок контроля и приёмки системы</w:t>
      </w:r>
    </w:p>
    <w:p>
      <w:r>
        <w:rPr>
          <w:rFonts w:ascii="Times New Roman" w:hAnsi="Times New Roman" w:eastAsia="Times New Roman" w:cs="Times New Roman"/>
          <w:b w:val="0"/>
          <w:color w:val="000000"/>
          <w:sz w:val="28"/>
        </w:rPr>
        <w:t>Приёмка учебной версии опирается на работающий стенд, а не на обещание промышленного контура. Испытания включают модульные тесты прикладной логики, сквозные сценарии работающего стенда, проверку ролевых границ и сверку функций с ТЗ. Прогон выполняется автоматически средствами xUnit; сценарии HTTP и браузера идут по контрольным данным; экраны сверяются с use case экспертно. Такое разделение нужно, потому что InMemory не доказывает транзакции и поиск, а скриншот не доказывает 403 по роли. Участники приёмки учебной работы: разработчик, научный руководитель и комиссия по защите. Место приёмки: стенд разработчика и материалы записки, срок: защита курсовой работы. Критерий приёмки MVP: обязательные функции §14 ТЗ выполняются на стенде, а известные упрощения (мок 1С/WMS, упрощённый NOC, отсутствие HA) перечислены явно и не выдаются за реализованные.</w:t>
      </w:r>
    </w:p>
    <w:p>
      <w:pPr>
        <w:pStyle w:val="Heading2"/>
      </w:pPr>
      <w:r>
        <w:rPr>
          <w:rFonts w:ascii="Times New Roman" w:hAnsi="Times New Roman" w:eastAsia="Times New Roman" w:cs="Times New Roman"/>
          <w:b/>
          <w:color w:val="000000"/>
          <w:sz w:val="28"/>
        </w:rPr>
        <w:t>3.2 Модель прецедентов</w:t>
      </w:r>
    </w:p>
    <w:p>
      <w:pPr>
        <w:pStyle w:val="Heading3"/>
      </w:pPr>
      <w:r>
        <w:rPr>
          <w:rFonts w:ascii="Times New Roman" w:hAnsi="Times New Roman" w:eastAsia="Times New Roman" w:cs="Times New Roman"/>
          <w:b/>
          <w:color w:val="000000"/>
          <w:sz w:val="28"/>
        </w:rPr>
        <w:t>3.2.1 Акторы</w:t>
      </w:r>
    </w:p>
    <w:p>
      <w:r>
        <w:rPr>
          <w:rFonts w:ascii="Times New Roman" w:hAnsi="Times New Roman" w:eastAsia="Times New Roman" w:cs="Times New Roman"/>
          <w:b w:val="0"/>
          <w:color w:val="000000"/>
          <w:sz w:val="28"/>
        </w:rPr>
        <w:t>Сквозной процесс инициируют шесть человеческих ролей и два программных актора. Первичные акторы начинают сценарии, вторичные отвечают внутри системы или снаружи. Наблюдатель только читает, администратор не штатный согласующий: иначе журнал аудита смешался бы с маршрутом цены. Шлюз 1С / WMS на стенде не является реальной 1С или WMS, и это ограничение актора, а не скрытая интеграция. Состав акторов и их характеристики сведены в таблицу 11. Таблица повторяет шаблон методички; смысл её в том, что каждый человеческий актор раздела 1.6 получает ровно те инициативы, без которых его критерий успеха недостижим.</w:t>
      </w:r>
    </w:p>
    <w:p>
      <w:pPr>
        <w:pStyle w:val="GOSTCaption"/>
        <w:keepNext/>
        <w:jc w:val="left"/>
      </w:pPr>
      <w:r>
        <w:rPr>
          <w:rFonts w:ascii="Times New Roman" w:hAnsi="Times New Roman" w:eastAsia="Times New Roman" w:cs="Times New Roman"/>
          <w:b w:val="0"/>
          <w:color w:val="000000"/>
          <w:sz w:val="28"/>
        </w:rPr>
        <w:t>Таблица 11 – Акторы системы</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val="true"/>
          <w:tblHeader w:val="true"/>
        </w:trPr>
        <w:tc>
          <w:tcPr>
            <w:tcW w:type="dxa" w:w="2349"/>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Наименование актора</w:t>
            </w:r>
          </w:p>
        </w:tc>
        <w:tc>
          <w:tcPr>
            <w:tcW w:type="dxa" w:w="2463"/>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Тип актора</w:t>
            </w:r>
          </w:p>
        </w:tc>
        <w:tc>
          <w:tcPr>
            <w:tcW w:type="dxa" w:w="4542"/>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Описательная характеристика</w:t>
            </w:r>
          </w:p>
        </w:tc>
      </w:tr>
      <w:tr>
        <w:trPr>
          <w:cantSplit w:val="true"/>
        </w:trPr>
        <w:tc>
          <w:tcPr>
            <w:tcW w:type="dxa" w:w="234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Руководитель проекта</w:t>
            </w:r>
          </w:p>
        </w:tc>
        <w:tc>
          <w:tcPr>
            <w:tcW w:type="dxa" w:w="246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первичный; пользователь</w:t>
            </w:r>
          </w:p>
        </w:tc>
        <w:tc>
          <w:tcPr>
            <w:tcW w:type="dxa" w:w="454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инициирует импорт, спецификацию, скидки, расчёт КП, заказ, создание согласования</w:t>
            </w:r>
          </w:p>
        </w:tc>
      </w:tr>
      <w:tr>
        <w:trPr>
          <w:cantSplit w:val="true"/>
        </w:trPr>
        <w:tc>
          <w:tcPr>
            <w:tcW w:type="dxa" w:w="234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Коммерческий блок</w:t>
            </w:r>
          </w:p>
        </w:tc>
        <w:tc>
          <w:tcPr>
            <w:tcW w:type="dxa" w:w="246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первичный; пользователь</w:t>
            </w:r>
          </w:p>
        </w:tc>
        <w:tc>
          <w:tcPr>
            <w:tcW w:type="dxa" w:w="454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инициирует решение по КП и стадию счёта «Согласован»</w:t>
            </w:r>
          </w:p>
        </w:tc>
      </w:tr>
      <w:tr>
        <w:trPr>
          <w:cantSplit w:val="true"/>
        </w:trPr>
        <w:tc>
          <w:tcPr>
            <w:tcW w:type="dxa" w:w="234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Бухгалтерия</w:t>
            </w:r>
          </w:p>
        </w:tc>
        <w:tc>
          <w:tcPr>
            <w:tcW w:type="dxa" w:w="246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первичный; пользователь</w:t>
            </w:r>
          </w:p>
        </w:tc>
        <w:tc>
          <w:tcPr>
            <w:tcW w:type="dxa" w:w="454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инициирует стадии счёта после «Согласован» и загрузку вложений</w:t>
            </w:r>
          </w:p>
        </w:tc>
      </w:tr>
      <w:tr>
        <w:trPr>
          <w:cantSplit w:val="true"/>
        </w:trPr>
        <w:tc>
          <w:tcPr>
            <w:tcW w:type="dxa" w:w="234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Склад</w:t>
            </w:r>
          </w:p>
        </w:tc>
        <w:tc>
          <w:tcPr>
            <w:tcW w:type="dxa" w:w="246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первичный; пользователь</w:t>
            </w:r>
          </w:p>
        </w:tc>
        <w:tc>
          <w:tcPr>
            <w:tcW w:type="dxa" w:w="454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инициирует создание и проведение приёмки</w:t>
            </w:r>
          </w:p>
        </w:tc>
      </w:tr>
      <w:tr>
        <w:trPr>
          <w:cantSplit w:val="true"/>
        </w:trPr>
        <w:tc>
          <w:tcPr>
            <w:tcW w:type="dxa" w:w="234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Администратор</w:t>
            </w:r>
          </w:p>
        </w:tc>
        <w:tc>
          <w:tcPr>
            <w:tcW w:type="dxa" w:w="246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первичный; пользователь</w:t>
            </w:r>
          </w:p>
        </w:tc>
        <w:tc>
          <w:tcPr>
            <w:tcW w:type="dxa" w:w="454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инициирует просмотр аудита и служебные операции; не штатный согласующий</w:t>
            </w:r>
          </w:p>
        </w:tc>
      </w:tr>
      <w:tr>
        <w:trPr>
          <w:cantSplit w:val="true"/>
        </w:trPr>
        <w:tc>
          <w:tcPr>
            <w:tcW w:type="dxa" w:w="234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Наблюдатель</w:t>
            </w:r>
          </w:p>
        </w:tc>
        <w:tc>
          <w:tcPr>
            <w:tcW w:type="dxa" w:w="246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первичный; пользователь</w:t>
            </w:r>
          </w:p>
        </w:tc>
        <w:tc>
          <w:tcPr>
            <w:tcW w:type="dxa" w:w="454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инициирует только чтение</w:t>
            </w:r>
          </w:p>
        </w:tc>
      </w:tr>
      <w:tr>
        <w:trPr>
          <w:cantSplit w:val="true"/>
        </w:trPr>
        <w:tc>
          <w:tcPr>
            <w:tcW w:type="dxa" w:w="234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Система</w:t>
            </w:r>
          </w:p>
        </w:tc>
        <w:tc>
          <w:tcPr>
            <w:tcW w:type="dxa" w:w="246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вторичный; программный актор</w:t>
            </w:r>
          </w:p>
        </w:tc>
        <w:tc>
          <w:tcPr>
            <w:tcW w:type="dxa" w:w="454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автосоздание счёта, резерв, уведомления, индексация</w:t>
            </w:r>
          </w:p>
        </w:tc>
      </w:tr>
      <w:tr>
        <w:trPr>
          <w:cantSplit w:val="true"/>
        </w:trPr>
        <w:tc>
          <w:tcPr>
            <w:tcW w:type="dxa" w:w="234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Шлюз 1С / WMS</w:t>
            </w:r>
          </w:p>
        </w:tc>
        <w:tc>
          <w:tcPr>
            <w:tcW w:type="dxa" w:w="246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вторичный; внешняя система</w:t>
            </w:r>
          </w:p>
        </w:tc>
        <w:tc>
          <w:tcPr>
            <w:tcW w:type="dxa" w:w="454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принимает документ приёмки; на стенде не является реальной 1С/WMS</w:t>
            </w:r>
          </w:p>
        </w:tc>
      </w:tr>
    </w:tbl>
    <w:p>
      <w:pPr>
        <w:spacing w:after="0"/>
      </w:pPr>
    </w:p>
    <w:p>
      <w:pPr>
        <w:pStyle w:val="Heading3"/>
      </w:pPr>
      <w:r>
        <w:rPr>
          <w:rFonts w:ascii="Times New Roman" w:hAnsi="Times New Roman" w:eastAsia="Times New Roman" w:cs="Times New Roman"/>
          <w:b/>
          <w:color w:val="000000"/>
          <w:sz w:val="28"/>
        </w:rPr>
        <w:t>3.2.2 Диаграмма прецедентов</w:t>
      </w:r>
    </w:p>
    <w:p>
      <w:r>
        <w:rPr>
          <w:rFonts w:ascii="Times New Roman" w:hAnsi="Times New Roman" w:eastAsia="Times New Roman" w:cs="Times New Roman"/>
          <w:b w:val="0"/>
          <w:color w:val="000000"/>
          <w:sz w:val="28"/>
        </w:rPr>
        <w:t>На рисунке 9 показана UML-диаграмма прецедентов первой версии [7, 8]. Внутри границы перечислены UC-01…UC-10 в обозначениях ТЗ; слева первичные инициаторы (РП, коммерческий блок, бухгалтерия, склад), справа администратор, наблюдатель, вторичный актор «Система» и шлюз 1С / WMS. UC-01 включает нормализацию Excel, UC-02 включает сопоставление, потому что без этих внутренних шагов прецедент не доходит до каталога и КП. Диаграмма задаёт состав, а потоки ключевых сценариев приведены в таблицах 12–17: загрузка прайса, спецификация и КП, выбор варианта, согласование, создание счёта и приёмка. Остальные прецеденты рисунка 9 отдельной таблицей не раскрыты: скидки, оплата и аналитика либо вложены в ключевой поток, либо частично вынесены из MVP, что видно по сверке ТЗ.</w:t>
      </w:r>
    </w:p>
    <w:p>
      <w:pPr>
        <w:keepNext/>
        <w:spacing w:line="240" w:lineRule="auto" w:before="240" w:after="0"/>
        <w:ind w:firstLine="0"/>
        <w:jc w:val="center"/>
      </w:pPr>
      <w:r>
        <w:drawing>
          <wp:inline xmlns:a="http://schemas.openxmlformats.org/drawingml/2006/main" xmlns:pic="http://schemas.openxmlformats.org/drawingml/2006/picture">
            <wp:extent cx="5760000" cy="3372218"/>
            <wp:docPr id="9" name="Picture 9"/>
            <wp:cNvGraphicFramePr>
              <a:graphicFrameLocks noChangeAspect="1"/>
            </wp:cNvGraphicFramePr>
            <a:graphic>
              <a:graphicData uri="http://schemas.openxmlformats.org/drawingml/2006/picture">
                <pic:pic>
                  <pic:nvPicPr>
                    <pic:cNvPr id="0" name="ris-20-usecases.png"/>
                    <pic:cNvPicPr/>
                  </pic:nvPicPr>
                  <pic:blipFill>
                    <a:blip r:embed="rId19"/>
                    <a:stretch>
                      <a:fillRect/>
                    </a:stretch>
                  </pic:blipFill>
                  <pic:spPr>
                    <a:xfrm>
                      <a:off x="0" y="0"/>
                      <a:ext cx="5760000" cy="3372218"/>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9 – UML-диаграмма прецедентов</w:t>
      </w:r>
    </w:p>
    <w:p>
      <w:pPr>
        <w:pStyle w:val="Heading3"/>
      </w:pPr>
      <w:r>
        <w:rPr>
          <w:rFonts w:ascii="Times New Roman" w:hAnsi="Times New Roman" w:eastAsia="Times New Roman" w:cs="Times New Roman"/>
          <w:b/>
          <w:color w:val="000000"/>
          <w:sz w:val="28"/>
        </w:rPr>
        <w:t>3.2.3 Сценарии использования</w:t>
      </w:r>
    </w:p>
    <w:p>
      <w:r>
        <w:rPr>
          <w:rFonts w:ascii="Times New Roman" w:hAnsi="Times New Roman" w:eastAsia="Times New Roman" w:cs="Times New Roman"/>
          <w:b w:val="0"/>
          <w:color w:val="000000"/>
          <w:sz w:val="28"/>
        </w:rPr>
        <w:t>Идентификаторы в таблицах сценариев совпадают с UC ТЗ. На рисунке 9 те же прецеденты подписаны как UC-01…UC-10. Подробный поток дан для ключевых сценариев, без которых сквозной процесс от прайса до приёмки не проходит. Каждая таблица повторяет шаблон с полями описания, идентификатора, акторов, предусловий, пар «действие / реакция», постусловий, включения и расширения. Проза перед таблицей объясняет, какой риск сценарий закрывает и чем он проверяется; структура самой таблицы не меняется.</w:t>
      </w:r>
    </w:p>
    <w:p>
      <w:r>
        <w:rPr>
          <w:rFonts w:ascii="Times New Roman" w:hAnsi="Times New Roman" w:eastAsia="Times New Roman" w:cs="Times New Roman"/>
          <w:b w:val="0"/>
          <w:color w:val="000000"/>
          <w:sz w:val="28"/>
        </w:rPr>
        <w:t xml:space="preserve">Загрузка прайса открывает каталог для последующего подбора. На рисунке 9 это UC-01, в таблице 12 идентификатор UC 1.1. Первичный актор: руководитель проекта; система нормализует </w:t>
      </w:r>
      <w:r>
        <w:rPr>
          <w:rFonts w:ascii="Courier New" w:hAnsi="Courier New" w:eastAsia="Courier New" w:cs="Courier New"/>
          <w:b w:val="0"/>
          <w:color w:val="000000"/>
          <w:sz w:val="26"/>
        </w:rPr>
        <w:t>.xlsx</w:t>
      </w:r>
      <w:r>
        <w:rPr>
          <w:rFonts w:ascii="Times New Roman" w:hAnsi="Times New Roman" w:eastAsia="Times New Roman" w:cs="Times New Roman"/>
          <w:b w:val="0"/>
          <w:color w:val="000000"/>
          <w:sz w:val="28"/>
        </w:rPr>
        <w:t>/</w:t>
      </w:r>
      <w:r>
        <w:rPr>
          <w:rFonts w:ascii="Courier New" w:hAnsi="Courier New" w:eastAsia="Courier New" w:cs="Courier New"/>
          <w:b w:val="0"/>
          <w:color w:val="000000"/>
          <w:sz w:val="26"/>
        </w:rPr>
        <w:t>.xls</w:t>
      </w:r>
      <w:r>
        <w:rPr>
          <w:rFonts w:ascii="Times New Roman" w:hAnsi="Times New Roman" w:eastAsia="Times New Roman" w:cs="Times New Roman"/>
          <w:b w:val="0"/>
          <w:color w:val="000000"/>
          <w:sz w:val="28"/>
        </w:rPr>
        <w:t>, выполняет upsert и архивирует оригинал. Расширения покрывают нераспознанную структуру и дубли SKU, потому что именно эти случаи в AS IS заставляли РП править файл вручную. Требование следует из БТ-1; риск, который оно закрывает, это «нестандартная структура Excel» таблицы 19. Проверка: тест-кейс импорта раздела 6 и контрольный прайс EKF.</w:t>
      </w:r>
    </w:p>
    <w:p>
      <w:pPr>
        <w:pStyle w:val="GOSTCaption"/>
        <w:keepNext/>
        <w:jc w:val="left"/>
      </w:pPr>
      <w:r>
        <w:rPr>
          <w:rFonts w:ascii="Times New Roman" w:hAnsi="Times New Roman" w:eastAsia="Times New Roman" w:cs="Times New Roman"/>
          <w:b w:val="0"/>
          <w:color w:val="000000"/>
          <w:sz w:val="28"/>
        </w:rPr>
        <w:t>Таблица 12 – Сценарий 1. Загрузка прайса поставщика</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3288"/>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Поле</w:t>
            </w:r>
          </w:p>
        </w:tc>
        <w:tc>
          <w:tcPr>
            <w:tcW w:type="dxa" w:w="6067"/>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Содержание</w:t>
            </w:r>
          </w:p>
        </w:tc>
      </w:tr>
      <w:tr>
        <w:trPr>
          <w:cantSplit w:val="true"/>
        </w:trPr>
        <w:tc>
          <w:tcPr>
            <w:tcW w:type="dxa" w:w="328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Описание</w:t>
            </w:r>
          </w:p>
        </w:tc>
        <w:tc>
          <w:tcPr>
            <w:tcW w:type="dxa" w:w="60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Загрузка прайса поставщика</w:t>
            </w:r>
          </w:p>
        </w:tc>
      </w:tr>
      <w:tr>
        <w:trPr>
          <w:cantSplit w:val="true"/>
        </w:trPr>
        <w:tc>
          <w:tcPr>
            <w:tcW w:type="dxa" w:w="328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Идентификатор прецедента</w:t>
            </w:r>
          </w:p>
        </w:tc>
        <w:tc>
          <w:tcPr>
            <w:tcW w:type="dxa" w:w="60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UC 1.1</w:t>
            </w:r>
          </w:p>
        </w:tc>
      </w:tr>
      <w:tr>
        <w:trPr>
          <w:cantSplit w:val="true"/>
        </w:trPr>
        <w:tc>
          <w:tcPr>
            <w:tcW w:type="dxa" w:w="328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Список акторов</w:t>
            </w:r>
          </w:p>
        </w:tc>
        <w:tc>
          <w:tcPr>
            <w:tcW w:type="dxa" w:w="60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РП (первичный); система (вторичный)</w:t>
            </w:r>
          </w:p>
        </w:tc>
      </w:tr>
      <w:tr>
        <w:trPr>
          <w:cantSplit w:val="true"/>
        </w:trPr>
        <w:tc>
          <w:tcPr>
            <w:tcW w:type="dxa" w:w="328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Предусловия</w:t>
            </w:r>
          </w:p>
        </w:tc>
        <w:tc>
          <w:tcPr>
            <w:tcW w:type="dxa" w:w="60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пользователь аутентифицирован; поставщик существует; роль имеет право записи</w:t>
            </w:r>
          </w:p>
        </w:tc>
      </w:tr>
      <w:tr>
        <w:trPr>
          <w:cantSplit w:val="true"/>
        </w:trPr>
        <w:tc>
          <w:tcPr>
            <w:tcW w:type="dxa" w:w="328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Действия пользователя</w:t>
            </w:r>
          </w:p>
        </w:tc>
        <w:tc>
          <w:tcPr>
            <w:tcW w:type="dxa" w:w="60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Реакция системы</w:t>
            </w:r>
          </w:p>
        </w:tc>
      </w:tr>
      <w:tr>
        <w:trPr>
          <w:cantSplit w:val="true"/>
        </w:trPr>
        <w:tc>
          <w:tcPr>
            <w:tcW w:type="dxa" w:w="328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Выбрать поставщика и файл </w:t>
            </w:r>
            <w:r>
              <w:rPr>
                <w:rFonts w:ascii="Courier New" w:hAnsi="Courier New" w:eastAsia="Courier New" w:cs="Courier New"/>
                <w:b w:val="0"/>
                <w:color w:val="000000"/>
                <w:sz w:val="22"/>
              </w:rPr>
              <w:t>.xlsx</w:t>
            </w:r>
            <w:r>
              <w:rPr>
                <w:rFonts w:ascii="Times New Roman" w:hAnsi="Times New Roman" w:eastAsia="Times New Roman" w:cs="Times New Roman"/>
                <w:b w:val="0"/>
                <w:color w:val="000000"/>
                <w:sz w:val="24"/>
              </w:rPr>
              <w:t xml:space="preserve"> или </w:t>
            </w:r>
            <w:r>
              <w:rPr>
                <w:rFonts w:ascii="Courier New" w:hAnsi="Courier New" w:eastAsia="Courier New" w:cs="Courier New"/>
                <w:b w:val="0"/>
                <w:color w:val="000000"/>
                <w:sz w:val="22"/>
              </w:rPr>
              <w:t>.xls</w:t>
            </w:r>
          </w:p>
        </w:tc>
        <w:tc>
          <w:tcPr>
            <w:tcW w:type="dxa" w:w="60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проверить формат, найти строку заголовков, нормализовать строки</w:t>
            </w:r>
          </w:p>
        </w:tc>
      </w:tr>
      <w:tr>
        <w:trPr>
          <w:cantSplit w:val="true"/>
        </w:trPr>
        <w:tc>
          <w:tcPr>
            <w:tcW w:type="dxa" w:w="328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Подтвердить загрузку</w:t>
            </w:r>
          </w:p>
        </w:tc>
        <w:tc>
          <w:tcPr>
            <w:tcW w:type="dxa" w:w="60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выполнить upsert товаров и офферов, записать историю цены, положить событие в Outbox, сохранить архив</w:t>
            </w:r>
          </w:p>
        </w:tc>
      </w:tr>
      <w:tr>
        <w:trPr>
          <w:cantSplit w:val="true"/>
        </w:trPr>
        <w:tc>
          <w:tcPr>
            <w:tcW w:type="dxa" w:w="328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Просмотреть сводку</w:t>
            </w:r>
          </w:p>
        </w:tc>
        <w:tc>
          <w:tcPr>
            <w:tcW w:type="dxa" w:w="60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показать число строк, созданных товаров, ошибок (в том числе «цена по запросу»)</w:t>
            </w:r>
          </w:p>
        </w:tc>
      </w:tr>
      <w:tr>
        <w:trPr>
          <w:cantSplit w:val="true"/>
        </w:trPr>
        <w:tc>
          <w:tcPr>
            <w:tcW w:type="dxa" w:w="328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Постусловия</w:t>
            </w:r>
          </w:p>
        </w:tc>
        <w:tc>
          <w:tcPr>
            <w:tcW w:type="dxa" w:w="60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прайс сохранён; корректные позиции доступны для подбора; оригинал в архиве</w:t>
            </w:r>
          </w:p>
        </w:tc>
      </w:tr>
      <w:tr>
        <w:trPr>
          <w:cantSplit w:val="true"/>
        </w:trPr>
        <w:tc>
          <w:tcPr>
            <w:tcW w:type="dxa" w:w="328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Включение</w:t>
            </w:r>
          </w:p>
        </w:tc>
        <w:tc>
          <w:tcPr>
            <w:tcW w:type="dxa" w:w="60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нормализация Excel (внутренний шаг)</w:t>
            </w:r>
          </w:p>
        </w:tc>
      </w:tr>
      <w:tr>
        <w:trPr>
          <w:cantSplit w:val="true"/>
        </w:trPr>
        <w:tc>
          <w:tcPr>
            <w:tcW w:type="dxa" w:w="328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Расширение</w:t>
            </w:r>
          </w:p>
        </w:tc>
        <w:tc>
          <w:tcPr>
            <w:tcW w:type="dxa" w:w="60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диагностика нераспознанной структуры; предупреждение о дублях SKU</w:t>
            </w:r>
          </w:p>
        </w:tc>
      </w:tr>
      <w:tr>
        <w:trPr>
          <w:cantSplit w:val="true"/>
        </w:trPr>
        <w:tc>
          <w:tcPr>
            <w:tcW w:type="dxa" w:w="328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Обобщение</w:t>
            </w:r>
          </w:p>
        </w:tc>
        <w:tc>
          <w:tcPr>
            <w:tcW w:type="dxa" w:w="60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t>
            </w:r>
          </w:p>
        </w:tc>
      </w:tr>
    </w:tbl>
    <w:p>
      <w:pPr>
        <w:spacing w:after="0"/>
      </w:pPr>
    </w:p>
    <w:p>
      <w:r>
        <w:rPr>
          <w:rFonts w:ascii="Times New Roman" w:hAnsi="Times New Roman" w:eastAsia="Times New Roman" w:cs="Times New Roman"/>
          <w:b w:val="0"/>
          <w:color w:val="000000"/>
          <w:sz w:val="28"/>
        </w:rPr>
        <w:t>Когда в каталоге уже есть офферы, руководитель проекта загружает перечень оборудования. На рисунке 9 это UC-02 с включением сопоставления; в таблице 13 идентификатор UC 2.1. Система ищет точный SKU, для остальных предлагает кандидатов поиска и ML, затем считает стратегии КП. Ручной override поставщика вынесен в расширение (UC 4), чтобы формальная стратегия не блокировала исключение по строке. Требование следует из БТ-2 и БТ-3; риск, который оно закрывает, это пропуск позиции тендера и выбор единственного поставщика без сравнения. Проверка: экран сопоставления, генерация четырёх стратегий и различимость итогов в разделе 6.</w:t>
      </w:r>
    </w:p>
    <w:p>
      <w:pPr>
        <w:pStyle w:val="GOSTCaption"/>
        <w:keepNext/>
        <w:jc w:val="left"/>
      </w:pPr>
      <w:r>
        <w:rPr>
          <w:rFonts w:ascii="Times New Roman" w:hAnsi="Times New Roman" w:eastAsia="Times New Roman" w:cs="Times New Roman"/>
          <w:b w:val="0"/>
          <w:color w:val="000000"/>
          <w:sz w:val="28"/>
        </w:rPr>
        <w:t>Таблица 13 – Сценарий 2. Загрузка перечня и формирование вариантов КП</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3807"/>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Поле</w:t>
            </w:r>
          </w:p>
        </w:tc>
        <w:tc>
          <w:tcPr>
            <w:tcW w:type="dxa" w:w="5547"/>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Содержание</w:t>
            </w:r>
          </w:p>
        </w:tc>
      </w:tr>
      <w:tr>
        <w:trPr>
          <w:cantSplit w:val="true"/>
        </w:trPr>
        <w:tc>
          <w:tcPr>
            <w:tcW w:type="dxa" w:w="38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Описание</w:t>
            </w:r>
          </w:p>
        </w:tc>
        <w:tc>
          <w:tcPr>
            <w:tcW w:type="dxa" w:w="55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Загрузка перечня оборудования проекта</w:t>
            </w:r>
          </w:p>
        </w:tc>
      </w:tr>
      <w:tr>
        <w:trPr>
          <w:cantSplit w:val="true"/>
        </w:trPr>
        <w:tc>
          <w:tcPr>
            <w:tcW w:type="dxa" w:w="38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Идентификатор прецедента</w:t>
            </w:r>
          </w:p>
        </w:tc>
        <w:tc>
          <w:tcPr>
            <w:tcW w:type="dxa" w:w="55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UC 2.1</w:t>
            </w:r>
          </w:p>
        </w:tc>
      </w:tr>
      <w:tr>
        <w:trPr>
          <w:cantSplit w:val="true"/>
        </w:trPr>
        <w:tc>
          <w:tcPr>
            <w:tcW w:type="dxa" w:w="38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Список акторов</w:t>
            </w:r>
          </w:p>
        </w:tc>
        <w:tc>
          <w:tcPr>
            <w:tcW w:type="dxa" w:w="55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РП; система</w:t>
            </w:r>
          </w:p>
        </w:tc>
      </w:tr>
      <w:tr>
        <w:trPr>
          <w:cantSplit w:val="true"/>
        </w:trPr>
        <w:tc>
          <w:tcPr>
            <w:tcW w:type="dxa" w:w="38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Предусловия</w:t>
            </w:r>
          </w:p>
        </w:tc>
        <w:tc>
          <w:tcPr>
            <w:tcW w:type="dxa" w:w="55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пользователь аутентифицирован; в каталоге есть офферы</w:t>
            </w:r>
          </w:p>
        </w:tc>
      </w:tr>
      <w:tr>
        <w:trPr>
          <w:cantSplit w:val="true"/>
        </w:trPr>
        <w:tc>
          <w:tcPr>
            <w:tcW w:type="dxa" w:w="38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Действия пользователя</w:t>
            </w:r>
          </w:p>
        </w:tc>
        <w:tc>
          <w:tcPr>
            <w:tcW w:type="dxa" w:w="55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Реакция системы</w:t>
            </w:r>
          </w:p>
        </w:tc>
      </w:tr>
      <w:tr>
        <w:trPr>
          <w:cantSplit w:val="true"/>
        </w:trPr>
        <w:tc>
          <w:tcPr>
            <w:tcW w:type="dxa" w:w="38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Указать проект / название спецификации и загрузить Excel</w:t>
            </w:r>
          </w:p>
        </w:tc>
        <w:tc>
          <w:tcPr>
            <w:tcW w:type="dxa" w:w="55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создать спецификацию, сохранить строки</w:t>
            </w:r>
          </w:p>
        </w:tc>
      </w:tr>
      <w:tr>
        <w:trPr>
          <w:cantSplit w:val="true"/>
        </w:trPr>
        <w:tc>
          <w:tcPr>
            <w:tcW w:type="dxa" w:w="38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Просмотреть сопоставление</w:t>
            </w:r>
          </w:p>
        </w:tc>
        <w:tc>
          <w:tcPr>
            <w:tcW w:type="dxa" w:w="55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точный SKU; для остальных — кандидаты поиска и ML; показать вероятность</w:t>
            </w:r>
          </w:p>
        </w:tc>
      </w:tr>
      <w:tr>
        <w:trPr>
          <w:cantSplit w:val="true"/>
        </w:trPr>
        <w:tc>
          <w:tcPr>
            <w:tcW w:type="dxa" w:w="38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Подтвердить или поправить товар в строке</w:t>
            </w:r>
          </w:p>
        </w:tc>
        <w:tc>
          <w:tcPr>
            <w:tcW w:type="dxa" w:w="55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сохранить ProductId либо оставить строку несопоставленной</w:t>
            </w:r>
          </w:p>
        </w:tc>
      </w:tr>
      <w:tr>
        <w:trPr>
          <w:cantSplit w:val="true"/>
        </w:trPr>
        <w:tc>
          <w:tcPr>
            <w:tcW w:type="dxa" w:w="38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Запросить варианты КП</w:t>
            </w:r>
          </w:p>
        </w:tc>
        <w:tc>
          <w:tcPr>
            <w:tcW w:type="dxa" w:w="55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посчитать стратегии цены, срока, баланса (и актуальности)</w:t>
            </w:r>
          </w:p>
        </w:tc>
      </w:tr>
      <w:tr>
        <w:trPr>
          <w:cantSplit w:val="true"/>
        </w:trPr>
        <w:tc>
          <w:tcPr>
            <w:tcW w:type="dxa" w:w="38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Постусловия</w:t>
            </w:r>
          </w:p>
        </w:tc>
        <w:tc>
          <w:tcPr>
            <w:tcW w:type="dxa" w:w="55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спецификация сохранена; варианты КП доступны для сравнения</w:t>
            </w:r>
          </w:p>
        </w:tc>
      </w:tr>
      <w:tr>
        <w:trPr>
          <w:cantSplit w:val="true"/>
        </w:trPr>
        <w:tc>
          <w:tcPr>
            <w:tcW w:type="dxa" w:w="38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Включение</w:t>
            </w:r>
          </w:p>
        </w:tc>
        <w:tc>
          <w:tcPr>
            <w:tcW w:type="dxa" w:w="55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сопоставление строк</w:t>
            </w:r>
          </w:p>
        </w:tc>
      </w:tr>
      <w:tr>
        <w:trPr>
          <w:cantSplit w:val="true"/>
        </w:trPr>
        <w:tc>
          <w:tcPr>
            <w:tcW w:type="dxa" w:w="38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Расширение</w:t>
            </w:r>
          </w:p>
        </w:tc>
        <w:tc>
          <w:tcPr>
            <w:tcW w:type="dxa" w:w="55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ручной override поставщика (UC 4)</w:t>
            </w:r>
          </w:p>
        </w:tc>
      </w:tr>
      <w:tr>
        <w:trPr>
          <w:cantSplit w:val="true"/>
        </w:trPr>
        <w:tc>
          <w:tcPr>
            <w:tcW w:type="dxa" w:w="380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Обобщение</w:t>
            </w:r>
          </w:p>
        </w:tc>
        <w:tc>
          <w:tcPr>
            <w:tcW w:type="dxa" w:w="554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t>
            </w:r>
          </w:p>
        </w:tc>
      </w:tr>
    </w:tbl>
    <w:p>
      <w:pPr>
        <w:spacing w:after="0"/>
      </w:pPr>
    </w:p>
    <w:p>
      <w:r>
        <w:rPr>
          <w:rFonts w:ascii="Times New Roman" w:hAnsi="Times New Roman" w:eastAsia="Times New Roman" w:cs="Times New Roman"/>
          <w:b w:val="0"/>
          <w:color w:val="000000"/>
          <w:sz w:val="28"/>
        </w:rPr>
        <w:t>Сформированные варианты ещё не фиксируют поставщика для исполнения. Прецедент выбора на рисунке 9 обозначен UC-04, в таблице 14 записан как UC 4.1. РП сравнивает итоги стратегий и при необходимости указывает поставщика вручную; выбранная стратегия запоминается для согласования и заказа. Расширение сценария: экспорт Excel и PDF, чтобы вариант можно было отдать смежным ролям вне SPA. Требование следует из БТ-3; без запоминания выбранного правила коммерческий блок получил бы другую себестоимость, чем РП видел на экране. Проверка: генератор КП и последующее согласование на той же стратегии.</w:t>
      </w:r>
    </w:p>
    <w:p>
      <w:pPr>
        <w:pStyle w:val="GOSTCaption"/>
        <w:keepNext/>
        <w:jc w:val="left"/>
      </w:pPr>
      <w:r>
        <w:rPr>
          <w:rFonts w:ascii="Times New Roman" w:hAnsi="Times New Roman" w:eastAsia="Times New Roman" w:cs="Times New Roman"/>
          <w:b w:val="0"/>
          <w:color w:val="000000"/>
          <w:sz w:val="28"/>
        </w:rPr>
        <w:t>Таблица 14 – Сценарий 3. Выбор варианта КП</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4258"/>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Поле</w:t>
            </w:r>
          </w:p>
        </w:tc>
        <w:tc>
          <w:tcPr>
            <w:tcW w:type="dxa" w:w="5096"/>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Содержание</w:t>
            </w:r>
          </w:p>
        </w:tc>
      </w:tr>
      <w:tr>
        <w:trPr>
          <w:cantSplit w:val="true"/>
        </w:trPr>
        <w:tc>
          <w:tcPr>
            <w:tcW w:type="dxa" w:w="425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Описание</w:t>
            </w:r>
          </w:p>
        </w:tc>
        <w:tc>
          <w:tcPr>
            <w:tcW w:type="dxa" w:w="509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Выбор варианта КП и фиксация поставщика</w:t>
            </w:r>
          </w:p>
        </w:tc>
      </w:tr>
      <w:tr>
        <w:trPr>
          <w:cantSplit w:val="true"/>
        </w:trPr>
        <w:tc>
          <w:tcPr>
            <w:tcW w:type="dxa" w:w="425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Идентификатор прецедента</w:t>
            </w:r>
          </w:p>
        </w:tc>
        <w:tc>
          <w:tcPr>
            <w:tcW w:type="dxa" w:w="509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UC 4.1</w:t>
            </w:r>
          </w:p>
        </w:tc>
      </w:tr>
      <w:tr>
        <w:trPr>
          <w:cantSplit w:val="true"/>
        </w:trPr>
        <w:tc>
          <w:tcPr>
            <w:tcW w:type="dxa" w:w="425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Список акторов</w:t>
            </w:r>
          </w:p>
        </w:tc>
        <w:tc>
          <w:tcPr>
            <w:tcW w:type="dxa" w:w="509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РП; система</w:t>
            </w:r>
          </w:p>
        </w:tc>
      </w:tr>
      <w:tr>
        <w:trPr>
          <w:cantSplit w:val="true"/>
        </w:trPr>
        <w:tc>
          <w:tcPr>
            <w:tcW w:type="dxa" w:w="425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Предусловия</w:t>
            </w:r>
          </w:p>
        </w:tc>
        <w:tc>
          <w:tcPr>
            <w:tcW w:type="dxa" w:w="509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варианты КП сформированы</w:t>
            </w:r>
          </w:p>
        </w:tc>
      </w:tr>
      <w:tr>
        <w:trPr>
          <w:cantSplit w:val="true"/>
        </w:trPr>
        <w:tc>
          <w:tcPr>
            <w:tcW w:type="dxa" w:w="425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Действия пользователя</w:t>
            </w:r>
          </w:p>
        </w:tc>
        <w:tc>
          <w:tcPr>
            <w:tcW w:type="dxa" w:w="509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Реакция системы</w:t>
            </w:r>
          </w:p>
        </w:tc>
      </w:tr>
      <w:tr>
        <w:trPr>
          <w:cantSplit w:val="true"/>
        </w:trPr>
        <w:tc>
          <w:tcPr>
            <w:tcW w:type="dxa" w:w="425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Сравнить итоги стратегий и причины по строкам</w:t>
            </w:r>
          </w:p>
        </w:tc>
        <w:tc>
          <w:tcPr>
            <w:tcW w:type="dxa" w:w="509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показать цены без НДС и с НДС, срок, остаток, причину</w:t>
            </w:r>
          </w:p>
        </w:tc>
      </w:tr>
      <w:tr>
        <w:trPr>
          <w:cantSplit w:val="true"/>
        </w:trPr>
        <w:tc>
          <w:tcPr>
            <w:tcW w:type="dxa" w:w="425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При необходимости указать поставщика в строке</w:t>
            </w:r>
          </w:p>
        </w:tc>
        <w:tc>
          <w:tcPr>
            <w:tcW w:type="dxa" w:w="509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применить override и пересчитать строку</w:t>
            </w:r>
          </w:p>
        </w:tc>
      </w:tr>
      <w:tr>
        <w:trPr>
          <w:cantSplit w:val="true"/>
        </w:trPr>
        <w:tc>
          <w:tcPr>
            <w:tcW w:type="dxa" w:w="425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Выбрать стратегию для исполнения</w:t>
            </w:r>
          </w:p>
        </w:tc>
        <w:tc>
          <w:tcPr>
            <w:tcW w:type="dxa" w:w="509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запомнить выбранное правило для согласования и заказа</w:t>
            </w:r>
          </w:p>
        </w:tc>
      </w:tr>
      <w:tr>
        <w:trPr>
          <w:cantSplit w:val="true"/>
        </w:trPr>
        <w:tc>
          <w:tcPr>
            <w:tcW w:type="dxa" w:w="425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Постусловия</w:t>
            </w:r>
          </w:p>
        </w:tc>
        <w:tc>
          <w:tcPr>
            <w:tcW w:type="dxa" w:w="509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выбранная стратегия известна; строки с override устойчивы к пересчёту</w:t>
            </w:r>
          </w:p>
        </w:tc>
      </w:tr>
      <w:tr>
        <w:trPr>
          <w:cantSplit w:val="true"/>
        </w:trPr>
        <w:tc>
          <w:tcPr>
            <w:tcW w:type="dxa" w:w="425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Включение</w:t>
            </w:r>
          </w:p>
        </w:tc>
        <w:tc>
          <w:tcPr>
            <w:tcW w:type="dxa" w:w="509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t>
            </w:r>
          </w:p>
        </w:tc>
      </w:tr>
      <w:tr>
        <w:trPr>
          <w:cantSplit w:val="true"/>
        </w:trPr>
        <w:tc>
          <w:tcPr>
            <w:tcW w:type="dxa" w:w="425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Расширение</w:t>
            </w:r>
          </w:p>
        </w:tc>
        <w:tc>
          <w:tcPr>
            <w:tcW w:type="dxa" w:w="509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экспорт Excel/PDF</w:t>
            </w:r>
          </w:p>
        </w:tc>
      </w:tr>
      <w:tr>
        <w:trPr>
          <w:cantSplit w:val="true"/>
        </w:trPr>
        <w:tc>
          <w:tcPr>
            <w:tcW w:type="dxa" w:w="425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Обобщение</w:t>
            </w:r>
          </w:p>
        </w:tc>
        <w:tc>
          <w:tcPr>
            <w:tcW w:type="dxa" w:w="509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t>
            </w:r>
          </w:p>
        </w:tc>
      </w:tr>
    </w:tbl>
    <w:p>
      <w:pPr>
        <w:spacing w:after="0"/>
      </w:pPr>
    </w:p>
    <w:p>
      <w:r>
        <w:rPr>
          <w:rFonts w:ascii="Times New Roman" w:hAnsi="Times New Roman" w:eastAsia="Times New Roman" w:cs="Times New Roman"/>
          <w:b w:val="0"/>
          <w:color w:val="000000"/>
          <w:sz w:val="28"/>
        </w:rPr>
        <w:t xml:space="preserve">Согласование связывает руководителя проекта и коммерческий блок. На рисунке 9 это пара UC-05 и UC-06; таблица 15 описывает сценарий UC 6.1 и включает передачу в КБ (UC 5.1) и создание счёта (UC 7.1). РП задаёт наценку, КБ утверждает либо отклоняет с комментарием; при утверждении появляется счёт NOC. Расширение: возврат на доработку с сохранением комментария, чтобы отклонение не превращалось в устное «переделай». Требование следует из БТ-4; риск, который оно закрывает, это статусы в почте и потерянный комментарий. Проверка: решение </w:t>
      </w:r>
      <w:r>
        <w:rPr>
          <w:rFonts w:ascii="Courier New" w:hAnsi="Courier New" w:eastAsia="Courier New" w:cs="Courier New"/>
          <w:b w:val="0"/>
          <w:color w:val="000000"/>
          <w:sz w:val="26"/>
        </w:rPr>
        <w:t>approved=true</w:t>
      </w:r>
      <w:r>
        <w:rPr>
          <w:rFonts w:ascii="Times New Roman" w:hAnsi="Times New Roman" w:eastAsia="Times New Roman" w:cs="Times New Roman"/>
          <w:b w:val="0"/>
          <w:color w:val="000000"/>
          <w:sz w:val="28"/>
        </w:rPr>
        <w:t>, автосчёт и идемпотентный повторный POST в разделе 6.</w:t>
      </w:r>
    </w:p>
    <w:p>
      <w:pPr>
        <w:pStyle w:val="GOSTCaption"/>
        <w:keepNext/>
        <w:jc w:val="left"/>
      </w:pPr>
      <w:r>
        <w:rPr>
          <w:rFonts w:ascii="Times New Roman" w:hAnsi="Times New Roman" w:eastAsia="Times New Roman" w:cs="Times New Roman"/>
          <w:b w:val="0"/>
          <w:color w:val="000000"/>
          <w:sz w:val="28"/>
        </w:rPr>
        <w:t>Таблица 15 – Сценарий 4. Согласование КП коммерческим блоком</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3777"/>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Поле</w:t>
            </w:r>
          </w:p>
        </w:tc>
        <w:tc>
          <w:tcPr>
            <w:tcW w:type="dxa" w:w="5578"/>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Содержание</w:t>
            </w:r>
          </w:p>
        </w:tc>
      </w:tr>
      <w:tr>
        <w:trPr>
          <w:cantSplit w:val="true"/>
        </w:trPr>
        <w:tc>
          <w:tcPr>
            <w:tcW w:type="dxa" w:w="37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Описание</w:t>
            </w:r>
          </w:p>
        </w:tc>
        <w:tc>
          <w:tcPr>
            <w:tcW w:type="dxa" w:w="55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Согласование КП</w:t>
            </w:r>
          </w:p>
        </w:tc>
      </w:tr>
      <w:tr>
        <w:trPr>
          <w:cantSplit w:val="true"/>
        </w:trPr>
        <w:tc>
          <w:tcPr>
            <w:tcW w:type="dxa" w:w="37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Идентификатор прецедента</w:t>
            </w:r>
          </w:p>
        </w:tc>
        <w:tc>
          <w:tcPr>
            <w:tcW w:type="dxa" w:w="55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UC 6.1</w:t>
            </w:r>
          </w:p>
        </w:tc>
      </w:tr>
      <w:tr>
        <w:trPr>
          <w:cantSplit w:val="true"/>
        </w:trPr>
        <w:tc>
          <w:tcPr>
            <w:tcW w:type="dxa" w:w="37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Список акторов</w:t>
            </w:r>
          </w:p>
        </w:tc>
        <w:tc>
          <w:tcPr>
            <w:tcW w:type="dxa" w:w="55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РП (инициация); КБ (решение); система</w:t>
            </w:r>
          </w:p>
        </w:tc>
      </w:tr>
      <w:tr>
        <w:trPr>
          <w:cantSplit w:val="true"/>
        </w:trPr>
        <w:tc>
          <w:tcPr>
            <w:tcW w:type="dxa" w:w="37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Предусловия</w:t>
            </w:r>
          </w:p>
        </w:tc>
        <w:tc>
          <w:tcPr>
            <w:tcW w:type="dxa" w:w="55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выбран вариант КП; пользователь КБ имеет право </w:t>
            </w:r>
            <w:r>
              <w:rPr>
                <w:rFonts w:ascii="Courier New" w:hAnsi="Courier New" w:eastAsia="Courier New" w:cs="Courier New"/>
                <w:b w:val="0"/>
                <w:color w:val="000000"/>
                <w:sz w:val="22"/>
              </w:rPr>
              <w:t>approve</w:t>
            </w:r>
          </w:p>
        </w:tc>
      </w:tr>
      <w:tr>
        <w:trPr>
          <w:cantSplit w:val="true"/>
        </w:trPr>
        <w:tc>
          <w:tcPr>
            <w:tcW w:type="dxa" w:w="37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Действия пользователя</w:t>
            </w:r>
          </w:p>
        </w:tc>
        <w:tc>
          <w:tcPr>
            <w:tcW w:type="dxa" w:w="55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Реакция системы</w:t>
            </w:r>
          </w:p>
        </w:tc>
      </w:tr>
      <w:tr>
        <w:trPr>
          <w:cantSplit w:val="true"/>
        </w:trPr>
        <w:tc>
          <w:tcPr>
            <w:tcW w:type="dxa" w:w="37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РП задаёт процент наценки и передаёт в КБ</w:t>
            </w:r>
          </w:p>
        </w:tc>
        <w:tc>
          <w:tcPr>
            <w:tcW w:type="dxa" w:w="55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рассчитать цену продажи и маржу, сменить статус, уведомить КБ</w:t>
            </w:r>
          </w:p>
        </w:tc>
      </w:tr>
      <w:tr>
        <w:trPr>
          <w:cantSplit w:val="true"/>
        </w:trPr>
        <w:tc>
          <w:tcPr>
            <w:tcW w:type="dxa" w:w="37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КБ проверяет сводку и утверждает либо отклоняет с комментарием</w:t>
            </w:r>
          </w:p>
        </w:tc>
        <w:tc>
          <w:tcPr>
            <w:tcW w:type="dxa" w:w="55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сохранить решение; при утверждении создать счёт NOC</w:t>
            </w:r>
          </w:p>
        </w:tc>
      </w:tr>
      <w:tr>
        <w:trPr>
          <w:cantSplit w:val="true"/>
        </w:trPr>
        <w:tc>
          <w:tcPr>
            <w:tcW w:type="dxa" w:w="37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При отклонении РП возвращает документ на доработку</w:t>
            </w:r>
          </w:p>
        </w:tc>
        <w:tc>
          <w:tcPr>
            <w:tcW w:type="dxa" w:w="55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статус позволяет повторную передачу; комментарий сохраняется</w:t>
            </w:r>
          </w:p>
        </w:tc>
      </w:tr>
      <w:tr>
        <w:trPr>
          <w:cantSplit w:val="true"/>
        </w:trPr>
        <w:tc>
          <w:tcPr>
            <w:tcW w:type="dxa" w:w="37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Постусловия</w:t>
            </w:r>
          </w:p>
        </w:tc>
        <w:tc>
          <w:tcPr>
            <w:tcW w:type="dxa" w:w="55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документ согласован либо отклонён; при согласовании существует счёт</w:t>
            </w:r>
          </w:p>
        </w:tc>
      </w:tr>
      <w:tr>
        <w:trPr>
          <w:cantSplit w:val="true"/>
        </w:trPr>
        <w:tc>
          <w:tcPr>
            <w:tcW w:type="dxa" w:w="37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Включение</w:t>
            </w:r>
          </w:p>
        </w:tc>
        <w:tc>
          <w:tcPr>
            <w:tcW w:type="dxa" w:w="55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UC 5.1 (передача в КБ); UC 7.1 (создание счёта)</w:t>
            </w:r>
          </w:p>
        </w:tc>
      </w:tr>
      <w:tr>
        <w:trPr>
          <w:cantSplit w:val="true"/>
        </w:trPr>
        <w:tc>
          <w:tcPr>
            <w:tcW w:type="dxa" w:w="37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Расширение</w:t>
            </w:r>
          </w:p>
        </w:tc>
        <w:tc>
          <w:tcPr>
            <w:tcW w:type="dxa" w:w="55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возврат на доработку</w:t>
            </w:r>
          </w:p>
        </w:tc>
      </w:tr>
      <w:tr>
        <w:trPr>
          <w:cantSplit w:val="true"/>
        </w:trPr>
        <w:tc>
          <w:tcPr>
            <w:tcW w:type="dxa" w:w="37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Обобщение</w:t>
            </w:r>
          </w:p>
        </w:tc>
        <w:tc>
          <w:tcPr>
            <w:tcW w:type="dxa" w:w="55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t>
            </w:r>
          </w:p>
        </w:tc>
      </w:tr>
    </w:tbl>
    <w:p>
      <w:pPr>
        <w:spacing w:after="0"/>
      </w:pPr>
    </w:p>
    <w:p>
      <w:r>
        <w:rPr>
          <w:rFonts w:ascii="Times New Roman" w:hAnsi="Times New Roman" w:eastAsia="Times New Roman" w:cs="Times New Roman"/>
          <w:b w:val="0"/>
          <w:color w:val="000000"/>
          <w:sz w:val="28"/>
        </w:rPr>
        <w:t>Приёмка на складе завершает контур поставки. На рисунке 9 это UC-09, в таблице 16 идентификатор UC 9.1. Кроме кладовщика участвуют система и шлюзы 1С/WMS. Документ проводится один раз: повтор запрещён, включение вызывает шлюзы и продвигает связанный счёт. Требование следует из БТ-6; риск, который оно закрывает, это расхождение учёта и факта прихода. Проверка: экран склада, запрет повторного проведения и ответ моков по контракту; живая 1С в приёмке учебной версии не участвует.</w:t>
      </w:r>
    </w:p>
    <w:p>
      <w:pPr>
        <w:pStyle w:val="GOSTCaption"/>
        <w:keepNext/>
        <w:jc w:val="left"/>
      </w:pPr>
      <w:r>
        <w:rPr>
          <w:rFonts w:ascii="Times New Roman" w:hAnsi="Times New Roman" w:eastAsia="Times New Roman" w:cs="Times New Roman"/>
          <w:b w:val="0"/>
          <w:color w:val="000000"/>
          <w:sz w:val="28"/>
        </w:rPr>
        <w:t>Таблица 16 – Сценарий 5. Приёмка на складе</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4013"/>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Поле</w:t>
            </w:r>
          </w:p>
        </w:tc>
        <w:tc>
          <w:tcPr>
            <w:tcW w:type="dxa" w:w="5341"/>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Содержание</w:t>
            </w:r>
          </w:p>
        </w:tc>
      </w:tr>
      <w:tr>
        <w:trPr>
          <w:cantSplit w:val="true"/>
        </w:trPr>
        <w:tc>
          <w:tcPr>
            <w:tcW w:type="dxa" w:w="401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Описание</w:t>
            </w:r>
          </w:p>
        </w:tc>
        <w:tc>
          <w:tcPr>
            <w:tcW w:type="dxa" w:w="534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Приёмка на складе</w:t>
            </w:r>
          </w:p>
        </w:tc>
      </w:tr>
      <w:tr>
        <w:trPr>
          <w:cantSplit w:val="true"/>
        </w:trPr>
        <w:tc>
          <w:tcPr>
            <w:tcW w:type="dxa" w:w="401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Идентификатор прецедента</w:t>
            </w:r>
          </w:p>
        </w:tc>
        <w:tc>
          <w:tcPr>
            <w:tcW w:type="dxa" w:w="534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UC 9.1</w:t>
            </w:r>
          </w:p>
        </w:tc>
      </w:tr>
      <w:tr>
        <w:trPr>
          <w:cantSplit w:val="true"/>
        </w:trPr>
        <w:tc>
          <w:tcPr>
            <w:tcW w:type="dxa" w:w="401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Список акторов</w:t>
            </w:r>
          </w:p>
        </w:tc>
        <w:tc>
          <w:tcPr>
            <w:tcW w:type="dxa" w:w="534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склад; система; шлюзы 1С/WMS</w:t>
            </w:r>
          </w:p>
        </w:tc>
      </w:tr>
      <w:tr>
        <w:trPr>
          <w:cantSplit w:val="true"/>
        </w:trPr>
        <w:tc>
          <w:tcPr>
            <w:tcW w:type="dxa" w:w="401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Предусловия</w:t>
            </w:r>
          </w:p>
        </w:tc>
        <w:tc>
          <w:tcPr>
            <w:tcW w:type="dxa" w:w="534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существует заказ; пользователь имеет право </w:t>
            </w:r>
            <w:r>
              <w:rPr>
                <w:rFonts w:ascii="Courier New" w:hAnsi="Courier New" w:eastAsia="Courier New" w:cs="Courier New"/>
                <w:b w:val="0"/>
                <w:color w:val="000000"/>
                <w:sz w:val="22"/>
              </w:rPr>
              <w:t>receive</w:t>
            </w:r>
          </w:p>
        </w:tc>
      </w:tr>
      <w:tr>
        <w:trPr>
          <w:cantSplit w:val="true"/>
        </w:trPr>
        <w:tc>
          <w:tcPr>
            <w:tcW w:type="dxa" w:w="401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Действия пользователя</w:t>
            </w:r>
          </w:p>
        </w:tc>
        <w:tc>
          <w:tcPr>
            <w:tcW w:type="dxa" w:w="534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Реакция системы</w:t>
            </w:r>
          </w:p>
        </w:tc>
      </w:tr>
      <w:tr>
        <w:trPr>
          <w:cantSplit w:val="true"/>
        </w:trPr>
        <w:tc>
          <w:tcPr>
            <w:tcW w:type="dxa" w:w="401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Открыть приёмку по заказу</w:t>
            </w:r>
          </w:p>
        </w:tc>
        <w:tc>
          <w:tcPr>
            <w:tcW w:type="dxa" w:w="534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скопировать строки заказа, показать заказанное количество</w:t>
            </w:r>
          </w:p>
        </w:tc>
      </w:tr>
      <w:tr>
        <w:trPr>
          <w:cantSplit w:val="true"/>
        </w:trPr>
        <w:tc>
          <w:tcPr>
            <w:tcW w:type="dxa" w:w="401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Ввести принятое количество по строкам</w:t>
            </w:r>
          </w:p>
        </w:tc>
        <w:tc>
          <w:tcPr>
            <w:tcW w:type="dxa" w:w="534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рассчитать расхождение</w:t>
            </w:r>
          </w:p>
        </w:tc>
      </w:tr>
      <w:tr>
        <w:trPr>
          <w:cantSplit w:val="true"/>
        </w:trPr>
        <w:tc>
          <w:tcPr>
            <w:tcW w:type="dxa" w:w="401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Провести документ</w:t>
            </w:r>
          </w:p>
        </w:tc>
        <w:tc>
          <w:tcPr>
            <w:tcW w:type="dxa" w:w="534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запретить повтор; вызвать шлюзы; записать ссылки; продвинуть связанный счёт</w:t>
            </w:r>
          </w:p>
        </w:tc>
      </w:tr>
      <w:tr>
        <w:trPr>
          <w:cantSplit w:val="true"/>
        </w:trPr>
        <w:tc>
          <w:tcPr>
            <w:tcW w:type="dxa" w:w="401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Постусловия</w:t>
            </w:r>
          </w:p>
        </w:tc>
        <w:tc>
          <w:tcPr>
            <w:tcW w:type="dxa" w:w="534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приёмка проведена один раз; счёт доведён до стадий склада/1С в рамках допустимого автомата</w:t>
            </w:r>
          </w:p>
        </w:tc>
      </w:tr>
      <w:tr>
        <w:trPr>
          <w:cantSplit w:val="true"/>
        </w:trPr>
        <w:tc>
          <w:tcPr>
            <w:tcW w:type="dxa" w:w="401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Включение</w:t>
            </w:r>
          </w:p>
        </w:tc>
        <w:tc>
          <w:tcPr>
            <w:tcW w:type="dxa" w:w="534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вызов шлюзов</w:t>
            </w:r>
          </w:p>
        </w:tc>
      </w:tr>
      <w:tr>
        <w:trPr>
          <w:cantSplit w:val="true"/>
        </w:trPr>
        <w:tc>
          <w:tcPr>
            <w:tcW w:type="dxa" w:w="401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Расширение</w:t>
            </w:r>
          </w:p>
        </w:tc>
        <w:tc>
          <w:tcPr>
            <w:tcW w:type="dxa" w:w="534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t>
            </w:r>
          </w:p>
        </w:tc>
      </w:tr>
      <w:tr>
        <w:trPr>
          <w:cantSplit w:val="true"/>
        </w:trPr>
        <w:tc>
          <w:tcPr>
            <w:tcW w:type="dxa" w:w="401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Обобщение</w:t>
            </w:r>
          </w:p>
        </w:tc>
        <w:tc>
          <w:tcPr>
            <w:tcW w:type="dxa" w:w="534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t>
            </w:r>
          </w:p>
        </w:tc>
      </w:tr>
    </w:tbl>
    <w:p>
      <w:pPr>
        <w:spacing w:after="0"/>
      </w:pPr>
    </w:p>
    <w:p>
      <w:r>
        <w:rPr>
          <w:rFonts w:ascii="Times New Roman" w:hAnsi="Times New Roman" w:eastAsia="Times New Roman" w:cs="Times New Roman"/>
          <w:b w:val="0"/>
          <w:color w:val="000000"/>
          <w:sz w:val="28"/>
        </w:rPr>
        <w:t xml:space="preserve">Счёт NOC создаётся не отдельным кругом согласователей, а автоматически при утверждении КП. На рисунке 9 это UC-07, в таблице 17 идентификатор UC 7.1. Первичный актор автосоздания: система; повторный идемпотентный POST возвращает существующий счёт. В ТЗ предполагался круг согласователей внешнего NOC; в концепции он заменён одной стадией «Согласован», потому что внешнего API NOC нет и моделировать чужой маршрут было бы декорацией. Требование следует из БТ-5; проверка: номер </w:t>
      </w:r>
      <w:r>
        <w:rPr>
          <w:rFonts w:ascii="Courier New" w:hAnsi="Courier New" w:eastAsia="Courier New" w:cs="Courier New"/>
          <w:b w:val="0"/>
          <w:color w:val="000000"/>
          <w:sz w:val="26"/>
        </w:rPr>
        <w:t>NOC-2026-001</w:t>
      </w:r>
      <w:r>
        <w:rPr>
          <w:rFonts w:ascii="Times New Roman" w:hAnsi="Times New Roman" w:eastAsia="Times New Roman" w:cs="Times New Roman"/>
          <w:b w:val="0"/>
          <w:color w:val="000000"/>
          <w:sz w:val="28"/>
        </w:rPr>
        <w:t xml:space="preserve"> и тот же идентификатор при повторном POST.</w:t>
      </w:r>
    </w:p>
    <w:p>
      <w:pPr>
        <w:pStyle w:val="GOSTCaption"/>
        <w:keepNext/>
        <w:jc w:val="left"/>
      </w:pPr>
      <w:r>
        <w:rPr>
          <w:rFonts w:ascii="Times New Roman" w:hAnsi="Times New Roman" w:eastAsia="Times New Roman" w:cs="Times New Roman"/>
          <w:b w:val="0"/>
          <w:color w:val="000000"/>
          <w:sz w:val="28"/>
        </w:rPr>
        <w:t>Таблица 17 – Сценарий 6. Создание счёта NOC</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3765"/>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Поле</w:t>
            </w:r>
          </w:p>
        </w:tc>
        <w:tc>
          <w:tcPr>
            <w:tcW w:type="dxa" w:w="5590"/>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Содержание</w:t>
            </w:r>
          </w:p>
        </w:tc>
      </w:tr>
      <w:tr>
        <w:trPr>
          <w:cantSplit w:val="true"/>
        </w:trPr>
        <w:tc>
          <w:tcPr>
            <w:tcW w:type="dxa" w:w="376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Описание</w:t>
            </w:r>
          </w:p>
        </w:tc>
        <w:tc>
          <w:tcPr>
            <w:tcW w:type="dxa" w:w="559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Создание записи в NOC</w:t>
            </w:r>
          </w:p>
        </w:tc>
      </w:tr>
      <w:tr>
        <w:trPr>
          <w:cantSplit w:val="true"/>
        </w:trPr>
        <w:tc>
          <w:tcPr>
            <w:tcW w:type="dxa" w:w="376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Идентификатор прецедента</w:t>
            </w:r>
          </w:p>
        </w:tc>
        <w:tc>
          <w:tcPr>
            <w:tcW w:type="dxa" w:w="559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UC 7.1</w:t>
            </w:r>
          </w:p>
        </w:tc>
      </w:tr>
      <w:tr>
        <w:trPr>
          <w:cantSplit w:val="true"/>
        </w:trPr>
        <w:tc>
          <w:tcPr>
            <w:tcW w:type="dxa" w:w="376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Список акторов</w:t>
            </w:r>
          </w:p>
        </w:tc>
        <w:tc>
          <w:tcPr>
            <w:tcW w:type="dxa" w:w="559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система (первичный для автосоздания); РП (ручной идемпотентный POST)</w:t>
            </w:r>
          </w:p>
        </w:tc>
      </w:tr>
      <w:tr>
        <w:trPr>
          <w:cantSplit w:val="true"/>
        </w:trPr>
        <w:tc>
          <w:tcPr>
            <w:tcW w:type="dxa" w:w="376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Предусловия</w:t>
            </w:r>
          </w:p>
        </w:tc>
        <w:tc>
          <w:tcPr>
            <w:tcW w:type="dxa" w:w="559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КП согласовано КБ</w:t>
            </w:r>
          </w:p>
        </w:tc>
      </w:tr>
      <w:tr>
        <w:trPr>
          <w:cantSplit w:val="true"/>
        </w:trPr>
        <w:tc>
          <w:tcPr>
            <w:tcW w:type="dxa" w:w="376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Действия пользователя</w:t>
            </w:r>
          </w:p>
        </w:tc>
        <w:tc>
          <w:tcPr>
            <w:tcW w:type="dxa" w:w="559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Реакция системы</w:t>
            </w:r>
          </w:p>
        </w:tc>
      </w:tr>
      <w:tr>
        <w:trPr>
          <w:cantSplit w:val="true"/>
        </w:trPr>
        <w:tc>
          <w:tcPr>
            <w:tcW w:type="dxa" w:w="376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КБ утверждает КП</w:t>
            </w:r>
          </w:p>
        </w:tc>
        <w:tc>
          <w:tcPr>
            <w:tcW w:type="dxa" w:w="559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создать счёт с автором «Система (авто)», скопировать строки-снимки</w:t>
            </w:r>
          </w:p>
        </w:tc>
      </w:tr>
      <w:tr>
        <w:trPr>
          <w:cantSplit w:val="true"/>
        </w:trPr>
        <w:tc>
          <w:tcPr>
            <w:tcW w:type="dxa" w:w="376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Повторно запросить создание счёта по тому же согласованию</w:t>
            </w:r>
          </w:p>
        </w:tc>
        <w:tc>
          <w:tcPr>
            <w:tcW w:type="dxa" w:w="559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вернуть существующий счёт, не создавая второго</w:t>
            </w:r>
          </w:p>
        </w:tc>
      </w:tr>
      <w:tr>
        <w:trPr>
          <w:cantSplit w:val="true"/>
        </w:trPr>
        <w:tc>
          <w:tcPr>
            <w:tcW w:type="dxa" w:w="376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Постусловия</w:t>
            </w:r>
          </w:p>
        </w:tc>
        <w:tc>
          <w:tcPr>
            <w:tcW w:type="dxa" w:w="559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ровно один счёт на согласование; позиции зафиксированы</w:t>
            </w:r>
          </w:p>
        </w:tc>
      </w:tr>
      <w:tr>
        <w:trPr>
          <w:cantSplit w:val="true"/>
        </w:trPr>
        <w:tc>
          <w:tcPr>
            <w:tcW w:type="dxa" w:w="376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Включение</w:t>
            </w:r>
          </w:p>
        </w:tc>
        <w:tc>
          <w:tcPr>
            <w:tcW w:type="dxa" w:w="559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t>
            </w:r>
          </w:p>
        </w:tc>
      </w:tr>
      <w:tr>
        <w:trPr>
          <w:cantSplit w:val="true"/>
        </w:trPr>
        <w:tc>
          <w:tcPr>
            <w:tcW w:type="dxa" w:w="376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Расширение</w:t>
            </w:r>
          </w:p>
        </w:tc>
        <w:tc>
          <w:tcPr>
            <w:tcW w:type="dxa" w:w="559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t>
            </w:r>
          </w:p>
        </w:tc>
      </w:tr>
      <w:tr>
        <w:trPr>
          <w:cantSplit w:val="true"/>
        </w:trPr>
        <w:tc>
          <w:tcPr>
            <w:tcW w:type="dxa" w:w="376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Обобщение</w:t>
            </w:r>
          </w:p>
        </w:tc>
        <w:tc>
          <w:tcPr>
            <w:tcW w:type="dxa" w:w="559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 ТЗ предполагался круг согласователей внешнего NOC; в концепции круг заменён одной стадией «Согласован»</w:t>
            </w:r>
          </w:p>
        </w:tc>
      </w:tr>
    </w:tbl>
    <w:p>
      <w:pPr>
        <w:spacing w:after="0"/>
      </w:pPr>
    </w:p>
    <w:p>
      <w:pPr>
        <w:pStyle w:val="Heading2"/>
      </w:pPr>
      <w:r>
        <w:rPr>
          <w:rFonts w:ascii="Times New Roman" w:hAnsi="Times New Roman" w:eastAsia="Times New Roman" w:cs="Times New Roman"/>
          <w:b/>
          <w:color w:val="000000"/>
          <w:sz w:val="28"/>
        </w:rPr>
        <w:t>3.3 Customer Journey Mapping</w:t>
      </w:r>
    </w:p>
    <w:p>
      <w:r>
        <w:rPr>
          <w:rFonts w:ascii="Times New Roman" w:hAnsi="Times New Roman" w:eastAsia="Times New Roman" w:cs="Times New Roman"/>
          <w:b w:val="0"/>
          <w:color w:val="000000"/>
          <w:sz w:val="28"/>
        </w:rPr>
        <w:t>Основной «заказчик» внутри процесса: руководитель проекта, потому что именно его путь порождает артефакты для остальных ролей. Если РП не загрузит прайс и не выберет вариант КП, коммерческому блоку нечего согласовывать, а складу нечего принимать. Карта этого пути приведена на рисунке 10. Горизонталь совпадает с TO BE: получить прайсы, собрать заявку, подобрать аналоги, сравнить КП, согласовать, исполнить [36]. По вертикали для каждого этапа зафиксированы действие, точка контакта, артефакт, ожидание, препятствие исходного процесса и целевая эмоция. Карта нужна не как иллюстрация, а как проверка, что каждый экран закрывает конкретное препятствие AS IS, а не просто «есть пункт меню».</w:t>
      </w:r>
    </w:p>
    <w:p>
      <w:pPr>
        <w:keepNext/>
        <w:spacing w:line="240" w:lineRule="auto" w:before="240" w:after="0"/>
        <w:ind w:firstLine="0"/>
        <w:jc w:val="center"/>
      </w:pPr>
      <w:r>
        <w:drawing>
          <wp:inline xmlns:a="http://schemas.openxmlformats.org/drawingml/2006/main" xmlns:pic="http://schemas.openxmlformats.org/drawingml/2006/picture">
            <wp:extent cx="5760000" cy="3508364"/>
            <wp:docPr id="10" name="Picture 10"/>
            <wp:cNvGraphicFramePr>
              <a:graphicFrameLocks noChangeAspect="1"/>
            </wp:cNvGraphicFramePr>
            <a:graphic>
              <a:graphicData uri="http://schemas.openxmlformats.org/drawingml/2006/picture">
                <pic:pic>
                  <pic:nvPicPr>
                    <pic:cNvPr id="0" name="ris-21-cjm.png"/>
                    <pic:cNvPicPr/>
                  </pic:nvPicPr>
                  <pic:blipFill>
                    <a:blip r:embed="rId20"/>
                    <a:stretch>
                      <a:fillRect/>
                    </a:stretch>
                  </pic:blipFill>
                  <pic:spPr>
                    <a:xfrm>
                      <a:off x="0" y="0"/>
                      <a:ext cx="5760000" cy="3508364"/>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10 – Customer Journey Map руководителя проекта</w:t>
      </w:r>
    </w:p>
    <w:p>
      <w:r>
        <w:rPr>
          <w:rFonts w:ascii="Times New Roman" w:hAnsi="Times New Roman" w:eastAsia="Times New Roman" w:cs="Times New Roman"/>
          <w:b w:val="0"/>
          <w:color w:val="000000"/>
          <w:sz w:val="28"/>
        </w:rPr>
        <w:t>На этапе прайсов РП загружает Excel с экрана «Прайсы» и ждёт, что файл произвольной структуры будет принят, несмотря на разные колонки и строки «цена по запросу». Целевая эмоция этапа сдвигается от раздражения к контролю, а артефактом становятся каталог, офферы и история цен. Заявка собирается импортом перечня на экране «Заявки»: строки не должны теряться из-за опечаток и пустого артикула. На экране сопоставления РП проверяет гипотезы ML и правит строки, видя вероятность и причину, чтобы ложные совпадения не проходили незамеченными. Без показа вероятности автоподстановка вернула бы ту же ошибку, которую анкета раздела 1.2 считает недопустимой.</w:t>
      </w:r>
    </w:p>
    <w:p>
      <w:r>
        <w:rPr>
          <w:rFonts w:ascii="Times New Roman" w:hAnsi="Times New Roman" w:eastAsia="Times New Roman" w:cs="Times New Roman"/>
          <w:b w:val="0"/>
          <w:color w:val="000000"/>
          <w:sz w:val="28"/>
        </w:rPr>
        <w:t>Сравнение КП идёт на экране вариантов, с выгрузкой Excel и PDF. РП сопоставляет четыре стратегии и при необходимости ставит override, поскольку раньше выбирался один вариант «на глаз». Согласование проходит через экран маржи, колокольчик и email: наценка задаётся, маржа считается системой, решение КБ фиксируется вместе с комментарием. Исполнение включает заказ, резерв, склад и счёт NOC, а цена заказа не должна «поплыть» после утверждения, поскольку в документ кладётся снимок. Каждый из этих шагов проверяется соответствующим сценарием раздела 6, а не только подписью к рисунку 10.</w:t>
      </w:r>
    </w:p>
    <w:p>
      <w:r>
        <w:rPr>
          <w:rFonts w:ascii="Times New Roman" w:hAnsi="Times New Roman" w:eastAsia="Times New Roman" w:cs="Times New Roman"/>
          <w:b w:val="0"/>
          <w:color w:val="000000"/>
          <w:sz w:val="28"/>
        </w:rPr>
        <w:t>Путь коммерческого блока начинается с уведомления о переданном КП и заканчивается решением. Бухгалтерия входит в процесс со счёта, склад с заказа. Эти ветки короче и не дублируются отдельными картами: их артефакты уже порождены на пути РП, что отмечено и подписью к рисунку 10. Отдельная CJM бухгалтера добавила бы объём, но не новый риск: её критерий успеха уже выражен линейным автоматом счёта.</w:t>
      </w:r>
    </w:p>
    <w:p>
      <w:pPr>
        <w:pStyle w:val="Heading2"/>
      </w:pPr>
      <w:r>
        <w:rPr>
          <w:rFonts w:ascii="Times New Roman" w:hAnsi="Times New Roman" w:eastAsia="Times New Roman" w:cs="Times New Roman"/>
          <w:b/>
          <w:color w:val="000000"/>
          <w:sz w:val="28"/>
        </w:rPr>
        <w:t>3.4 Пользовательские истории — User Story Mapping</w:t>
      </w:r>
    </w:p>
    <w:p>
      <w:r>
        <w:rPr>
          <w:rFonts w:ascii="Times New Roman" w:hAnsi="Times New Roman" w:eastAsia="Times New Roman" w:cs="Times New Roman"/>
          <w:b w:val="0"/>
          <w:color w:val="000000"/>
          <w:sz w:val="28"/>
        </w:rPr>
        <w:t>Истории разложены по двум осям, как предлагает Паттон [37]. Горизонталь рисунка 11 показывает деятельность во времени: каталог, заявка, КП, согласование, счёт и оплата, поставка. Вертикаль задаёт важность: сверху обязательный MVP, снизу осознанный бэклог. Формат ячеек верхних рядов: «Как &lt;роль&gt;, я &lt;действие&gt;, чтобы &lt;ценность&gt;» [9]. Детали уточнялись по ТЗ и по фактическому поведению стенда, чтобы история не обещала функцию, которой нет в коде. Карта связывает бизнес-требования таблицы 6 с прецедентами и с тестами: если истории нет в верхних рядах, её отсутствие не считается дырой MVP.</w:t>
      </w:r>
    </w:p>
    <w:p>
      <w:pPr>
        <w:keepNext/>
        <w:spacing w:line="240" w:lineRule="auto" w:before="240" w:after="0"/>
        <w:ind w:firstLine="0"/>
        <w:jc w:val="center"/>
      </w:pPr>
      <w:r>
        <w:drawing>
          <wp:inline xmlns:a="http://schemas.openxmlformats.org/drawingml/2006/main" xmlns:pic="http://schemas.openxmlformats.org/drawingml/2006/picture">
            <wp:extent cx="5760000" cy="3937745"/>
            <wp:docPr id="11" name="Picture 11"/>
            <wp:cNvGraphicFramePr>
              <a:graphicFrameLocks noChangeAspect="1"/>
            </wp:cNvGraphicFramePr>
            <a:graphic>
              <a:graphicData uri="http://schemas.openxmlformats.org/drawingml/2006/picture">
                <pic:pic>
                  <pic:nvPicPr>
                    <pic:cNvPr id="0" name="ris-22-usm.png"/>
                    <pic:cNvPicPr/>
                  </pic:nvPicPr>
                  <pic:blipFill>
                    <a:blip r:embed="rId21"/>
                    <a:stretch>
                      <a:fillRect/>
                    </a:stretch>
                  </pic:blipFill>
                  <pic:spPr>
                    <a:xfrm>
                      <a:off x="0" y="0"/>
                      <a:ext cx="5760000" cy="3937745"/>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11 – User Story Map</w:t>
      </w:r>
    </w:p>
    <w:p>
      <w:r>
        <w:rPr>
          <w:rFonts w:ascii="Times New Roman" w:hAnsi="Times New Roman" w:eastAsia="Times New Roman" w:cs="Times New Roman"/>
          <w:b w:val="0"/>
          <w:color w:val="000000"/>
          <w:sz w:val="28"/>
        </w:rPr>
        <w:t>Верхние два ряда рисунка 11 закрывают сквозной процесс от загрузки прайса до приёмки. РП импортирует Excel, сопоставляет строки, сравнивает стратегии и передаёт КП в коммерческий блок; КБ принимает решение; система создаёт счёт и резервирует остаток; бухгалтер и кладовщик закрывают оплату и приход. Второй ряд добавляет диагностику дублей SKU и «цены по запросу», ручное подтверждение ML, override поставщика и запрет дубля счёта, то есть как раз те расширения сценариев, без которых основной поток ломается на реальных файлах. Подтверждение готовности истории: соответствующий сценарий раздела 6 и сверка с ТЗ.</w:t>
      </w:r>
    </w:p>
    <w:p>
      <w:r>
        <w:rPr>
          <w:rFonts w:ascii="Times New Roman" w:hAnsi="Times New Roman" w:eastAsia="Times New Roman" w:cs="Times New Roman"/>
          <w:b w:val="0"/>
          <w:color w:val="000000"/>
          <w:sz w:val="28"/>
        </w:rPr>
        <w:t>Нижний ряд рисунка 11 вынесен из обязательного MVP сознательно. В него входят словарь синонимов, фильтры аналитики и выгрузка отчёта, версии КП как сущность, многошаговый круг NOC, справочник реквизитов контрагента и НМЦ, реальные адаптеры 1С и WMS. Это не забытые требования, а принятые упрощения: часть из них совпадает с рисками таблицы 19, часть с границами рисунка 8. Приоритетные формулировки MVP с идентификаторами US-01…US-10 сведены в таблицу 18. Колонка «Подтверждение» указывает, где историю можно увидеть на стенде, а не где она «подразумевается».</w:t>
      </w:r>
    </w:p>
    <w:p>
      <w:pPr>
        <w:pStyle w:val="GOSTCaption"/>
        <w:keepNext/>
        <w:jc w:val="left"/>
      </w:pPr>
      <w:r>
        <w:rPr>
          <w:rFonts w:ascii="Times New Roman" w:hAnsi="Times New Roman" w:eastAsia="Times New Roman" w:cs="Times New Roman"/>
          <w:b w:val="0"/>
          <w:color w:val="000000"/>
          <w:sz w:val="28"/>
        </w:rPr>
        <w:t>Таблица 18 – Приоритетные пользовательские истории MVP</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val="true"/>
          <w:tblHeader w:val="true"/>
        </w:trPr>
        <w:tc>
          <w:tcPr>
            <w:tcW w:type="dxa" w:w="1357"/>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ID</w:t>
            </w:r>
          </w:p>
        </w:tc>
        <w:tc>
          <w:tcPr>
            <w:tcW w:type="dxa" w:w="4202"/>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История</w:t>
            </w:r>
          </w:p>
        </w:tc>
        <w:tc>
          <w:tcPr>
            <w:tcW w:type="dxa" w:w="1717"/>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Приоритет</w:t>
            </w:r>
          </w:p>
        </w:tc>
        <w:tc>
          <w:tcPr>
            <w:tcW w:type="dxa" w:w="2078"/>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Подтверждение</w:t>
            </w:r>
          </w:p>
        </w:tc>
      </w:tr>
      <w:tr>
        <w:trPr>
          <w:cantSplit w:val="true"/>
        </w:trPr>
        <w:tc>
          <w:tcPr>
            <w:tcW w:type="dxa" w:w="13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US-01</w:t>
            </w:r>
          </w:p>
        </w:tc>
        <w:tc>
          <w:tcPr>
            <w:tcW w:type="dxa" w:w="4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Как РП, я загружаю </w:t>
            </w:r>
            <w:r>
              <w:rPr>
                <w:rFonts w:ascii="Courier New" w:hAnsi="Courier New" w:eastAsia="Courier New" w:cs="Courier New"/>
                <w:b w:val="0"/>
                <w:color w:val="000000"/>
                <w:sz w:val="22"/>
              </w:rPr>
              <w:t>.xlsx</w:t>
            </w:r>
            <w:r>
              <w:rPr>
                <w:rFonts w:ascii="Times New Roman" w:hAnsi="Times New Roman" w:eastAsia="Times New Roman" w:cs="Times New Roman"/>
                <w:b w:val="0"/>
                <w:color w:val="000000"/>
                <w:sz w:val="24"/>
              </w:rPr>
              <w:t>/</w:t>
            </w:r>
            <w:r>
              <w:rPr>
                <w:rFonts w:ascii="Courier New" w:hAnsi="Courier New" w:eastAsia="Courier New" w:cs="Courier New"/>
                <w:b w:val="0"/>
                <w:color w:val="000000"/>
                <w:sz w:val="22"/>
              </w:rPr>
              <w:t>.xls</w:t>
            </w:r>
            <w:r>
              <w:rPr>
                <w:rFonts w:ascii="Times New Roman" w:hAnsi="Times New Roman" w:eastAsia="Times New Roman" w:cs="Times New Roman"/>
                <w:b w:val="0"/>
                <w:color w:val="000000"/>
                <w:sz w:val="24"/>
              </w:rPr>
              <w:t>, чтобы каталог обновился без ручного маппинга колонок</w:t>
            </w:r>
          </w:p>
        </w:tc>
        <w:tc>
          <w:tcPr>
            <w:tcW w:type="dxa" w:w="171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w:t>
            </w:r>
          </w:p>
        </w:tc>
        <w:tc>
          <w:tcPr>
            <w:tcW w:type="dxa" w:w="20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UC-01, импорт EKF</w:t>
            </w:r>
          </w:p>
        </w:tc>
      </w:tr>
      <w:tr>
        <w:trPr>
          <w:cantSplit w:val="true"/>
        </w:trPr>
        <w:tc>
          <w:tcPr>
            <w:tcW w:type="dxa" w:w="13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US-02</w:t>
            </w:r>
          </w:p>
        </w:tc>
        <w:tc>
          <w:tcPr>
            <w:tcW w:type="dxa" w:w="4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Как РП, я вижу найденные и ненайденные строки, чтобы не потерять позицию тендера</w:t>
            </w:r>
          </w:p>
        </w:tc>
        <w:tc>
          <w:tcPr>
            <w:tcW w:type="dxa" w:w="171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w:t>
            </w:r>
          </w:p>
        </w:tc>
        <w:tc>
          <w:tcPr>
            <w:tcW w:type="dxa" w:w="20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экран сопоставления</w:t>
            </w:r>
          </w:p>
        </w:tc>
      </w:tr>
      <w:tr>
        <w:trPr>
          <w:cantSplit w:val="true"/>
        </w:trPr>
        <w:tc>
          <w:tcPr>
            <w:tcW w:type="dxa" w:w="13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US-03</w:t>
            </w:r>
          </w:p>
        </w:tc>
        <w:tc>
          <w:tcPr>
            <w:tcW w:type="dxa" w:w="4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Как РП, я сравниваю мин. цену, мин. срок и баланс, чтобы выбрать обоснованный вариант</w:t>
            </w:r>
          </w:p>
        </w:tc>
        <w:tc>
          <w:tcPr>
            <w:tcW w:type="dxa" w:w="171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w:t>
            </w:r>
          </w:p>
        </w:tc>
        <w:tc>
          <w:tcPr>
            <w:tcW w:type="dxa" w:w="20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генератор КП</w:t>
            </w:r>
          </w:p>
        </w:tc>
      </w:tr>
      <w:tr>
        <w:trPr>
          <w:cantSplit w:val="true"/>
        </w:trPr>
        <w:tc>
          <w:tcPr>
            <w:tcW w:type="dxa" w:w="13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US-04</w:t>
            </w:r>
          </w:p>
        </w:tc>
        <w:tc>
          <w:tcPr>
            <w:tcW w:type="dxa" w:w="4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Как РП, я задаю наценку и передаю КП в КБ</w:t>
            </w:r>
          </w:p>
        </w:tc>
        <w:tc>
          <w:tcPr>
            <w:tcW w:type="dxa" w:w="171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w:t>
            </w:r>
          </w:p>
        </w:tc>
        <w:tc>
          <w:tcPr>
            <w:tcW w:type="dxa" w:w="20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Approval</w:t>
            </w:r>
          </w:p>
        </w:tc>
      </w:tr>
      <w:tr>
        <w:trPr>
          <w:cantSplit w:val="true"/>
        </w:trPr>
        <w:tc>
          <w:tcPr>
            <w:tcW w:type="dxa" w:w="13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US-05</w:t>
            </w:r>
          </w:p>
        </w:tc>
        <w:tc>
          <w:tcPr>
            <w:tcW w:type="dxa" w:w="4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Как КБ, я согласую или возвращаю КП с комментарием</w:t>
            </w:r>
          </w:p>
        </w:tc>
        <w:tc>
          <w:tcPr>
            <w:tcW w:type="dxa" w:w="171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w:t>
            </w:r>
          </w:p>
        </w:tc>
        <w:tc>
          <w:tcPr>
            <w:tcW w:type="dxa" w:w="20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decision</w:t>
            </w:r>
          </w:p>
        </w:tc>
      </w:tr>
      <w:tr>
        <w:trPr>
          <w:cantSplit w:val="true"/>
        </w:trPr>
        <w:tc>
          <w:tcPr>
            <w:tcW w:type="dxa" w:w="13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US-06</w:t>
            </w:r>
          </w:p>
        </w:tc>
        <w:tc>
          <w:tcPr>
            <w:tcW w:type="dxa" w:w="4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Как система, я создаю счёт NOC при согласовании без дубля</w:t>
            </w:r>
          </w:p>
        </w:tc>
        <w:tc>
          <w:tcPr>
            <w:tcW w:type="dxa" w:w="171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w:t>
            </w:r>
          </w:p>
        </w:tc>
        <w:tc>
          <w:tcPr>
            <w:tcW w:type="dxa" w:w="20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автосчёт</w:t>
            </w:r>
          </w:p>
        </w:tc>
      </w:tr>
      <w:tr>
        <w:trPr>
          <w:cantSplit w:val="true"/>
        </w:trPr>
        <w:tc>
          <w:tcPr>
            <w:tcW w:type="dxa" w:w="13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US-07</w:t>
            </w:r>
          </w:p>
        </w:tc>
        <w:tc>
          <w:tcPr>
            <w:tcW w:type="dxa" w:w="4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Как бухгалтер, я двигаю стадии счёта и прикладываю документы</w:t>
            </w:r>
          </w:p>
        </w:tc>
        <w:tc>
          <w:tcPr>
            <w:tcW w:type="dxa" w:w="171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w:t>
            </w:r>
          </w:p>
        </w:tc>
        <w:tc>
          <w:tcPr>
            <w:tcW w:type="dxa" w:w="20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Invoice</w:t>
            </w:r>
          </w:p>
        </w:tc>
      </w:tr>
      <w:tr>
        <w:trPr>
          <w:cantSplit w:val="true"/>
        </w:trPr>
        <w:tc>
          <w:tcPr>
            <w:tcW w:type="dxa" w:w="13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US-08</w:t>
            </w:r>
          </w:p>
        </w:tc>
        <w:tc>
          <w:tcPr>
            <w:tcW w:type="dxa" w:w="4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Как система, я резервирую остаток при заказе и возвращаю его при отмене</w:t>
            </w:r>
          </w:p>
        </w:tc>
        <w:tc>
          <w:tcPr>
            <w:tcW w:type="dxa" w:w="171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w:t>
            </w:r>
          </w:p>
        </w:tc>
        <w:tc>
          <w:tcPr>
            <w:tcW w:type="dxa" w:w="20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Order</w:t>
            </w:r>
          </w:p>
        </w:tc>
      </w:tr>
      <w:tr>
        <w:trPr>
          <w:cantSplit w:val="true"/>
        </w:trPr>
        <w:tc>
          <w:tcPr>
            <w:tcW w:type="dxa" w:w="13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US-09</w:t>
            </w:r>
          </w:p>
        </w:tc>
        <w:tc>
          <w:tcPr>
            <w:tcW w:type="dxa" w:w="4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Как кладовщик, я ввожу факт приёмки и фиксирую расхождение</w:t>
            </w:r>
          </w:p>
        </w:tc>
        <w:tc>
          <w:tcPr>
            <w:tcW w:type="dxa" w:w="171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высокий</w:t>
            </w:r>
          </w:p>
        </w:tc>
        <w:tc>
          <w:tcPr>
            <w:tcW w:type="dxa" w:w="20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GoodsReceipt</w:t>
            </w:r>
          </w:p>
        </w:tc>
      </w:tr>
      <w:tr>
        <w:trPr>
          <w:cantSplit w:val="true"/>
        </w:trPr>
        <w:tc>
          <w:tcPr>
            <w:tcW w:type="dxa" w:w="13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US-10</w:t>
            </w:r>
          </w:p>
        </w:tc>
        <w:tc>
          <w:tcPr>
            <w:tcW w:type="dxa" w:w="42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Как администратор, я читаю журнал «было → стало»</w:t>
            </w:r>
          </w:p>
        </w:tc>
        <w:tc>
          <w:tcPr>
            <w:tcW w:type="dxa" w:w="171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средний</w:t>
            </w:r>
          </w:p>
        </w:tc>
        <w:tc>
          <w:tcPr>
            <w:tcW w:type="dxa" w:w="207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Audit</w:t>
            </w:r>
          </w:p>
        </w:tc>
      </w:tr>
    </w:tbl>
    <w:p>
      <w:pPr>
        <w:spacing w:after="0"/>
      </w:pPr>
    </w:p>
    <w:p>
      <w:pPr>
        <w:pStyle w:val="Heading2"/>
      </w:pPr>
      <w:r>
        <w:rPr>
          <w:rFonts w:ascii="Times New Roman" w:hAnsi="Times New Roman" w:eastAsia="Times New Roman" w:cs="Times New Roman"/>
          <w:b/>
          <w:color w:val="000000"/>
          <w:sz w:val="28"/>
        </w:rPr>
        <w:t>3.5 Анализ факторов риска проекта</w:t>
      </w:r>
    </w:p>
    <w:p>
      <w:r>
        <w:rPr>
          <w:rFonts w:ascii="Times New Roman" w:hAnsi="Times New Roman" w:eastAsia="Times New Roman" w:cs="Times New Roman"/>
          <w:b w:val="0"/>
          <w:color w:val="000000"/>
          <w:sz w:val="28"/>
        </w:rPr>
        <w:t>Нестандартная структура Excel поставщиков и отсутствие унифицированных артикулов дают наибольший фактор риска: обе оценки в ТЗ §15 высокие и по вероятности, и по влиянию. Если импорт падает на чужой вёрстке листа, РП не загружает файлы; если сопоставление молча подставляет не тот товар, тендерная позиция считается по чужому офферу. Меры реализованы: гибкий маппинг, поиск заголовка, диагностика, точный SKU, нечёткий поиск, ML и ручное подтверждение. Словаря синонимов нет, хотя сопоставление без него проверено прайсом EKF. Строки таблицы 19 отсортированы по убыванию произведения качественных оценок вероятности и влияния, с уточнением по фактической реализации.</w:t>
      </w:r>
    </w:p>
    <w:p>
      <w:r>
        <w:rPr>
          <w:rFonts w:ascii="Times New Roman" w:hAnsi="Times New Roman" w:eastAsia="Times New Roman" w:cs="Times New Roman"/>
          <w:b w:val="0"/>
          <w:color w:val="000000"/>
          <w:sz w:val="28"/>
        </w:rPr>
        <w:t>Риск отсутствия API внешнего NOC закрыт внутренним модулем счетов и принят как упрощение MVP, потому что без этого сквозной процесс остановился бы на согласовании. Подключение 1С в срок снято моком шлюза: реальной 1С нет, а домен зависит от контракта, а не от класса адаптера. Организационный риск, что РП не будет загружать файлы, остаётся вне кода и снижается диагностикой вместо «падения»: техническая мера не заставляет человека пользоваться системой, но убирает повод бросить её после первого битого Excel. Учебные секреты, HTTP на стенде, отсутствие HA и ежедневного бэкапа зафиксированы как ограничения стенда, чтобы приёмка не считала их скрытым долгом реализации. Сводка факторов, мер и состояния в работе приведена в таблице 19.</w:t>
      </w:r>
    </w:p>
    <w:p>
      <w:pPr>
        <w:pStyle w:val="GOSTCaption"/>
        <w:keepNext/>
        <w:jc w:val="left"/>
      </w:pPr>
      <w:r>
        <w:rPr>
          <w:rFonts w:ascii="Times New Roman" w:hAnsi="Times New Roman" w:eastAsia="Times New Roman" w:cs="Times New Roman"/>
          <w:b w:val="0"/>
          <w:color w:val="000000"/>
          <w:sz w:val="28"/>
        </w:rPr>
        <w:t>Таблица 19 – Факторы риска проекта</w:t>
      </w:r>
    </w:p>
    <w:tbl>
      <w:tblPr>
        <w:tblStyle w:val="TableGrid"/>
        <w:tblW w:type="auto" w:w="0"/>
        <w:jc w:val="center"/>
        <w:tblLayout w:type="fixed"/>
        <w:tblLook w:firstColumn="1" w:firstRow="1" w:lastColumn="0" w:lastRow="0" w:noHBand="0" w:noVBand="1" w:val="04A0"/>
      </w:tblPr>
      <w:tblGrid>
        <w:gridCol w:w="1559"/>
        <w:gridCol w:w="1559"/>
        <w:gridCol w:w="1559"/>
        <w:gridCol w:w="1559"/>
        <w:gridCol w:w="1559"/>
        <w:gridCol w:w="1559"/>
      </w:tblGrid>
      <w:tr>
        <w:trPr>
          <w:cantSplit w:val="true"/>
          <w:tblHeader w:val="true"/>
        </w:trPr>
        <w:tc>
          <w:tcPr>
            <w:tcW w:type="dxa" w:w="1457"/>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2"/>
              </w:rPr>
              <w:t>Тип (категория)</w:t>
            </w:r>
          </w:p>
        </w:tc>
        <w:tc>
          <w:tcPr>
            <w:tcW w:type="dxa" w:w="1595"/>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2"/>
              </w:rPr>
              <w:t>Риск</w:t>
            </w:r>
          </w:p>
        </w:tc>
        <w:tc>
          <w:tcPr>
            <w:tcW w:type="dxa" w:w="1310"/>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2"/>
              </w:rPr>
              <w:t>Вероятность</w:t>
            </w:r>
          </w:p>
        </w:tc>
        <w:tc>
          <w:tcPr>
            <w:tcW w:type="dxa" w:w="1274"/>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2"/>
              </w:rPr>
              <w:t>Влияние</w:t>
            </w:r>
          </w:p>
        </w:tc>
        <w:tc>
          <w:tcPr>
            <w:tcW w:type="dxa" w:w="1931"/>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2"/>
              </w:rPr>
              <w:t>Меры снижения</w:t>
            </w:r>
          </w:p>
        </w:tc>
        <w:tc>
          <w:tcPr>
            <w:tcW w:type="dxa" w:w="1787"/>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2"/>
              </w:rPr>
              <w:t>Состояние в работе</w:t>
            </w:r>
          </w:p>
        </w:tc>
      </w:tr>
      <w:tr>
        <w:trPr>
          <w:cantSplit w:val="true"/>
        </w:trPr>
        <w:tc>
          <w:tcPr>
            <w:tcW w:type="dxa" w:w="14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Данные</w:t>
            </w:r>
          </w:p>
        </w:tc>
        <w:tc>
          <w:tcPr>
            <w:tcW w:type="dxa" w:w="159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Нестандартная структура Excel поставщиков</w:t>
            </w:r>
          </w:p>
        </w:tc>
        <w:tc>
          <w:tcPr>
            <w:tcW w:type="dxa" w:w="131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высокая</w:t>
            </w:r>
          </w:p>
        </w:tc>
        <w:tc>
          <w:tcPr>
            <w:tcW w:type="dxa" w:w="12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высокое</w:t>
            </w:r>
          </w:p>
        </w:tc>
        <w:tc>
          <w:tcPr>
            <w:tcW w:type="dxa" w:w="19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гибкий маппинг, поиск заголовка, диагностика</w:t>
            </w:r>
          </w:p>
        </w:tc>
        <w:tc>
          <w:tcPr>
            <w:tcW w:type="dxa" w:w="178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реализовано; проверено прайсом EKF</w:t>
            </w:r>
          </w:p>
        </w:tc>
      </w:tr>
      <w:tr>
        <w:trPr>
          <w:cantSplit w:val="true"/>
        </w:trPr>
        <w:tc>
          <w:tcPr>
            <w:tcW w:type="dxa" w:w="14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Данные</w:t>
            </w:r>
          </w:p>
        </w:tc>
        <w:tc>
          <w:tcPr>
            <w:tcW w:type="dxa" w:w="159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Отсутствие унифицированных артикулов</w:t>
            </w:r>
          </w:p>
        </w:tc>
        <w:tc>
          <w:tcPr>
            <w:tcW w:type="dxa" w:w="131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высокая</w:t>
            </w:r>
          </w:p>
        </w:tc>
        <w:tc>
          <w:tcPr>
            <w:tcW w:type="dxa" w:w="12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высокое</w:t>
            </w:r>
          </w:p>
        </w:tc>
        <w:tc>
          <w:tcPr>
            <w:tcW w:type="dxa" w:w="19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точный SKU, fuzzy, ML, ручное подтверждение</w:t>
            </w:r>
          </w:p>
        </w:tc>
        <w:tc>
          <w:tcPr>
            <w:tcW w:type="dxa" w:w="178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реализовано; словаря синонимов нет</w:t>
            </w:r>
          </w:p>
        </w:tc>
      </w:tr>
      <w:tr>
        <w:trPr>
          <w:cantSplit w:val="true"/>
        </w:trPr>
        <w:tc>
          <w:tcPr>
            <w:tcW w:type="dxa" w:w="14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Данные</w:t>
            </w:r>
          </w:p>
        </w:tc>
        <w:tc>
          <w:tcPr>
            <w:tcW w:type="dxa" w:w="159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Неактуальность прайсов в базе</w:t>
            </w:r>
          </w:p>
        </w:tc>
        <w:tc>
          <w:tcPr>
            <w:tcW w:type="dxa" w:w="131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высокая</w:t>
            </w:r>
          </w:p>
        </w:tc>
        <w:tc>
          <w:tcPr>
            <w:tcW w:type="dxa" w:w="12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среднее</w:t>
            </w:r>
          </w:p>
        </w:tc>
        <w:tc>
          <w:tcPr>
            <w:tcW w:type="dxa" w:w="19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история цены, дата загрузки, стратегия актуальности</w:t>
            </w:r>
          </w:p>
        </w:tc>
        <w:tc>
          <w:tcPr>
            <w:tcW w:type="dxa" w:w="178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частично: напоминаний-планировщика нет</w:t>
            </w:r>
          </w:p>
        </w:tc>
      </w:tr>
      <w:tr>
        <w:trPr>
          <w:cantSplit w:val="true"/>
        </w:trPr>
        <w:tc>
          <w:tcPr>
            <w:tcW w:type="dxa" w:w="14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Интеграция</w:t>
            </w:r>
          </w:p>
        </w:tc>
        <w:tc>
          <w:tcPr>
            <w:tcW w:type="dxa" w:w="159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Нет документированного API внешнего NOC</w:t>
            </w:r>
          </w:p>
        </w:tc>
        <w:tc>
          <w:tcPr>
            <w:tcW w:type="dxa" w:w="131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средняя</w:t>
            </w:r>
          </w:p>
        </w:tc>
        <w:tc>
          <w:tcPr>
            <w:tcW w:type="dxa" w:w="12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высокое</w:t>
            </w:r>
          </w:p>
        </w:tc>
        <w:tc>
          <w:tcPr>
            <w:tcW w:type="dxa" w:w="19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внутренний модуль счетов вместо внешней системы</w:t>
            </w:r>
          </w:p>
        </w:tc>
        <w:tc>
          <w:tcPr>
            <w:tcW w:type="dxa" w:w="178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принято как упрощение MVP</w:t>
            </w:r>
          </w:p>
        </w:tc>
      </w:tr>
      <w:tr>
        <w:trPr>
          <w:cantSplit w:val="true"/>
        </w:trPr>
        <w:tc>
          <w:tcPr>
            <w:tcW w:type="dxa" w:w="14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Организационный</w:t>
            </w:r>
          </w:p>
        </w:tc>
        <w:tc>
          <w:tcPr>
            <w:tcW w:type="dxa" w:w="159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РП не будет загружать файлы</w:t>
            </w:r>
          </w:p>
        </w:tc>
        <w:tc>
          <w:tcPr>
            <w:tcW w:type="dxa" w:w="131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средняя</w:t>
            </w:r>
          </w:p>
        </w:tc>
        <w:tc>
          <w:tcPr>
            <w:tcW w:type="dxa" w:w="12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высокое</w:t>
            </w:r>
          </w:p>
        </w:tc>
        <w:tc>
          <w:tcPr>
            <w:tcW w:type="dxa" w:w="19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диагностика ошибок вместо «падения», демонстрация экономии времени</w:t>
            </w:r>
          </w:p>
        </w:tc>
        <w:tc>
          <w:tcPr>
            <w:tcW w:type="dxa" w:w="178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организационная мера вне кода</w:t>
            </w:r>
          </w:p>
        </w:tc>
      </w:tr>
      <w:tr>
        <w:trPr>
          <w:cantSplit w:val="true"/>
        </w:trPr>
        <w:tc>
          <w:tcPr>
            <w:tcW w:type="dxa" w:w="14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Интеграция</w:t>
            </w:r>
          </w:p>
        </w:tc>
        <w:tc>
          <w:tcPr>
            <w:tcW w:type="dxa" w:w="159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1С не подключается в срок</w:t>
            </w:r>
          </w:p>
        </w:tc>
        <w:tc>
          <w:tcPr>
            <w:tcW w:type="dxa" w:w="131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средняя</w:t>
            </w:r>
          </w:p>
        </w:tc>
        <w:tc>
          <w:tcPr>
            <w:tcW w:type="dxa" w:w="12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среднее</w:t>
            </w:r>
          </w:p>
        </w:tc>
        <w:tc>
          <w:tcPr>
            <w:tcW w:type="dxa" w:w="19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шлюз и мок; файловый обмен как резерв в ТЗ</w:t>
            </w:r>
          </w:p>
        </w:tc>
        <w:tc>
          <w:tcPr>
            <w:tcW w:type="dxa" w:w="178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мок; реального 1С нет</w:t>
            </w:r>
          </w:p>
        </w:tc>
      </w:tr>
      <w:tr>
        <w:trPr>
          <w:cantSplit w:val="true"/>
        </w:trPr>
        <w:tc>
          <w:tcPr>
            <w:tcW w:type="dxa" w:w="14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Требования</w:t>
            </w:r>
          </w:p>
        </w:tc>
        <w:tc>
          <w:tcPr>
            <w:tcW w:type="dxa" w:w="159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Неопределённость KPI</w:t>
            </w:r>
          </w:p>
        </w:tc>
        <w:tc>
          <w:tcPr>
            <w:tcW w:type="dxa" w:w="131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высокая</w:t>
            </w:r>
          </w:p>
        </w:tc>
        <w:tc>
          <w:tcPr>
            <w:tcW w:type="dxa" w:w="12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среднее</w:t>
            </w:r>
          </w:p>
        </w:tc>
        <w:tc>
          <w:tcPr>
            <w:tcW w:type="dxa" w:w="19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проверяемые критерии MVP вместо несогласованных процентов</w:t>
            </w:r>
          </w:p>
        </w:tc>
        <w:tc>
          <w:tcPr>
            <w:tcW w:type="dxa" w:w="178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KPI в систему не закладывались</w:t>
            </w:r>
          </w:p>
        </w:tc>
      </w:tr>
      <w:tr>
        <w:trPr>
          <w:cantSplit w:val="true"/>
        </w:trPr>
        <w:tc>
          <w:tcPr>
            <w:tcW w:type="dxa" w:w="14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Данные</w:t>
            </w:r>
          </w:p>
        </w:tc>
        <w:tc>
          <w:tcPr>
            <w:tcW w:type="dxa" w:w="159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Ошибки в ручных скидках</w:t>
            </w:r>
          </w:p>
        </w:tc>
        <w:tc>
          <w:tcPr>
            <w:tcW w:type="dxa" w:w="131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средняя</w:t>
            </w:r>
          </w:p>
        </w:tc>
        <w:tc>
          <w:tcPr>
            <w:tcW w:type="dxa" w:w="12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среднее</w:t>
            </w:r>
          </w:p>
        </w:tc>
        <w:tc>
          <w:tcPr>
            <w:tcW w:type="dxa" w:w="19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период действия, аудит old/new, пересчёт КП</w:t>
            </w:r>
          </w:p>
        </w:tc>
        <w:tc>
          <w:tcPr>
            <w:tcW w:type="dxa" w:w="178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реализовано</w:t>
            </w:r>
          </w:p>
        </w:tc>
      </w:tr>
      <w:tr>
        <w:trPr>
          <w:cantSplit w:val="true"/>
        </w:trPr>
        <w:tc>
          <w:tcPr>
            <w:tcW w:type="dxa" w:w="14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Архитектура</w:t>
            </w:r>
          </w:p>
        </w:tc>
        <w:tc>
          <w:tcPr>
            <w:tcW w:type="dxa" w:w="159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Расхождение схем монолита и сервисов при cutover</w:t>
            </w:r>
          </w:p>
        </w:tc>
        <w:tc>
          <w:tcPr>
            <w:tcW w:type="dxa" w:w="131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средняя</w:t>
            </w:r>
          </w:p>
        </w:tc>
        <w:tc>
          <w:tcPr>
            <w:tcW w:type="dxa" w:w="12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высокое</w:t>
            </w:r>
          </w:p>
        </w:tc>
        <w:tc>
          <w:tcPr>
            <w:tcW w:type="dxa" w:w="19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YARP, поэтапное переключение, проверка cutover</w:t>
            </w:r>
          </w:p>
        </w:tc>
        <w:tc>
          <w:tcPr>
            <w:tcW w:type="dxa" w:w="178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маршруты сервисов включены; данные мигрируют отдельно</w:t>
            </w:r>
          </w:p>
        </w:tc>
      </w:tr>
      <w:tr>
        <w:trPr>
          <w:cantSplit w:val="true"/>
        </w:trPr>
        <w:tc>
          <w:tcPr>
            <w:tcW w:type="dxa" w:w="14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Безопасность</w:t>
            </w:r>
          </w:p>
        </w:tc>
        <w:tc>
          <w:tcPr>
            <w:tcW w:type="dxa" w:w="159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Учебные секреты и HTTP на стенде</w:t>
            </w:r>
          </w:p>
        </w:tc>
        <w:tc>
          <w:tcPr>
            <w:tcW w:type="dxa" w:w="131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высокая</w:t>
            </w:r>
          </w:p>
        </w:tc>
        <w:tc>
          <w:tcPr>
            <w:tcW w:type="dxa" w:w="12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среднее для продакшена</w:t>
            </w:r>
          </w:p>
        </w:tc>
        <w:tc>
          <w:tcPr>
            <w:tcW w:type="dxa" w:w="19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явно ограничить стендом; TLS и секреты — вне MVP</w:t>
            </w:r>
          </w:p>
        </w:tc>
        <w:tc>
          <w:tcPr>
            <w:tcW w:type="dxa" w:w="178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зафиксировано как ограничение</w:t>
            </w:r>
          </w:p>
        </w:tc>
      </w:tr>
      <w:tr>
        <w:trPr>
          <w:cantSplit w:val="true"/>
        </w:trPr>
        <w:tc>
          <w:tcPr>
            <w:tcW w:type="dxa" w:w="14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Модель</w:t>
            </w:r>
          </w:p>
        </w:tc>
        <w:tc>
          <w:tcPr>
            <w:tcW w:type="dxa" w:w="159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Синтетическое обучение ML без кликов РП</w:t>
            </w:r>
          </w:p>
        </w:tc>
        <w:tc>
          <w:tcPr>
            <w:tcW w:type="dxa" w:w="131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высокая</w:t>
            </w:r>
          </w:p>
        </w:tc>
        <w:tc>
          <w:tcPr>
            <w:tcW w:type="dxa" w:w="12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среднее</w:t>
            </w:r>
          </w:p>
        </w:tc>
        <w:tc>
          <w:tcPr>
            <w:tcW w:type="dxa" w:w="19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порог вероятности, ручное подтверждение, объяснение</w:t>
            </w:r>
          </w:p>
        </w:tc>
        <w:tc>
          <w:tcPr>
            <w:tcW w:type="dxa" w:w="178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оговорено в реализации</w:t>
            </w:r>
          </w:p>
        </w:tc>
      </w:tr>
      <w:tr>
        <w:trPr>
          <w:cantSplit w:val="true"/>
        </w:trPr>
        <w:tc>
          <w:tcPr>
            <w:tcW w:type="dxa" w:w="145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Эксплуатация</w:t>
            </w:r>
          </w:p>
        </w:tc>
        <w:tc>
          <w:tcPr>
            <w:tcW w:type="dxa" w:w="159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Нет HA и ежедневного бэкапа</w:t>
            </w:r>
          </w:p>
        </w:tc>
        <w:tc>
          <w:tcPr>
            <w:tcW w:type="dxa" w:w="131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высокая</w:t>
            </w:r>
          </w:p>
        </w:tc>
        <w:tc>
          <w:tcPr>
            <w:tcW w:type="dxa" w:w="12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среднее</w:t>
            </w:r>
          </w:p>
        </w:tc>
        <w:tc>
          <w:tcPr>
            <w:tcW w:type="dxa" w:w="19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не заявляется 99 % доступности</w:t>
            </w:r>
          </w:p>
        </w:tc>
        <w:tc>
          <w:tcPr>
            <w:tcW w:type="dxa" w:w="178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2"/>
              </w:rPr>
              <w:t>не реализовано</w:t>
            </w:r>
          </w:p>
        </w:tc>
      </w:tr>
    </w:tbl>
    <w:p>
      <w:pPr>
        <w:spacing w:after="0"/>
      </w:pPr>
    </w:p>
    <w:p>
      <w:pPr>
        <w:pStyle w:val="Heading1"/>
        <w:jc w:val="left"/>
      </w:pPr>
      <w:r>
        <w:rPr>
          <w:rFonts w:ascii="Times New Roman" w:hAnsi="Times New Roman" w:eastAsia="Times New Roman" w:cs="Times New Roman"/>
          <w:b/>
          <w:color w:val="000000"/>
          <w:sz w:val="28"/>
        </w:rPr>
        <w:t>4 ПРОЕКТИРОВАНИЕ РЕШЕНИЯ</w:t>
      </w:r>
    </w:p>
    <w:p>
      <w:r>
        <w:rPr>
          <w:rFonts w:ascii="Times New Roman" w:hAnsi="Times New Roman" w:eastAsia="Times New Roman" w:cs="Times New Roman"/>
          <w:b w:val="0"/>
          <w:color w:val="000000"/>
          <w:sz w:val="28"/>
        </w:rPr>
        <w:t>Запись в каталог и поиск по нему живут в разных контурах: PostgreSQL фиксирует изменение сразу, поисковый индекс может отстать. Если писать в оба хранилища одним синхронным вызовом, недоступность поискового движка блокирует импорт прайса, хотя транзакционная запись товара уже должна быть принята. Недоступность поискового движка не должна блокировать импорт прайса, поэтому синхронизация индекса вынесена в асинхронный контур с транзакционным Outbox. Структура, стек, прототипы экранов и модель данных ниже опираются на реализацию в репозитории и на документы архитектуры и данных.</w:t>
      </w:r>
    </w:p>
    <w:p>
      <w:pPr>
        <w:pStyle w:val="Heading2"/>
      </w:pPr>
      <w:r>
        <w:rPr>
          <w:rFonts w:ascii="Times New Roman" w:hAnsi="Times New Roman" w:eastAsia="Times New Roman" w:cs="Times New Roman"/>
          <w:b/>
          <w:color w:val="000000"/>
          <w:sz w:val="28"/>
        </w:rPr>
        <w:t>4.1 Описание архитектуры и структуры системы</w:t>
      </w:r>
    </w:p>
    <w:p>
      <w:r>
        <w:rPr>
          <w:rFonts w:ascii="Times New Roman" w:hAnsi="Times New Roman" w:eastAsia="Times New Roman" w:cs="Times New Roman"/>
          <w:b w:val="0"/>
          <w:color w:val="000000"/>
          <w:sz w:val="28"/>
        </w:rPr>
        <w:t>Бизнес-правила сознательно отделены от контроллеров и от конкретных продуктов инфраструктуры. Переходы статусов принадлежат доменным сущностям, а оформленные документы держат строки-снимки, чтобы смена прайса не переписывала уже согласованный счёт. Инфраструктура скрыта за интерфейсами, что позволяет заменить брокер, поиск или шлюз 1С адаптером, не трогая правило выбора оффера. Границы модулей проведены до того, как процессы стали отдельными хостами, а миграция выполняется поэтапно при сохранении рабочего контура. Такое сочетание соответствует слоистой корпоративной архитектуре и доменной модели [10, 11]. Поэтапный вынос сервисов следует шаблону Strangler Fig [14], а не «большому взрыву» на все функции сразу.</w:t>
      </w:r>
    </w:p>
    <w:p>
      <w:r>
        <w:rPr>
          <w:rFonts w:ascii="Times New Roman" w:hAnsi="Times New Roman" w:eastAsia="Times New Roman" w:cs="Times New Roman"/>
          <w:b w:val="0"/>
          <w:color w:val="000000"/>
          <w:sz w:val="28"/>
        </w:rPr>
        <w:t xml:space="preserve">Базовая реализация состоит из модульного монолита </w:t>
      </w:r>
      <w:r>
        <w:rPr>
          <w:rFonts w:ascii="Courier New" w:hAnsi="Courier New" w:eastAsia="Courier New" w:cs="Courier New"/>
          <w:b w:val="0"/>
          <w:color w:val="000000"/>
          <w:sz w:val="26"/>
        </w:rPr>
        <w:t>ProcurementSystem.Api</w:t>
      </w:r>
      <w:r>
        <w:rPr>
          <w:rFonts w:ascii="Times New Roman" w:hAnsi="Times New Roman" w:eastAsia="Times New Roman" w:cs="Times New Roman"/>
          <w:b w:val="0"/>
          <w:color w:val="000000"/>
          <w:sz w:val="28"/>
        </w:rPr>
        <w:t xml:space="preserve"> и отдельного </w:t>
      </w:r>
      <w:r>
        <w:rPr>
          <w:rFonts w:ascii="Courier New" w:hAnsi="Courier New" w:eastAsia="Courier New" w:cs="Courier New"/>
          <w:b w:val="0"/>
          <w:color w:val="000000"/>
          <w:sz w:val="26"/>
        </w:rPr>
        <w:t>ProcurementSystem.Worker</w:t>
      </w:r>
      <w:r>
        <w:rPr>
          <w:rFonts w:ascii="Times New Roman" w:hAnsi="Times New Roman" w:eastAsia="Times New Roman" w:cs="Times New Roman"/>
          <w:b w:val="0"/>
          <w:color w:val="000000"/>
          <w:sz w:val="28"/>
        </w:rPr>
        <w:t xml:space="preserve">. Зависимости направлены к доменному слою: проект </w:t>
      </w:r>
      <w:r>
        <w:rPr>
          <w:rFonts w:ascii="Courier New" w:hAnsi="Courier New" w:eastAsia="Courier New" w:cs="Courier New"/>
          <w:b w:val="0"/>
          <w:color w:val="000000"/>
          <w:sz w:val="26"/>
        </w:rPr>
        <w:t>Domain</w:t>
      </w:r>
      <w:r>
        <w:rPr>
          <w:rFonts w:ascii="Times New Roman" w:hAnsi="Times New Roman" w:eastAsia="Times New Roman" w:cs="Times New Roman"/>
          <w:b w:val="0"/>
          <w:color w:val="000000"/>
          <w:sz w:val="28"/>
        </w:rPr>
        <w:t xml:space="preserve"> ни от чего не зависит, поэтому правила статусов нельзя обойти из адаптера Meilisearch или NATS. Состав проектов и их роли сведены в таблицу 20, а слоистая схема базового приложения показана на рисунке 12. Вывод из этой раскладки простой: HTTP-слой тонкий, а инварианты живут там, где их можно тестировать без брокера.</w:t>
      </w:r>
    </w:p>
    <w:p>
      <w:pPr>
        <w:pStyle w:val="GOSTCaption"/>
        <w:keepNext/>
        <w:jc w:val="left"/>
      </w:pPr>
      <w:r>
        <w:rPr>
          <w:rFonts w:ascii="Times New Roman" w:hAnsi="Times New Roman" w:eastAsia="Times New Roman" w:cs="Times New Roman"/>
          <w:b w:val="0"/>
          <w:color w:val="000000"/>
          <w:sz w:val="28"/>
        </w:rPr>
        <w:t>Таблица 20 – Проекты базовой реализации</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val="true"/>
          <w:tblHeader w:val="true"/>
        </w:trPr>
        <w:tc>
          <w:tcPr>
            <w:tcW w:type="dxa" w:w="4295"/>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Проект</w:t>
            </w:r>
          </w:p>
        </w:tc>
        <w:tc>
          <w:tcPr>
            <w:tcW w:type="dxa" w:w="2758"/>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Назначение</w:t>
            </w:r>
          </w:p>
        </w:tc>
        <w:tc>
          <w:tcPr>
            <w:tcW w:type="dxa" w:w="2302"/>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Основные зависимости</w:t>
            </w:r>
          </w:p>
        </w:tc>
      </w:tr>
      <w:tr>
        <w:trPr>
          <w:cantSplit w:val="true"/>
        </w:trPr>
        <w:tc>
          <w:tcPr>
            <w:tcW w:type="dxa" w:w="4295"/>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ProcurementSystem.Domain</w:t>
            </w:r>
          </w:p>
        </w:tc>
        <w:tc>
          <w:tcPr>
            <w:tcW w:type="dxa" w:w="275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сущности, перечисления и интерфейсы</w:t>
            </w:r>
          </w:p>
        </w:tc>
        <w:tc>
          <w:tcPr>
            <w:tcW w:type="dxa" w:w="23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отсутствуют</w:t>
            </w:r>
          </w:p>
        </w:tc>
      </w:tr>
      <w:tr>
        <w:trPr>
          <w:cantSplit w:val="true"/>
        </w:trPr>
        <w:tc>
          <w:tcPr>
            <w:tcW w:type="dxa" w:w="4295"/>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ProcurementSystem.Contracts</w:t>
            </w:r>
          </w:p>
        </w:tc>
        <w:tc>
          <w:tcPr>
            <w:tcW w:type="dxa" w:w="275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события и поисковые документы</w:t>
            </w:r>
          </w:p>
        </w:tc>
        <w:tc>
          <w:tcPr>
            <w:tcW w:type="dxa" w:w="23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отсутствуют</w:t>
            </w:r>
          </w:p>
        </w:tc>
      </w:tr>
      <w:tr>
        <w:trPr>
          <w:cantSplit w:val="true"/>
        </w:trPr>
        <w:tc>
          <w:tcPr>
            <w:tcW w:type="dxa" w:w="4295"/>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ProcurementSystem.Infrastructure</w:t>
            </w:r>
          </w:p>
        </w:tc>
        <w:tc>
          <w:tcPr>
            <w:tcW w:type="dxa" w:w="275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EF Core, сервисы, адаптеры монолита</w:t>
            </w:r>
          </w:p>
        </w:tc>
        <w:tc>
          <w:tcPr>
            <w:tcW w:type="dxa" w:w="23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Domain, Contracts</w:t>
            </w:r>
          </w:p>
        </w:tc>
      </w:tr>
      <w:tr>
        <w:trPr>
          <w:cantSplit w:val="true"/>
        </w:trPr>
        <w:tc>
          <w:tcPr>
            <w:tcW w:type="dxa" w:w="4295"/>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ProcurementSystem.Api</w:t>
            </w:r>
          </w:p>
        </w:tc>
        <w:tc>
          <w:tcPr>
            <w:tcW w:type="dxa" w:w="275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HTTP catch-all, аудит, часть фоновых служб</w:t>
            </w:r>
          </w:p>
        </w:tc>
        <w:tc>
          <w:tcPr>
            <w:tcW w:type="dxa" w:w="23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Infrastructure</w:t>
            </w:r>
          </w:p>
        </w:tc>
      </w:tr>
      <w:tr>
        <w:trPr>
          <w:cantSplit w:val="true"/>
        </w:trPr>
        <w:tc>
          <w:tcPr>
            <w:tcW w:type="dxa" w:w="4295"/>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ProcurementSystem.Worker</w:t>
            </w:r>
          </w:p>
        </w:tc>
        <w:tc>
          <w:tcPr>
            <w:tcW w:type="dxa" w:w="275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потребитель JetStream и индексатор</w:t>
            </w:r>
          </w:p>
        </w:tc>
        <w:tc>
          <w:tcPr>
            <w:tcW w:type="dxa" w:w="23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Infrastructure</w:t>
            </w:r>
          </w:p>
        </w:tc>
      </w:tr>
      <w:tr>
        <w:trPr>
          <w:cantSplit w:val="true"/>
        </w:trPr>
        <w:tc>
          <w:tcPr>
            <w:tcW w:type="dxa" w:w="4295"/>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ProcurementSystem.Tests</w:t>
            </w:r>
          </w:p>
        </w:tc>
        <w:tc>
          <w:tcPr>
            <w:tcW w:type="dxa" w:w="275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тесты прикладной логики</w:t>
            </w:r>
          </w:p>
        </w:tc>
        <w:tc>
          <w:tcPr>
            <w:tcW w:type="dxa" w:w="230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Infrastructure</w:t>
            </w:r>
          </w:p>
        </w:tc>
      </w:tr>
    </w:tbl>
    <w:p>
      <w:pPr>
        <w:spacing w:after="0"/>
      </w:pPr>
    </w:p>
    <w:p>
      <w:pPr>
        <w:keepNext/>
        <w:spacing w:line="240" w:lineRule="auto" w:before="240" w:after="0"/>
        <w:ind w:firstLine="0"/>
        <w:jc w:val="center"/>
      </w:pPr>
      <w:r>
        <w:drawing>
          <wp:inline xmlns:a="http://schemas.openxmlformats.org/drawingml/2006/main" xmlns:pic="http://schemas.openxmlformats.org/drawingml/2006/picture">
            <wp:extent cx="5760000" cy="4640400"/>
            <wp:docPr id="12" name="Picture 12"/>
            <wp:cNvGraphicFramePr>
              <a:graphicFrameLocks noChangeAspect="1"/>
            </wp:cNvGraphicFramePr>
            <a:graphic>
              <a:graphicData uri="http://schemas.openxmlformats.org/drawingml/2006/picture">
                <pic:pic>
                  <pic:nvPicPr>
                    <pic:cNvPr id="0" name="ris-03-layers.png"/>
                    <pic:cNvPicPr/>
                  </pic:nvPicPr>
                  <pic:blipFill>
                    <a:blip r:embed="rId22"/>
                    <a:stretch>
                      <a:fillRect/>
                    </a:stretch>
                  </pic:blipFill>
                  <pic:spPr>
                    <a:xfrm>
                      <a:off x="0" y="0"/>
                      <a:ext cx="5760000" cy="4640400"/>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12 – Слоистая архитектура базового приложения</w:t>
      </w:r>
    </w:p>
    <w:p>
      <w:r>
        <w:rPr>
          <w:rFonts w:ascii="Times New Roman" w:hAnsi="Times New Roman" w:eastAsia="Times New Roman" w:cs="Times New Roman"/>
          <w:b w:val="0"/>
          <w:color w:val="000000"/>
          <w:sz w:val="28"/>
        </w:rPr>
        <w:t>Рабочий стенд добавляет к монолиту React SPA, шлюз YARP, выделенные сервисы, PostgreSQL, NATS JetStream, Worker, Meilisearch, Keycloak и Grafana LGTM. Распределённый контур изображён на рисунке 13, а разбиение на UML-компоненты приведено на рисунке 14. Шлюз выбран не как «ещё один прокси», а как точка, через которую можно переключать префикс URL с монолита на новый процесс, не ломая SPA [18]. Пока префикс не переключён, клиент продолжает работать; после переключения тот же контракт обслуживает уже другой хост.</w:t>
      </w:r>
    </w:p>
    <w:p>
      <w:pPr>
        <w:keepNext/>
        <w:spacing w:line="240" w:lineRule="auto" w:before="240" w:after="0"/>
        <w:ind w:firstLine="0"/>
        <w:jc w:val="center"/>
      </w:pPr>
      <w:r>
        <w:drawing>
          <wp:inline xmlns:a="http://schemas.openxmlformats.org/drawingml/2006/main" xmlns:pic="http://schemas.openxmlformats.org/drawingml/2006/picture">
            <wp:extent cx="5760000" cy="4000000"/>
            <wp:docPr id="13" name="Picture 13"/>
            <wp:cNvGraphicFramePr>
              <a:graphicFrameLocks noChangeAspect="1"/>
            </wp:cNvGraphicFramePr>
            <a:graphic>
              <a:graphicData uri="http://schemas.openxmlformats.org/drawingml/2006/picture">
                <pic:pic>
                  <pic:nvPicPr>
                    <pic:cNvPr id="0" name="ris-04-distributed.png"/>
                    <pic:cNvPicPr/>
                  </pic:nvPicPr>
                  <pic:blipFill>
                    <a:blip r:embed="rId23"/>
                    <a:stretch>
                      <a:fillRect/>
                    </a:stretch>
                  </pic:blipFill>
                  <pic:spPr>
                    <a:xfrm>
                      <a:off x="0" y="0"/>
                      <a:ext cx="5760000" cy="4000000"/>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13 – Распределённый контур системы</w:t>
      </w:r>
    </w:p>
    <w:p>
      <w:pPr>
        <w:keepNext/>
        <w:spacing w:line="240" w:lineRule="auto" w:before="240" w:after="0"/>
        <w:ind w:firstLine="0"/>
        <w:jc w:val="center"/>
      </w:pPr>
      <w:r>
        <w:drawing>
          <wp:inline xmlns:a="http://schemas.openxmlformats.org/drawingml/2006/main" xmlns:pic="http://schemas.openxmlformats.org/drawingml/2006/picture">
            <wp:extent cx="5760000" cy="4124571"/>
            <wp:docPr id="14" name="Picture 14"/>
            <wp:cNvGraphicFramePr>
              <a:graphicFrameLocks noChangeAspect="1"/>
            </wp:cNvGraphicFramePr>
            <a:graphic>
              <a:graphicData uri="http://schemas.openxmlformats.org/drawingml/2006/picture">
                <pic:pic>
                  <pic:nvPicPr>
                    <pic:cNvPr id="0" name="ris-23-components.png"/>
                    <pic:cNvPicPr/>
                  </pic:nvPicPr>
                  <pic:blipFill>
                    <a:blip r:embed="rId24"/>
                    <a:stretch>
                      <a:fillRect/>
                    </a:stretch>
                  </pic:blipFill>
                  <pic:spPr>
                    <a:xfrm>
                      <a:off x="0" y="0"/>
                      <a:ext cx="5760000" cy="4124571"/>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14 – UML-диаграмма компонентов</w:t>
      </w:r>
    </w:p>
    <w:p>
      <w:r>
        <w:rPr>
          <w:rFonts w:ascii="Times New Roman" w:hAnsi="Times New Roman" w:eastAsia="Times New Roman" w:cs="Times New Roman"/>
          <w:b w:val="0"/>
          <w:color w:val="000000"/>
          <w:sz w:val="28"/>
        </w:rPr>
        <w:t xml:space="preserve">Индекс обновляется через транзакционный Outbox, а не прямым вызовом поискового движка из той же операции, что пишет товар. Двойная запись в PostgreSQL и в поиск без общей транзакции как раз и даёт классический разъезд хранилищ [13]: при сбое между вызовами товар есть в базе и отсутствует в индексе, либо наоборот. Сервис сохраняет изменение и </w:t>
      </w:r>
      <w:r>
        <w:rPr>
          <w:rFonts w:ascii="Courier New" w:hAnsi="Courier New" w:eastAsia="Courier New" w:cs="Courier New"/>
          <w:b w:val="0"/>
          <w:color w:val="000000"/>
          <w:sz w:val="26"/>
        </w:rPr>
        <w:t>OutboxMessage</w:t>
      </w:r>
      <w:r>
        <w:rPr>
          <w:rFonts w:ascii="Times New Roman" w:hAnsi="Times New Roman" w:eastAsia="Times New Roman" w:cs="Times New Roman"/>
          <w:b w:val="0"/>
          <w:color w:val="000000"/>
          <w:sz w:val="28"/>
        </w:rPr>
        <w:t xml:space="preserve"> одним </w:t>
      </w:r>
      <w:r>
        <w:rPr>
          <w:rFonts w:ascii="Courier New" w:hAnsi="Courier New" w:eastAsia="Courier New" w:cs="Courier New"/>
          <w:b w:val="0"/>
          <w:color w:val="000000"/>
          <w:sz w:val="26"/>
        </w:rPr>
        <w:t>SaveChanges</w:t>
      </w:r>
      <w:r>
        <w:rPr>
          <w:rFonts w:ascii="Times New Roman" w:hAnsi="Times New Roman" w:eastAsia="Times New Roman" w:cs="Times New Roman"/>
          <w:b w:val="0"/>
          <w:color w:val="000000"/>
          <w:sz w:val="28"/>
        </w:rPr>
        <w:t xml:space="preserve">, после чего издатель читает неотправленные сообщения, публикует их в JetStream и проставляет время. Worker заново читает актуальный товар из PostgreSQL и выполняет upsert в Meilisearch: успех подтверждается </w:t>
      </w:r>
      <w:r>
        <w:rPr>
          <w:rFonts w:ascii="Courier New" w:hAnsi="Courier New" w:eastAsia="Courier New" w:cs="Courier New"/>
          <w:b w:val="0"/>
          <w:color w:val="000000"/>
          <w:sz w:val="26"/>
        </w:rPr>
        <w:t>Ack</w:t>
      </w:r>
      <w:r>
        <w:rPr>
          <w:rFonts w:ascii="Times New Roman" w:hAnsi="Times New Roman" w:eastAsia="Times New Roman" w:cs="Times New Roman"/>
          <w:b w:val="0"/>
          <w:color w:val="000000"/>
          <w:sz w:val="28"/>
        </w:rPr>
        <w:t xml:space="preserve">, ошибка возвращается </w:t>
      </w:r>
      <w:r>
        <w:rPr>
          <w:rFonts w:ascii="Courier New" w:hAnsi="Courier New" w:eastAsia="Courier New" w:cs="Courier New"/>
          <w:b w:val="0"/>
          <w:color w:val="000000"/>
          <w:sz w:val="26"/>
        </w:rPr>
        <w:t>Nak</w:t>
      </w:r>
      <w:r>
        <w:rPr>
          <w:rFonts w:ascii="Times New Roman" w:hAnsi="Times New Roman" w:eastAsia="Times New Roman" w:cs="Times New Roman"/>
          <w:b w:val="0"/>
          <w:color w:val="000000"/>
          <w:sz w:val="28"/>
        </w:rPr>
        <w:t>. Свойства этого контура, из-за которых индекс не «теряет» запись и API не зависит от доступности поиска, сведены в таблицу 21; последовательность вызовов показана на рисунке 15.</w:t>
      </w:r>
    </w:p>
    <w:p>
      <w:pPr>
        <w:pStyle w:val="GOSTCaption"/>
        <w:keepNext/>
        <w:jc w:val="left"/>
      </w:pPr>
      <w:r>
        <w:rPr>
          <w:rFonts w:ascii="Times New Roman" w:hAnsi="Times New Roman" w:eastAsia="Times New Roman" w:cs="Times New Roman"/>
          <w:b w:val="0"/>
          <w:color w:val="000000"/>
          <w:sz w:val="28"/>
        </w:rPr>
        <w:t>Таблица 21 – Свойства асинхронной синхронизации поиска</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val="true"/>
          <w:tblHeader w:val="true"/>
        </w:trPr>
        <w:tc>
          <w:tcPr>
            <w:tcW w:type="dxa" w:w="3168"/>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Свойство</w:t>
            </w:r>
          </w:p>
        </w:tc>
        <w:tc>
          <w:tcPr>
            <w:tcW w:type="dxa" w:w="3168"/>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Реализация</w:t>
            </w:r>
          </w:p>
        </w:tc>
        <w:tc>
          <w:tcPr>
            <w:tcW w:type="dxa" w:w="3018"/>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Эффект</w:t>
            </w:r>
          </w:p>
        </w:tc>
      </w:tr>
      <w:tr>
        <w:trPr>
          <w:cantSplit w:val="true"/>
        </w:trPr>
        <w:tc>
          <w:tcPr>
            <w:tcW w:type="dxa" w:w="316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Атомарность</w:t>
            </w:r>
          </w:p>
        </w:tc>
        <w:tc>
          <w:tcPr>
            <w:tcW w:type="dxa" w:w="316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данные и Outbox в одной транзакции</w:t>
            </w:r>
          </w:p>
        </w:tc>
        <w:tc>
          <w:tcPr>
            <w:tcW w:type="dxa" w:w="301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события нет без изменения</w:t>
            </w:r>
          </w:p>
        </w:tc>
      </w:tr>
      <w:tr>
        <w:trPr>
          <w:cantSplit w:val="true"/>
        </w:trPr>
        <w:tc>
          <w:tcPr>
            <w:tcW w:type="dxa" w:w="316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Устойчивость</w:t>
            </w:r>
          </w:p>
        </w:tc>
        <w:tc>
          <w:tcPr>
            <w:tcW w:type="dxa" w:w="316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запись в БД до публикации</w:t>
            </w:r>
          </w:p>
        </w:tc>
        <w:tc>
          <w:tcPr>
            <w:tcW w:type="dxa" w:w="301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восстановление после сбоя брокера</w:t>
            </w:r>
          </w:p>
        </w:tc>
      </w:tr>
      <w:tr>
        <w:trPr>
          <w:cantSplit w:val="true"/>
        </w:trPr>
        <w:tc>
          <w:tcPr>
            <w:tcW w:type="dxa" w:w="316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At-least-once</w:t>
            </w:r>
          </w:p>
        </w:tc>
        <w:tc>
          <w:tcPr>
            <w:tcW w:type="dxa" w:w="316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JetStream до </w:t>
            </w:r>
            <w:r>
              <w:rPr>
                <w:rFonts w:ascii="Courier New" w:hAnsi="Courier New" w:eastAsia="Courier New" w:cs="Courier New"/>
                <w:b w:val="0"/>
                <w:color w:val="000000"/>
                <w:sz w:val="22"/>
              </w:rPr>
              <w:t>Ack</w:t>
            </w:r>
          </w:p>
        </w:tc>
        <w:tc>
          <w:tcPr>
            <w:tcW w:type="dxa" w:w="301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повтор при ошибке Worker</w:t>
            </w:r>
          </w:p>
        </w:tc>
      </w:tr>
      <w:tr>
        <w:trPr>
          <w:cantSplit w:val="true"/>
        </w:trPr>
        <w:tc>
          <w:tcPr>
            <w:tcW w:type="dxa" w:w="316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Идемпотентность</w:t>
            </w:r>
          </w:p>
        </w:tc>
        <w:tc>
          <w:tcPr>
            <w:tcW w:type="dxa" w:w="316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повторный upsert товара</w:t>
            </w:r>
          </w:p>
        </w:tc>
        <w:tc>
          <w:tcPr>
            <w:tcW w:type="dxa" w:w="301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дубликат безопасен</w:t>
            </w:r>
          </w:p>
        </w:tc>
      </w:tr>
      <w:tr>
        <w:trPr>
          <w:cantSplit w:val="true"/>
        </w:trPr>
        <w:tc>
          <w:tcPr>
            <w:tcW w:type="dxa" w:w="316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Заменяемость</w:t>
            </w:r>
          </w:p>
        </w:tc>
        <w:tc>
          <w:tcPr>
            <w:tcW w:type="dxa" w:w="3168"/>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IEventBus</w:t>
            </w:r>
            <w:r>
              <w:rPr>
                <w:rFonts w:ascii="Times New Roman" w:hAnsi="Times New Roman" w:eastAsia="Times New Roman" w:cs="Times New Roman"/>
                <w:b w:val="0"/>
                <w:color w:val="000000"/>
                <w:sz w:val="24"/>
              </w:rPr>
              <w:t xml:space="preserve">, </w:t>
            </w:r>
            <w:r>
              <w:rPr>
                <w:rFonts w:ascii="Courier New" w:hAnsi="Courier New" w:eastAsia="Courier New" w:cs="Courier New"/>
                <w:b w:val="0"/>
                <w:color w:val="000000"/>
                <w:sz w:val="22"/>
              </w:rPr>
              <w:t>ISearchEngine</w:t>
            </w:r>
          </w:p>
        </w:tc>
        <w:tc>
          <w:tcPr>
            <w:tcW w:type="dxa" w:w="301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продукт меняется адаптером</w:t>
            </w:r>
          </w:p>
        </w:tc>
      </w:tr>
    </w:tbl>
    <w:p>
      <w:pPr>
        <w:spacing w:after="0"/>
      </w:pPr>
    </w:p>
    <w:p>
      <w:pPr>
        <w:keepNext/>
        <w:spacing w:line="240" w:lineRule="auto" w:before="240" w:after="0"/>
        <w:ind w:firstLine="0"/>
        <w:jc w:val="center"/>
      </w:pPr>
      <w:r>
        <w:drawing>
          <wp:inline xmlns:a="http://schemas.openxmlformats.org/drawingml/2006/main" xmlns:pic="http://schemas.openxmlformats.org/drawingml/2006/picture">
            <wp:extent cx="5760000" cy="1882800"/>
            <wp:docPr id="15" name="Picture 15"/>
            <wp:cNvGraphicFramePr>
              <a:graphicFrameLocks noChangeAspect="1"/>
            </wp:cNvGraphicFramePr>
            <a:graphic>
              <a:graphicData uri="http://schemas.openxmlformats.org/drawingml/2006/picture">
                <pic:pic>
                  <pic:nvPicPr>
                    <pic:cNvPr id="0" name="ris-05-outbox.png"/>
                    <pic:cNvPicPr/>
                  </pic:nvPicPr>
                  <pic:blipFill>
                    <a:blip r:embed="rId25"/>
                    <a:stretch>
                      <a:fillRect/>
                    </a:stretch>
                  </pic:blipFill>
                  <pic:spPr>
                    <a:xfrm>
                      <a:off x="0" y="0"/>
                      <a:ext cx="5760000" cy="1882800"/>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15 – Последовательность Outbox — NATS — Worker — Meilisearch</w:t>
      </w:r>
    </w:p>
    <w:p>
      <w:r>
        <w:rPr>
          <w:rFonts w:ascii="Times New Roman" w:hAnsi="Times New Roman" w:eastAsia="Times New Roman" w:cs="Times New Roman"/>
          <w:b w:val="0"/>
          <w:color w:val="000000"/>
          <w:sz w:val="28"/>
        </w:rPr>
        <w:t xml:space="preserve">В Docker клиент ходит только в шлюз, и фактическая маршрутизация YARP приведена в таблице 22: вынесенные префиксы получают трафик, остальной </w:t>
      </w:r>
      <w:r>
        <w:rPr>
          <w:rFonts w:ascii="Courier New" w:hAnsi="Courier New" w:eastAsia="Courier New" w:cs="Courier New"/>
          <w:b w:val="0"/>
          <w:color w:val="000000"/>
          <w:sz w:val="26"/>
        </w:rPr>
        <w:t>/api/*</w:t>
      </w:r>
      <w:r>
        <w:rPr>
          <w:rFonts w:ascii="Times New Roman" w:hAnsi="Times New Roman" w:eastAsia="Times New Roman" w:cs="Times New Roman"/>
          <w:b w:val="0"/>
          <w:color w:val="000000"/>
          <w:sz w:val="28"/>
        </w:rPr>
        <w:t xml:space="preserve"> остаётся catch-all монолита (поиск, проекты, аналитика, аудит). Маршрут Matching имеет </w:t>
      </w:r>
      <w:r>
        <w:rPr>
          <w:rFonts w:ascii="Courier New" w:hAnsi="Courier New" w:eastAsia="Courier New" w:cs="Courier New"/>
          <w:b w:val="0"/>
          <w:color w:val="000000"/>
          <w:sz w:val="26"/>
        </w:rPr>
        <w:t>Order: 5</w:t>
      </w:r>
      <w:r>
        <w:rPr>
          <w:rFonts w:ascii="Times New Roman" w:hAnsi="Times New Roman" w:eastAsia="Times New Roman" w:cs="Times New Roman"/>
          <w:b w:val="0"/>
          <w:color w:val="000000"/>
          <w:sz w:val="28"/>
        </w:rPr>
        <w:t xml:space="preserve">, поэтому </w:t>
      </w:r>
      <w:r>
        <w:rPr>
          <w:rFonts w:ascii="Courier New" w:hAnsi="Courier New" w:eastAsia="Courier New" w:cs="Courier New"/>
          <w:b w:val="0"/>
          <w:color w:val="000000"/>
          <w:sz w:val="26"/>
        </w:rPr>
        <w:t>/api/specifications/{id}/match*</w:t>
      </w:r>
      <w:r>
        <w:rPr>
          <w:rFonts w:ascii="Times New Roman" w:hAnsi="Times New Roman" w:eastAsia="Times New Roman" w:cs="Times New Roman"/>
          <w:b w:val="0"/>
          <w:color w:val="000000"/>
          <w:sz w:val="28"/>
        </w:rPr>
        <w:t xml:space="preserve"> перехватывается раньше префикса Quoting. Если бы порядок был обратным, сопоставление ушло бы в сервис КП, у которого нет модели матчера, и экран </w:t>
      </w:r>
      <w:r>
        <w:rPr>
          <w:rFonts w:ascii="Courier New" w:hAnsi="Courier New" w:eastAsia="Courier New" w:cs="Courier New"/>
          <w:b w:val="0"/>
          <w:color w:val="000000"/>
          <w:sz w:val="26"/>
        </w:rPr>
        <w:t>/specifications/:id/match</w:t>
      </w:r>
      <w:r>
        <w:rPr>
          <w:rFonts w:ascii="Times New Roman" w:hAnsi="Times New Roman" w:eastAsia="Times New Roman" w:cs="Times New Roman"/>
          <w:b w:val="0"/>
          <w:color w:val="000000"/>
          <w:sz w:val="28"/>
        </w:rPr>
        <w:t xml:space="preserve"> сломался бы после cutover.</w:t>
      </w:r>
    </w:p>
    <w:p>
      <w:pPr>
        <w:pStyle w:val="GOSTCaption"/>
        <w:keepNext/>
        <w:jc w:val="left"/>
      </w:pPr>
      <w:r>
        <w:rPr>
          <w:rFonts w:ascii="Times New Roman" w:hAnsi="Times New Roman" w:eastAsia="Times New Roman" w:cs="Times New Roman"/>
          <w:b w:val="0"/>
          <w:color w:val="000000"/>
          <w:sz w:val="28"/>
        </w:rPr>
        <w:t>Таблица 22 – Фактическая маршрутизация YARP (Docker)</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val="true"/>
          <w:tblHeader w:val="true"/>
        </w:trPr>
        <w:tc>
          <w:tcPr>
            <w:tcW w:type="dxa" w:w="4627"/>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Путь</w:t>
            </w:r>
          </w:p>
        </w:tc>
        <w:tc>
          <w:tcPr>
            <w:tcW w:type="dxa" w:w="2373"/>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Назначение</w:t>
            </w:r>
          </w:p>
        </w:tc>
        <w:tc>
          <w:tcPr>
            <w:tcW w:type="dxa" w:w="2355"/>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Состояние</w:t>
            </w:r>
          </w:p>
        </w:tc>
      </w:tr>
      <w:tr>
        <w:trPr>
          <w:cantSplit w:val="true"/>
        </w:trPr>
        <w:tc>
          <w:tcPr>
            <w:tcW w:type="dxa" w:w="4627"/>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/api/auth/*</w:t>
            </w:r>
            <w:r>
              <w:rPr>
                <w:rFonts w:ascii="Times New Roman" w:hAnsi="Times New Roman" w:eastAsia="Times New Roman" w:cs="Times New Roman"/>
                <w:b w:val="0"/>
                <w:color w:val="000000"/>
                <w:sz w:val="24"/>
              </w:rPr>
              <w:t xml:space="preserve">, </w:t>
            </w:r>
            <w:r>
              <w:rPr>
                <w:rFonts w:ascii="Courier New" w:hAnsi="Courier New" w:eastAsia="Courier New" w:cs="Courier New"/>
                <w:b w:val="0"/>
                <w:color w:val="000000"/>
                <w:sz w:val="22"/>
              </w:rPr>
              <w:t>/api/users/*</w:t>
            </w:r>
          </w:p>
        </w:tc>
        <w:tc>
          <w:tcPr>
            <w:tcW w:type="dxa" w:w="237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Auth</w:t>
            </w:r>
          </w:p>
        </w:tc>
        <w:tc>
          <w:tcPr>
            <w:tcW w:type="dxa" w:w="235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получает трафик</w:t>
            </w:r>
          </w:p>
        </w:tc>
      </w:tr>
      <w:tr>
        <w:trPr>
          <w:cantSplit w:val="true"/>
        </w:trPr>
        <w:tc>
          <w:tcPr>
            <w:tcW w:type="dxa" w:w="4627"/>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/api/catalog/*</w:t>
            </w:r>
            <w:r>
              <w:rPr>
                <w:rFonts w:ascii="Times New Roman" w:hAnsi="Times New Roman" w:eastAsia="Times New Roman" w:cs="Times New Roman"/>
                <w:b w:val="0"/>
                <w:color w:val="000000"/>
                <w:sz w:val="24"/>
              </w:rPr>
              <w:t xml:space="preserve">, </w:t>
            </w:r>
            <w:r>
              <w:rPr>
                <w:rFonts w:ascii="Courier New" w:hAnsi="Courier New" w:eastAsia="Courier New" w:cs="Courier New"/>
                <w:b w:val="0"/>
                <w:color w:val="000000"/>
                <w:sz w:val="22"/>
              </w:rPr>
              <w:t>/api/products/*</w:t>
            </w:r>
            <w:r>
              <w:rPr>
                <w:rFonts w:ascii="Times New Roman" w:hAnsi="Times New Roman" w:eastAsia="Times New Roman" w:cs="Times New Roman"/>
                <w:b w:val="0"/>
                <w:color w:val="000000"/>
                <w:sz w:val="24"/>
              </w:rPr>
              <w:t xml:space="preserve">, </w:t>
            </w:r>
            <w:r>
              <w:rPr>
                <w:rFonts w:ascii="Courier New" w:hAnsi="Courier New" w:eastAsia="Courier New" w:cs="Courier New"/>
                <w:b w:val="0"/>
                <w:color w:val="000000"/>
                <w:sz w:val="22"/>
              </w:rPr>
              <w:t>/api/vendors/*</w:t>
            </w:r>
            <w:r>
              <w:rPr>
                <w:rFonts w:ascii="Times New Roman" w:hAnsi="Times New Roman" w:eastAsia="Times New Roman" w:cs="Times New Roman"/>
                <w:b w:val="0"/>
                <w:color w:val="000000"/>
                <w:sz w:val="24"/>
              </w:rPr>
              <w:t xml:space="preserve">, </w:t>
            </w:r>
            <w:r>
              <w:rPr>
                <w:rFonts w:ascii="Courier New" w:hAnsi="Courier New" w:eastAsia="Courier New" w:cs="Courier New"/>
                <w:b w:val="0"/>
                <w:color w:val="000000"/>
                <w:sz w:val="22"/>
              </w:rPr>
              <w:t>/api/manufacturers/*</w:t>
            </w:r>
            <w:r>
              <w:rPr>
                <w:rFonts w:ascii="Times New Roman" w:hAnsi="Times New Roman" w:eastAsia="Times New Roman" w:cs="Times New Roman"/>
                <w:b w:val="0"/>
                <w:color w:val="000000"/>
                <w:sz w:val="24"/>
              </w:rPr>
              <w:t xml:space="preserve">, </w:t>
            </w:r>
            <w:r>
              <w:rPr>
                <w:rFonts w:ascii="Courier New" w:hAnsi="Courier New" w:eastAsia="Courier New" w:cs="Courier New"/>
                <w:b w:val="0"/>
                <w:color w:val="000000"/>
                <w:sz w:val="22"/>
              </w:rPr>
              <w:t>/api/pricelist/*</w:t>
            </w:r>
            <w:r>
              <w:rPr>
                <w:rFonts w:ascii="Times New Roman" w:hAnsi="Times New Roman" w:eastAsia="Times New Roman" w:cs="Times New Roman"/>
                <w:b w:val="0"/>
                <w:color w:val="000000"/>
                <w:sz w:val="24"/>
              </w:rPr>
              <w:t xml:space="preserve">, </w:t>
            </w:r>
            <w:r>
              <w:rPr>
                <w:rFonts w:ascii="Courier New" w:hAnsi="Courier New" w:eastAsia="Courier New" w:cs="Courier New"/>
                <w:b w:val="0"/>
                <w:color w:val="000000"/>
                <w:sz w:val="22"/>
              </w:rPr>
              <w:t>/api/discounts/*</w:t>
            </w:r>
          </w:p>
        </w:tc>
        <w:tc>
          <w:tcPr>
            <w:tcW w:type="dxa" w:w="237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Catalog</w:t>
            </w:r>
          </w:p>
        </w:tc>
        <w:tc>
          <w:tcPr>
            <w:tcW w:type="dxa" w:w="235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получает трафик</w:t>
            </w:r>
          </w:p>
        </w:tc>
      </w:tr>
      <w:tr>
        <w:trPr>
          <w:cantSplit w:val="true"/>
        </w:trPr>
        <w:tc>
          <w:tcPr>
            <w:tcW w:type="dxa" w:w="4627"/>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/api/specifications/*</w:t>
            </w:r>
            <w:r>
              <w:rPr>
                <w:rFonts w:ascii="Times New Roman" w:hAnsi="Times New Roman" w:eastAsia="Times New Roman" w:cs="Times New Roman"/>
                <w:b w:val="0"/>
                <w:color w:val="000000"/>
                <w:sz w:val="24"/>
              </w:rPr>
              <w:t xml:space="preserve"> (кроме </w:t>
            </w:r>
            <w:r>
              <w:rPr>
                <w:rFonts w:ascii="Courier New" w:hAnsi="Courier New" w:eastAsia="Courier New" w:cs="Courier New"/>
                <w:b w:val="0"/>
                <w:color w:val="000000"/>
                <w:sz w:val="22"/>
              </w:rPr>
              <w:t>…/match</w:t>
            </w:r>
            <w:r>
              <w:rPr>
                <w:rFonts w:ascii="Times New Roman" w:hAnsi="Times New Roman" w:eastAsia="Times New Roman" w:cs="Times New Roman"/>
                <w:b w:val="0"/>
                <w:color w:val="000000"/>
                <w:sz w:val="24"/>
              </w:rPr>
              <w:t>)</w:t>
            </w:r>
          </w:p>
        </w:tc>
        <w:tc>
          <w:tcPr>
            <w:tcW w:type="dxa" w:w="237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Quoting</w:t>
            </w:r>
          </w:p>
        </w:tc>
        <w:tc>
          <w:tcPr>
            <w:tcW w:type="dxa" w:w="235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получает трафик</w:t>
            </w:r>
          </w:p>
        </w:tc>
      </w:tr>
      <w:tr>
        <w:trPr>
          <w:cantSplit w:val="true"/>
        </w:trPr>
        <w:tc>
          <w:tcPr>
            <w:tcW w:type="dxa" w:w="4627"/>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/api/matching/*</w:t>
            </w:r>
            <w:r>
              <w:rPr>
                <w:rFonts w:ascii="Times New Roman" w:hAnsi="Times New Roman" w:eastAsia="Times New Roman" w:cs="Times New Roman"/>
                <w:b w:val="0"/>
                <w:color w:val="000000"/>
                <w:sz w:val="24"/>
              </w:rPr>
              <w:t xml:space="preserve">, </w:t>
            </w:r>
            <w:r>
              <w:rPr>
                <w:rFonts w:ascii="Courier New" w:hAnsi="Courier New" w:eastAsia="Courier New" w:cs="Courier New"/>
                <w:b w:val="0"/>
                <w:color w:val="000000"/>
                <w:sz w:val="22"/>
              </w:rPr>
              <w:t>/api/specifications/{id}/match*</w:t>
            </w:r>
          </w:p>
        </w:tc>
        <w:tc>
          <w:tcPr>
            <w:tcW w:type="dxa" w:w="237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Matching</w:t>
            </w:r>
          </w:p>
        </w:tc>
        <w:tc>
          <w:tcPr>
            <w:tcW w:type="dxa" w:w="235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получает трафик (</w:t>
            </w:r>
            <w:r>
              <w:rPr>
                <w:rFonts w:ascii="Courier New" w:hAnsi="Courier New" w:eastAsia="Courier New" w:cs="Courier New"/>
                <w:b w:val="0"/>
                <w:color w:val="000000"/>
                <w:sz w:val="22"/>
              </w:rPr>
              <w:t>Order: 5</w:t>
            </w:r>
            <w:r>
              <w:rPr>
                <w:rFonts w:ascii="Times New Roman" w:hAnsi="Times New Roman" w:eastAsia="Times New Roman" w:cs="Times New Roman"/>
                <w:b w:val="0"/>
                <w:color w:val="000000"/>
                <w:sz w:val="24"/>
              </w:rPr>
              <w:t xml:space="preserve"> — раньше префикса Quoting)</w:t>
            </w:r>
          </w:p>
        </w:tc>
      </w:tr>
      <w:tr>
        <w:trPr>
          <w:cantSplit w:val="true"/>
        </w:trPr>
        <w:tc>
          <w:tcPr>
            <w:tcW w:type="dxa" w:w="4627"/>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/api/approvals/*</w:t>
            </w:r>
            <w:r>
              <w:rPr>
                <w:rFonts w:ascii="Times New Roman" w:hAnsi="Times New Roman" w:eastAsia="Times New Roman" w:cs="Times New Roman"/>
                <w:b w:val="0"/>
                <w:color w:val="000000"/>
                <w:sz w:val="24"/>
              </w:rPr>
              <w:t xml:space="preserve">, </w:t>
            </w:r>
            <w:r>
              <w:rPr>
                <w:rFonts w:ascii="Courier New" w:hAnsi="Courier New" w:eastAsia="Courier New" w:cs="Courier New"/>
                <w:b w:val="0"/>
                <w:color w:val="000000"/>
                <w:sz w:val="22"/>
              </w:rPr>
              <w:t>/api/invoices/*</w:t>
            </w:r>
          </w:p>
        </w:tc>
        <w:tc>
          <w:tcPr>
            <w:tcW w:type="dxa" w:w="237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Commercial</w:t>
            </w:r>
          </w:p>
        </w:tc>
        <w:tc>
          <w:tcPr>
            <w:tcW w:type="dxa" w:w="235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получает трафик</w:t>
            </w:r>
          </w:p>
        </w:tc>
      </w:tr>
      <w:tr>
        <w:trPr>
          <w:cantSplit w:val="true"/>
        </w:trPr>
        <w:tc>
          <w:tcPr>
            <w:tcW w:type="dxa" w:w="4627"/>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/api/orders/*</w:t>
            </w:r>
          </w:p>
        </w:tc>
        <w:tc>
          <w:tcPr>
            <w:tcW w:type="dxa" w:w="237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Ordering</w:t>
            </w:r>
          </w:p>
        </w:tc>
        <w:tc>
          <w:tcPr>
            <w:tcW w:type="dxa" w:w="235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получает трафик</w:t>
            </w:r>
          </w:p>
        </w:tc>
      </w:tr>
      <w:tr>
        <w:trPr>
          <w:cantSplit w:val="true"/>
        </w:trPr>
        <w:tc>
          <w:tcPr>
            <w:tcW w:type="dxa" w:w="4627"/>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/api/receipts/*</w:t>
            </w:r>
          </w:p>
        </w:tc>
        <w:tc>
          <w:tcPr>
            <w:tcW w:type="dxa" w:w="237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Logistics</w:t>
            </w:r>
          </w:p>
        </w:tc>
        <w:tc>
          <w:tcPr>
            <w:tcW w:type="dxa" w:w="235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получает трафик</w:t>
            </w:r>
          </w:p>
        </w:tc>
      </w:tr>
      <w:tr>
        <w:trPr>
          <w:cantSplit w:val="true"/>
        </w:trPr>
        <w:tc>
          <w:tcPr>
            <w:tcW w:type="dxa" w:w="4627"/>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/api/notifications/*</w:t>
            </w:r>
          </w:p>
        </w:tc>
        <w:tc>
          <w:tcPr>
            <w:tcW w:type="dxa" w:w="237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Notifications</w:t>
            </w:r>
          </w:p>
        </w:tc>
        <w:tc>
          <w:tcPr>
            <w:tcW w:type="dxa" w:w="235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получает трафик</w:t>
            </w:r>
          </w:p>
        </w:tc>
      </w:tr>
      <w:tr>
        <w:trPr>
          <w:cantSplit w:val="true"/>
        </w:trPr>
        <w:tc>
          <w:tcPr>
            <w:tcW w:type="dxa" w:w="4627"/>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/api/retail/*</w:t>
            </w:r>
          </w:p>
        </w:tc>
        <w:tc>
          <w:tcPr>
            <w:tcW w:type="dxa" w:w="237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Retail</w:t>
            </w:r>
          </w:p>
        </w:tc>
        <w:tc>
          <w:tcPr>
            <w:tcW w:type="dxa" w:w="235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получает трафик</w:t>
            </w:r>
          </w:p>
        </w:tc>
      </w:tr>
      <w:tr>
        <w:trPr>
          <w:cantSplit w:val="true"/>
        </w:trPr>
        <w:tc>
          <w:tcPr>
            <w:tcW w:type="dxa" w:w="462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остальные </w:t>
            </w:r>
            <w:r>
              <w:rPr>
                <w:rFonts w:ascii="Courier New" w:hAnsi="Courier New" w:eastAsia="Courier New" w:cs="Courier New"/>
                <w:b w:val="0"/>
                <w:color w:val="000000"/>
                <w:sz w:val="22"/>
              </w:rPr>
              <w:t>/api/*</w:t>
            </w:r>
          </w:p>
        </w:tc>
        <w:tc>
          <w:tcPr>
            <w:tcW w:type="dxa" w:w="237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монолит Api</w:t>
            </w:r>
          </w:p>
        </w:tc>
        <w:tc>
          <w:tcPr>
            <w:tcW w:type="dxa" w:w="235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catch-all: поиск, проекты, аналитика, аудит</w:t>
            </w:r>
          </w:p>
        </w:tc>
      </w:tr>
    </w:tbl>
    <w:p>
      <w:pPr>
        <w:spacing w:after="0"/>
      </w:pPr>
    </w:p>
    <w:p>
      <w:r>
        <w:rPr>
          <w:rFonts w:ascii="Times New Roman" w:hAnsi="Times New Roman" w:eastAsia="Times New Roman" w:cs="Times New Roman"/>
          <w:b w:val="0"/>
          <w:color w:val="000000"/>
          <w:sz w:val="28"/>
        </w:rPr>
        <w:t xml:space="preserve">Локальный Vite шлюз не использует: запросы </w:t>
      </w:r>
      <w:r>
        <w:rPr>
          <w:rFonts w:ascii="Courier New" w:hAnsi="Courier New" w:eastAsia="Courier New" w:cs="Courier New"/>
          <w:b w:val="0"/>
          <w:color w:val="000000"/>
          <w:sz w:val="26"/>
        </w:rPr>
        <w:t>/api/auth</w:t>
      </w:r>
      <w:r>
        <w:rPr>
          <w:rFonts w:ascii="Times New Roman" w:hAnsi="Times New Roman" w:eastAsia="Times New Roman" w:cs="Times New Roman"/>
          <w:b w:val="0"/>
          <w:color w:val="000000"/>
          <w:sz w:val="28"/>
        </w:rPr>
        <w:t xml:space="preserve"> и </w:t>
      </w:r>
      <w:r>
        <w:rPr>
          <w:rFonts w:ascii="Courier New" w:hAnsi="Courier New" w:eastAsia="Courier New" w:cs="Courier New"/>
          <w:b w:val="0"/>
          <w:color w:val="000000"/>
          <w:sz w:val="26"/>
        </w:rPr>
        <w:t>/api/users</w:t>
      </w:r>
      <w:r>
        <w:rPr>
          <w:rFonts w:ascii="Times New Roman" w:hAnsi="Times New Roman" w:eastAsia="Times New Roman" w:cs="Times New Roman"/>
          <w:b w:val="0"/>
          <w:color w:val="000000"/>
          <w:sz w:val="28"/>
        </w:rPr>
        <w:t xml:space="preserve"> идут на Auth, остальной </w:t>
      </w:r>
      <w:r>
        <w:rPr>
          <w:rFonts w:ascii="Courier New" w:hAnsi="Courier New" w:eastAsia="Courier New" w:cs="Courier New"/>
          <w:b w:val="0"/>
          <w:color w:val="000000"/>
          <w:sz w:val="26"/>
        </w:rPr>
        <w:t>/api</w:t>
      </w:r>
      <w:r>
        <w:rPr>
          <w:rFonts w:ascii="Times New Roman" w:hAnsi="Times New Roman" w:eastAsia="Times New Roman" w:cs="Times New Roman"/>
          <w:b w:val="0"/>
          <w:color w:val="000000"/>
          <w:sz w:val="28"/>
        </w:rPr>
        <w:t xml:space="preserve"> на монолит. Это отличие dev-контура от Docker нужно учитывать при проверке, иначе кажется, будто каталог «не вынесен»: на хосте живой путь каталога ещё читает схему </w:t>
      </w:r>
      <w:r>
        <w:rPr>
          <w:rFonts w:ascii="Courier New" w:hAnsi="Courier New" w:eastAsia="Courier New" w:cs="Courier New"/>
          <w:b w:val="0"/>
          <w:color w:val="000000"/>
          <w:sz w:val="26"/>
        </w:rPr>
        <w:t>public</w:t>
      </w:r>
      <w:r>
        <w:rPr>
          <w:rFonts w:ascii="Times New Roman" w:hAnsi="Times New Roman" w:eastAsia="Times New Roman" w:cs="Times New Roman"/>
          <w:b w:val="0"/>
          <w:color w:val="000000"/>
          <w:sz w:val="28"/>
        </w:rPr>
        <w:t xml:space="preserve"> монолита, тогда как в Compose тот же префикс уже обслуживает Catalog.</w:t>
      </w:r>
    </w:p>
    <w:p>
      <w:r>
        <w:rPr>
          <w:rFonts w:ascii="Times New Roman" w:hAnsi="Times New Roman" w:eastAsia="Times New Roman" w:cs="Times New Roman"/>
          <w:b w:val="0"/>
          <w:color w:val="000000"/>
          <w:sz w:val="28"/>
        </w:rPr>
        <w:t>Жизненные циклы документов спроектированы как конечные автоматы сущностей. Переходы принадлежат самим документам, чтобы сервис приложения не мог «поставить статус» в обход правила; согласование, счёт, заказ и приёмка показаны на рисунке 16.</w:t>
      </w:r>
    </w:p>
    <w:p>
      <w:pPr>
        <w:keepNext/>
        <w:spacing w:line="240" w:lineRule="auto" w:before="240" w:after="0"/>
        <w:ind w:firstLine="0"/>
        <w:jc w:val="center"/>
      </w:pPr>
      <w:r>
        <w:drawing>
          <wp:inline xmlns:a="http://schemas.openxmlformats.org/drawingml/2006/main" xmlns:pic="http://schemas.openxmlformats.org/drawingml/2006/picture">
            <wp:extent cx="5760000" cy="3862800"/>
            <wp:docPr id="16" name="Picture 16"/>
            <wp:cNvGraphicFramePr>
              <a:graphicFrameLocks noChangeAspect="1"/>
            </wp:cNvGraphicFramePr>
            <a:graphic>
              <a:graphicData uri="http://schemas.openxmlformats.org/drawingml/2006/picture">
                <pic:pic>
                  <pic:nvPicPr>
                    <pic:cNvPr id="0" name="ris-09-lifecycles.png"/>
                    <pic:cNvPicPr/>
                  </pic:nvPicPr>
                  <pic:blipFill>
                    <a:blip r:embed="rId26"/>
                    <a:stretch>
                      <a:fillRect/>
                    </a:stretch>
                  </pic:blipFill>
                  <pic:spPr>
                    <a:xfrm>
                      <a:off x="0" y="0"/>
                      <a:ext cx="5760000" cy="3862800"/>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16 – Жизненные циклы согласования, счёта, заказа и приёмки</w:t>
      </w:r>
    </w:p>
    <w:p>
      <w:r>
        <w:rPr>
          <w:rFonts w:ascii="Times New Roman" w:hAnsi="Times New Roman" w:eastAsia="Times New Roman" w:cs="Times New Roman"/>
          <w:b w:val="0"/>
          <w:color w:val="000000"/>
          <w:sz w:val="28"/>
        </w:rPr>
        <w:t xml:space="preserve">Документ Approval идёт из «НаСогласованииРП» в «ВКоммерческомБлоке» после наценки и завершается согласованием либо отклонением. Счёт Invoice создаётся только из согласованного документа и движется линейно: «Создан» → «Согласован» → «ОжиданиеОплаты» → «ЧастичнаяОплата» → «Оплачено» → «ОжиданиеПоставки» → «ПришёлНаСклад» → «ОтраженоВ1С». У заказа цепочка </w:t>
      </w:r>
      <w:r>
        <w:rPr>
          <w:rFonts w:ascii="Courier New" w:hAnsi="Courier New" w:eastAsia="Courier New" w:cs="Courier New"/>
          <w:b w:val="0"/>
          <w:color w:val="000000"/>
          <w:sz w:val="26"/>
        </w:rPr>
        <w:t>Draft → Placed → Confirmed → Shipped → Completed</w:t>
      </w:r>
      <w:r>
        <w:rPr>
          <w:rFonts w:ascii="Times New Roman" w:hAnsi="Times New Roman" w:eastAsia="Times New Roman" w:cs="Times New Roman"/>
          <w:b w:val="0"/>
          <w:color w:val="000000"/>
          <w:sz w:val="28"/>
        </w:rPr>
        <w:t>; отмена из ранних стадий возвращает резерв, а приёмка проводится один раз. Эти автоматы закрывают боль AS IS, где статусы жили в почте и допускали пропуск стадии.</w:t>
      </w:r>
    </w:p>
    <w:p>
      <w:r>
        <w:rPr>
          <w:rFonts w:ascii="Times New Roman" w:hAnsi="Times New Roman" w:eastAsia="Times New Roman" w:cs="Times New Roman"/>
          <w:b w:val="0"/>
          <w:color w:val="000000"/>
          <w:sz w:val="28"/>
        </w:rPr>
        <w:t xml:space="preserve">Учётные записи и realm-роли хранит Keycloak; API проверяет JWT [20]. Политики доступа включают </w:t>
      </w:r>
      <w:r>
        <w:rPr>
          <w:rFonts w:ascii="Courier New" w:hAnsi="Courier New" w:eastAsia="Courier New" w:cs="Courier New"/>
          <w:b w:val="0"/>
          <w:color w:val="000000"/>
          <w:sz w:val="26"/>
        </w:rPr>
        <w:t>read</w:t>
      </w:r>
      <w:r>
        <w:rPr>
          <w:rFonts w:ascii="Times New Roman" w:hAnsi="Times New Roman" w:eastAsia="Times New Roman" w:cs="Times New Roman"/>
          <w:b w:val="0"/>
          <w:color w:val="000000"/>
          <w:sz w:val="28"/>
        </w:rPr>
        <w:t xml:space="preserve">, </w:t>
      </w:r>
      <w:r>
        <w:rPr>
          <w:rFonts w:ascii="Courier New" w:hAnsi="Courier New" w:eastAsia="Courier New" w:cs="Courier New"/>
          <w:b w:val="0"/>
          <w:color w:val="000000"/>
          <w:sz w:val="26"/>
        </w:rPr>
        <w:t>write</w:t>
      </w:r>
      <w:r>
        <w:rPr>
          <w:rFonts w:ascii="Times New Roman" w:hAnsi="Times New Roman" w:eastAsia="Times New Roman" w:cs="Times New Roman"/>
          <w:b w:val="0"/>
          <w:color w:val="000000"/>
          <w:sz w:val="28"/>
        </w:rPr>
        <w:t xml:space="preserve">, </w:t>
      </w:r>
      <w:r>
        <w:rPr>
          <w:rFonts w:ascii="Courier New" w:hAnsi="Courier New" w:eastAsia="Courier New" w:cs="Courier New"/>
          <w:b w:val="0"/>
          <w:color w:val="000000"/>
          <w:sz w:val="26"/>
        </w:rPr>
        <w:t>approve</w:t>
      </w:r>
      <w:r>
        <w:rPr>
          <w:rFonts w:ascii="Times New Roman" w:hAnsi="Times New Roman" w:eastAsia="Times New Roman" w:cs="Times New Roman"/>
          <w:b w:val="0"/>
          <w:color w:val="000000"/>
          <w:sz w:val="28"/>
        </w:rPr>
        <w:t xml:space="preserve">, </w:t>
      </w:r>
      <w:r>
        <w:rPr>
          <w:rFonts w:ascii="Courier New" w:hAnsi="Courier New" w:eastAsia="Courier New" w:cs="Courier New"/>
          <w:b w:val="0"/>
          <w:color w:val="000000"/>
          <w:sz w:val="26"/>
        </w:rPr>
        <w:t>postPayment</w:t>
      </w:r>
      <w:r>
        <w:rPr>
          <w:rFonts w:ascii="Times New Roman" w:hAnsi="Times New Roman" w:eastAsia="Times New Roman" w:cs="Times New Roman"/>
          <w:b w:val="0"/>
          <w:color w:val="000000"/>
          <w:sz w:val="28"/>
        </w:rPr>
        <w:t xml:space="preserve">, </w:t>
      </w:r>
      <w:r>
        <w:rPr>
          <w:rFonts w:ascii="Courier New" w:hAnsi="Courier New" w:eastAsia="Courier New" w:cs="Courier New"/>
          <w:b w:val="0"/>
          <w:color w:val="000000"/>
          <w:sz w:val="26"/>
        </w:rPr>
        <w:t>setInvoiceStatus</w:t>
      </w:r>
      <w:r>
        <w:rPr>
          <w:rFonts w:ascii="Times New Roman" w:hAnsi="Times New Roman" w:eastAsia="Times New Roman" w:cs="Times New Roman"/>
          <w:b w:val="0"/>
          <w:color w:val="000000"/>
          <w:sz w:val="28"/>
        </w:rPr>
        <w:t xml:space="preserve">, </w:t>
      </w:r>
      <w:r>
        <w:rPr>
          <w:rFonts w:ascii="Courier New" w:hAnsi="Courier New" w:eastAsia="Courier New" w:cs="Courier New"/>
          <w:b w:val="0"/>
          <w:color w:val="000000"/>
          <w:sz w:val="26"/>
        </w:rPr>
        <w:t>receive</w:t>
      </w:r>
      <w:r>
        <w:rPr>
          <w:rFonts w:ascii="Times New Roman" w:hAnsi="Times New Roman" w:eastAsia="Times New Roman" w:cs="Times New Roman"/>
          <w:b w:val="0"/>
          <w:color w:val="000000"/>
          <w:sz w:val="28"/>
        </w:rPr>
        <w:t xml:space="preserve"> и </w:t>
      </w:r>
      <w:r>
        <w:rPr>
          <w:rFonts w:ascii="Courier New" w:hAnsi="Courier New" w:eastAsia="Courier New" w:cs="Courier New"/>
          <w:b w:val="0"/>
          <w:color w:val="000000"/>
          <w:sz w:val="26"/>
        </w:rPr>
        <w:t>admin</w:t>
      </w:r>
      <w:r>
        <w:rPr>
          <w:rFonts w:ascii="Times New Roman" w:hAnsi="Times New Roman" w:eastAsia="Times New Roman" w:cs="Times New Roman"/>
          <w:b w:val="0"/>
          <w:color w:val="000000"/>
          <w:sz w:val="28"/>
        </w:rPr>
        <w:t>. Аудит пишет метод, путь, код ответа и значения «было → стало» для белого списка сущностей, потому что факт вызова без старых и новых значений не восстанавливает спор о скидке или статусе.</w:t>
      </w:r>
    </w:p>
    <w:p>
      <w:pPr>
        <w:pStyle w:val="Heading2"/>
      </w:pPr>
      <w:r>
        <w:rPr>
          <w:rFonts w:ascii="Times New Roman" w:hAnsi="Times New Roman" w:eastAsia="Times New Roman" w:cs="Times New Roman"/>
          <w:b/>
          <w:color w:val="000000"/>
          <w:sz w:val="28"/>
        </w:rPr>
        <w:t>4.2 Описание возможных технических решений</w:t>
      </w:r>
    </w:p>
    <w:p>
      <w:r>
        <w:rPr>
          <w:rFonts w:ascii="Times New Roman" w:hAnsi="Times New Roman" w:eastAsia="Times New Roman" w:cs="Times New Roman"/>
          <w:b w:val="0"/>
          <w:color w:val="000000"/>
          <w:sz w:val="28"/>
        </w:rPr>
        <w:t>Альтернативы сравнивались по брокеру, поисковому движку, платформе и способу декомпозиции, а выбор зафиксирован в таблицах 23 и 24. Смена продукта в каждом случае сводится к новому адаптеру, а не к переписыванию домена: это условие заменяемости, без которого учебный выбор стека стал бы необратимым.</w:t>
      </w:r>
    </w:p>
    <w:p>
      <w:r>
        <w:rPr>
          <w:rFonts w:ascii="Times New Roman" w:hAnsi="Times New Roman" w:eastAsia="Times New Roman" w:cs="Times New Roman"/>
          <w:b w:val="0"/>
          <w:color w:val="000000"/>
          <w:sz w:val="28"/>
        </w:rPr>
        <w:t xml:space="preserve">Исходная заявка ориентировалась на RabbitMQ и MassTransit, однако для учебного стенда принят NATS JetStream: durable consumer, повторная доставка и явный Outbox в таблице PostgreSQL [21]. Приложение само задаёт формат сообщений, и при защите видно, какое поле в какой таблице соответствует событию </w:t>
      </w:r>
      <w:r>
        <w:rPr>
          <w:rFonts w:ascii="Courier New" w:hAnsi="Courier New" w:eastAsia="Courier New" w:cs="Courier New"/>
          <w:b w:val="0"/>
          <w:color w:val="000000"/>
          <w:sz w:val="26"/>
        </w:rPr>
        <w:t>ProductUpserted</w:t>
      </w:r>
      <w:r>
        <w:rPr>
          <w:rFonts w:ascii="Times New Roman" w:hAnsi="Times New Roman" w:eastAsia="Times New Roman" w:cs="Times New Roman"/>
          <w:b w:val="0"/>
          <w:color w:val="000000"/>
          <w:sz w:val="28"/>
        </w:rPr>
        <w:t xml:space="preserve">. У MassTransit нет транспорта NATS, поэтому Outbox реализован вручную; брать RabbitMQ только ради готового транспорта MassTransit значило бы выбрать брокер из-за библиотеки, а не из-за свойств доставки. Замена брокера сводится к новому адаптеру </w:t>
      </w:r>
      <w:r>
        <w:rPr>
          <w:rFonts w:ascii="Courier New" w:hAnsi="Courier New" w:eastAsia="Courier New" w:cs="Courier New"/>
          <w:b w:val="0"/>
          <w:color w:val="000000"/>
          <w:sz w:val="26"/>
        </w:rPr>
        <w:t>IEventBus</w:t>
      </w:r>
      <w:r>
        <w:rPr>
          <w:rFonts w:ascii="Times New Roman" w:hAnsi="Times New Roman" w:eastAsia="Times New Roman" w:cs="Times New Roman"/>
          <w:b w:val="0"/>
          <w:color w:val="000000"/>
          <w:sz w:val="28"/>
        </w:rPr>
        <w:t xml:space="preserve"> и не утверждает универсального превосходства NATS над RabbitMQ: при появлении требования к богатой маршрутизации очередей адаптер можно сменить, не трогая импорт и генератор КП.</w:t>
      </w:r>
    </w:p>
    <w:p>
      <w:r>
        <w:rPr>
          <w:rFonts w:ascii="Times New Roman" w:hAnsi="Times New Roman" w:eastAsia="Times New Roman" w:cs="Times New Roman"/>
          <w:b w:val="0"/>
          <w:color w:val="000000"/>
          <w:sz w:val="28"/>
        </w:rPr>
        <w:t xml:space="preserve">Полнотекстовый нечёткий поиск по каталогу нужен на одном узле стенда, а не как аналитический кластер логов. Meilisearch закрывает этот сценарий из коробки [22], а доменная логика зависит от </w:t>
      </w:r>
      <w:r>
        <w:rPr>
          <w:rFonts w:ascii="Courier New" w:hAnsi="Courier New" w:eastAsia="Courier New" w:cs="Courier New"/>
          <w:b w:val="0"/>
          <w:color w:val="000000"/>
          <w:sz w:val="26"/>
        </w:rPr>
        <w:t>ISearchEngine</w:t>
      </w:r>
      <w:r>
        <w:rPr>
          <w:rFonts w:ascii="Times New Roman" w:hAnsi="Times New Roman" w:eastAsia="Times New Roman" w:cs="Times New Roman"/>
          <w:b w:val="0"/>
          <w:color w:val="000000"/>
          <w:sz w:val="28"/>
        </w:rPr>
        <w:t>, а не от HTTP-клиента конкретного продукта. Elasticsearch остаётся возможным следующим адаптером, если вырастут объём и требования к аналитическому поиску; платить сложностью кластера ES за учебный fuzzy-поиск по SKU было бы несоразмерно. Следствие выбора: индекс лёгкий, но не заявляется как промышленный поисковый контур заказчика.</w:t>
      </w:r>
    </w:p>
    <w:p>
      <w:r>
        <w:rPr>
          <w:rFonts w:ascii="Times New Roman" w:hAnsi="Times New Roman" w:eastAsia="Times New Roman" w:cs="Times New Roman"/>
          <w:b w:val="0"/>
          <w:color w:val="000000"/>
          <w:sz w:val="28"/>
        </w:rPr>
        <w:t>Заявка упоминала .NET 8, но принят .NET 10 LTS как среда проекта [15, 16]; контейнер фиксирует runtime, поэтому стенд не «уплывает» вместе с SDK разработчика. ASP.NET Core даёт DI, JWT, фоновые службы и YARP [18]. PostgreSQL и EF Core обеспечивают транзакционное состояние, без которого Outbox и снимки документов не имеют смысла [17, 19].</w:t>
      </w:r>
    </w:p>
    <w:p>
      <w:r>
        <w:rPr>
          <w:rFonts w:ascii="Times New Roman" w:hAnsi="Times New Roman" w:eastAsia="Times New Roman" w:cs="Times New Roman"/>
          <w:b w:val="0"/>
          <w:color w:val="000000"/>
          <w:sz w:val="28"/>
        </w:rPr>
        <w:t>Немедленное разделение всех функций на автономные процессы для одного исполнителя увеличило бы стоимость эксплуатации без выигрыша для MVP: пришлось бы сразу решать распределённые транзакции, наблюдаемость и согласованность схем, ещё не закрыв сквозной процесс ТЗ. Принят шаблон Strangler Fig: сначала модульный монолит с жёсткими границами контекстов, затем шлюз и поэтапный вынос сервисов [12, 14]. Auth, Catalog, Quoting, Commercial, Ordering, Logistics, Matching, Notifications и Retail вынесены и получают трафик в Docker, а монолит обслуживает оставшиеся маршруты: поиск, проекты, аналитика, аудит. Поэтапная миграция через YARP показана на рисунке 17. Следствие шаблона: SPA не переписывается на каждый вынос, но до завершения cutover в базе временно живут две копии одних сущностей.</w:t>
      </w:r>
    </w:p>
    <w:p>
      <w:r>
        <w:rPr>
          <w:rFonts w:ascii="Times New Roman" w:hAnsi="Times New Roman" w:eastAsia="Times New Roman" w:cs="Times New Roman"/>
          <w:b w:val="0"/>
          <w:color w:val="000000"/>
          <w:sz w:val="28"/>
        </w:rPr>
        <w:t xml:space="preserve">Два выноса сделаны с осознанными упрощениями, которые нельзя выдавать за законченную декомпозицию. Matching не держит своей схемы, потому что матчеру нужна вся номенклатура для TF-IDF, а не витринная страница каталога. Витрина каталога отдаёт максимум 48 позиций на страницу при 115 865 SKU, и полный снимок по HTTP не укладывается в таймаут; на большом каталоге Matching читает схему </w:t>
      </w:r>
      <w:r>
        <w:rPr>
          <w:rFonts w:ascii="Courier New" w:hAnsi="Courier New" w:eastAsia="Courier New" w:cs="Courier New"/>
          <w:b w:val="0"/>
          <w:color w:val="000000"/>
          <w:sz w:val="26"/>
        </w:rPr>
        <w:t>catalog</w:t>
      </w:r>
      <w:r>
        <w:rPr>
          <w:rFonts w:ascii="Times New Roman" w:hAnsi="Times New Roman" w:eastAsia="Times New Roman" w:cs="Times New Roman"/>
          <w:b w:val="0"/>
          <w:color w:val="000000"/>
          <w:sz w:val="28"/>
        </w:rPr>
        <w:t xml:space="preserve"> запросом только на чтение. «Только на чтение» здесь по договорённости, а не по правам СУБД, и это нарушение правила «сервис владеет своими данными». Notifications обращается к соседям под служебной учётной записью стенда, потому что у Commercial и Ordering нет Outbox на все нужные факты, а событие приёмки не покрывает черновики. В промышленном контуре первое закрывается отдельной ролью СУБД с правом только на выборку либо проекцией, обновляемой событиями; второе закрывается служебной учётной записью с минимальными правами. Без этих оговорок вынос Matching и Notifications выглядел бы как законченная декомпозиция, которой на стенде ещё нет.</w:t>
      </w:r>
    </w:p>
    <w:p>
      <w:pPr>
        <w:keepNext/>
        <w:spacing w:line="240" w:lineRule="auto" w:before="240" w:after="0"/>
        <w:ind w:firstLine="0"/>
        <w:jc w:val="center"/>
      </w:pPr>
      <w:r>
        <w:drawing>
          <wp:inline xmlns:a="http://schemas.openxmlformats.org/drawingml/2006/main" xmlns:pic="http://schemas.openxmlformats.org/drawingml/2006/picture">
            <wp:extent cx="5760000" cy="3782038"/>
            <wp:docPr id="17" name="Picture 17"/>
            <wp:cNvGraphicFramePr>
              <a:graphicFrameLocks noChangeAspect="1"/>
            </wp:cNvGraphicFramePr>
            <a:graphic>
              <a:graphicData uri="http://schemas.openxmlformats.org/drawingml/2006/picture">
                <pic:pic>
                  <pic:nvPicPr>
                    <pic:cNvPr id="0" name="ris-06-strangler.png"/>
                    <pic:cNvPicPr/>
                  </pic:nvPicPr>
                  <pic:blipFill>
                    <a:blip r:embed="rId27"/>
                    <a:stretch>
                      <a:fillRect/>
                    </a:stretch>
                  </pic:blipFill>
                  <pic:spPr>
                    <a:xfrm>
                      <a:off x="0" y="0"/>
                      <a:ext cx="5760000" cy="3782038"/>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17 – Поэтапная миграция Strangler Fig через YARP</w:t>
      </w:r>
    </w:p>
    <w:p>
      <w:pPr>
        <w:pStyle w:val="GOSTCaption"/>
        <w:keepNext/>
        <w:jc w:val="left"/>
      </w:pPr>
      <w:r>
        <w:rPr>
          <w:rFonts w:ascii="Times New Roman" w:hAnsi="Times New Roman" w:eastAsia="Times New Roman" w:cs="Times New Roman"/>
          <w:b w:val="0"/>
          <w:color w:val="000000"/>
          <w:sz w:val="28"/>
        </w:rPr>
        <w:t>Таблица 23 – Выбор технологий</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val="true"/>
          <w:tblHeader w:val="true"/>
        </w:trPr>
        <w:tc>
          <w:tcPr>
            <w:tcW w:type="dxa" w:w="2912"/>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Подсистема</w:t>
            </w:r>
          </w:p>
        </w:tc>
        <w:tc>
          <w:tcPr>
            <w:tcW w:type="dxa" w:w="3067"/>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Технология</w:t>
            </w:r>
          </w:p>
        </w:tc>
        <w:tc>
          <w:tcPr>
            <w:tcW w:type="dxa" w:w="3375"/>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Причина выбора</w:t>
            </w:r>
          </w:p>
        </w:tc>
      </w:tr>
      <w:tr>
        <w:trPr>
          <w:cantSplit w:val="true"/>
        </w:trPr>
        <w:tc>
          <w:tcPr>
            <w:tcW w:type="dxa" w:w="291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Web API</w:t>
            </w:r>
          </w:p>
        </w:tc>
        <w:tc>
          <w:tcPr>
            <w:tcW w:type="dxa" w:w="30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ASP.NET Core / .NET 10</w:t>
            </w:r>
          </w:p>
        </w:tc>
        <w:tc>
          <w:tcPr>
            <w:tcW w:type="dxa" w:w="337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DI, JWT, фоновые службы</w:t>
            </w:r>
          </w:p>
        </w:tc>
      </w:tr>
      <w:tr>
        <w:trPr>
          <w:cantSplit w:val="true"/>
        </w:trPr>
        <w:tc>
          <w:tcPr>
            <w:tcW w:type="dxa" w:w="291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Данные</w:t>
            </w:r>
          </w:p>
        </w:tc>
        <w:tc>
          <w:tcPr>
            <w:tcW w:type="dxa" w:w="30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EF Core / PostgreSQL 17</w:t>
            </w:r>
          </w:p>
        </w:tc>
        <w:tc>
          <w:tcPr>
            <w:tcW w:type="dxa" w:w="337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транзакции, связи, миграции</w:t>
            </w:r>
          </w:p>
        </w:tc>
      </w:tr>
      <w:tr>
        <w:trPr>
          <w:cantSplit w:val="true"/>
        </w:trPr>
        <w:tc>
          <w:tcPr>
            <w:tcW w:type="dxa" w:w="291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Сообщения</w:t>
            </w:r>
          </w:p>
        </w:tc>
        <w:tc>
          <w:tcPr>
            <w:tcW w:type="dxa" w:w="30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NATS JetStream</w:t>
            </w:r>
          </w:p>
        </w:tc>
        <w:tc>
          <w:tcPr>
            <w:tcW w:type="dxa" w:w="337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durable-доставка и повтор</w:t>
            </w:r>
          </w:p>
        </w:tc>
      </w:tr>
      <w:tr>
        <w:trPr>
          <w:cantSplit w:val="true"/>
        </w:trPr>
        <w:tc>
          <w:tcPr>
            <w:tcW w:type="dxa" w:w="291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Поиск</w:t>
            </w:r>
          </w:p>
        </w:tc>
        <w:tc>
          <w:tcPr>
            <w:tcW w:type="dxa" w:w="30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Meilisearch</w:t>
            </w:r>
          </w:p>
        </w:tc>
        <w:tc>
          <w:tcPr>
            <w:tcW w:type="dxa" w:w="337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fuzzy-поиск на одном узле</w:t>
            </w:r>
          </w:p>
        </w:tc>
      </w:tr>
      <w:tr>
        <w:trPr>
          <w:cantSplit w:val="true"/>
        </w:trPr>
        <w:tc>
          <w:tcPr>
            <w:tcW w:type="dxa" w:w="291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Идентификация</w:t>
            </w:r>
          </w:p>
        </w:tc>
        <w:tc>
          <w:tcPr>
            <w:tcW w:type="dxa" w:w="30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Keycloak</w:t>
            </w:r>
          </w:p>
        </w:tc>
        <w:tc>
          <w:tcPr>
            <w:tcW w:type="dxa" w:w="337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OIDC, JWT, realm-роли</w:t>
            </w:r>
          </w:p>
        </w:tc>
      </w:tr>
      <w:tr>
        <w:trPr>
          <w:cantSplit w:val="true"/>
        </w:trPr>
        <w:tc>
          <w:tcPr>
            <w:tcW w:type="dxa" w:w="291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Frontend</w:t>
            </w:r>
          </w:p>
        </w:tc>
        <w:tc>
          <w:tcPr>
            <w:tcW w:type="dxa" w:w="30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React / TypeScript</w:t>
            </w:r>
          </w:p>
        </w:tc>
        <w:tc>
          <w:tcPr>
            <w:tcW w:type="dxa" w:w="337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типизированная SPA</w:t>
            </w:r>
          </w:p>
        </w:tc>
      </w:tr>
      <w:tr>
        <w:trPr>
          <w:cantSplit w:val="true"/>
        </w:trPr>
        <w:tc>
          <w:tcPr>
            <w:tcW w:type="dxa" w:w="291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Наблюдаемость</w:t>
            </w:r>
          </w:p>
        </w:tc>
        <w:tc>
          <w:tcPr>
            <w:tcW w:type="dxa" w:w="30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OpenTelemetry, Serilog, Grafana LGTM</w:t>
            </w:r>
          </w:p>
        </w:tc>
        <w:tc>
          <w:tcPr>
            <w:tcW w:type="dxa" w:w="337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единый TraceId</w:t>
            </w:r>
          </w:p>
        </w:tc>
      </w:tr>
      <w:tr>
        <w:trPr>
          <w:cantSplit w:val="true"/>
        </w:trPr>
        <w:tc>
          <w:tcPr>
            <w:tcW w:type="dxa" w:w="291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Файлы</w:t>
            </w:r>
          </w:p>
        </w:tc>
        <w:tc>
          <w:tcPr>
            <w:tcW w:type="dxa" w:w="30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ClosedXML, NPOI, QuestPDF</w:t>
            </w:r>
          </w:p>
        </w:tc>
        <w:tc>
          <w:tcPr>
            <w:tcW w:type="dxa" w:w="337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Excel двух поколений и PDF</w:t>
            </w:r>
          </w:p>
        </w:tc>
      </w:tr>
      <w:tr>
        <w:trPr>
          <w:cantSplit w:val="true"/>
        </w:trPr>
        <w:tc>
          <w:tcPr>
            <w:tcW w:type="dxa" w:w="291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Развёртывание</w:t>
            </w:r>
          </w:p>
        </w:tc>
        <w:tc>
          <w:tcPr>
            <w:tcW w:type="dxa" w:w="306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Docker Compose</w:t>
            </w:r>
          </w:p>
        </w:tc>
        <w:tc>
          <w:tcPr>
            <w:tcW w:type="dxa" w:w="337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воспроизводимый стенд</w:t>
            </w:r>
          </w:p>
        </w:tc>
      </w:tr>
    </w:tbl>
    <w:p>
      <w:pPr>
        <w:spacing w:after="0"/>
      </w:pPr>
    </w:p>
    <w:p>
      <w:pPr>
        <w:pStyle w:val="GOSTCaption"/>
        <w:keepNext/>
        <w:jc w:val="left"/>
      </w:pPr>
      <w:r>
        <w:rPr>
          <w:rFonts w:ascii="Times New Roman" w:hAnsi="Times New Roman" w:eastAsia="Times New Roman" w:cs="Times New Roman"/>
          <w:b w:val="0"/>
          <w:color w:val="000000"/>
          <w:sz w:val="28"/>
        </w:rPr>
        <w:t>Таблица 24 – Осознанные отклонения от заявки</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val="true"/>
          <w:tblHeader w:val="true"/>
        </w:trPr>
        <w:tc>
          <w:tcPr>
            <w:tcW w:type="dxa" w:w="2298"/>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Заявлено</w:t>
            </w:r>
          </w:p>
        </w:tc>
        <w:tc>
          <w:tcPr>
            <w:tcW w:type="dxa" w:w="2084"/>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Реализовано</w:t>
            </w:r>
          </w:p>
        </w:tc>
        <w:tc>
          <w:tcPr>
            <w:tcW w:type="dxa" w:w="2461"/>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Обоснование</w:t>
            </w:r>
          </w:p>
        </w:tc>
        <w:tc>
          <w:tcPr>
            <w:tcW w:type="dxa" w:w="2512"/>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Условие заменяемости</w:t>
            </w:r>
          </w:p>
        </w:tc>
      </w:tr>
      <w:tr>
        <w:trPr>
          <w:cantSplit w:val="true"/>
        </w:trPr>
        <w:tc>
          <w:tcPr>
            <w:tcW w:type="dxa" w:w="229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RabbitMQ + MassTransit</w:t>
            </w:r>
          </w:p>
        </w:tc>
        <w:tc>
          <w:tcPr>
            <w:tcW w:type="dxa" w:w="208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NATS JetStream, свой Outbox</w:t>
            </w:r>
          </w:p>
        </w:tc>
        <w:tc>
          <w:tcPr>
            <w:tcW w:type="dxa" w:w="246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прозрачный durable-контур на стенде</w:t>
            </w:r>
          </w:p>
        </w:tc>
        <w:tc>
          <w:tcPr>
            <w:tcW w:type="dxa" w:w="251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новый </w:t>
            </w:r>
            <w:r>
              <w:rPr>
                <w:rFonts w:ascii="Courier New" w:hAnsi="Courier New" w:eastAsia="Courier New" w:cs="Courier New"/>
                <w:b w:val="0"/>
                <w:color w:val="000000"/>
                <w:sz w:val="22"/>
              </w:rPr>
              <w:t>IEventBus</w:t>
            </w:r>
          </w:p>
        </w:tc>
      </w:tr>
      <w:tr>
        <w:trPr>
          <w:cantSplit w:val="true"/>
        </w:trPr>
        <w:tc>
          <w:tcPr>
            <w:tcW w:type="dxa" w:w="229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Elasticsearch</w:t>
            </w:r>
          </w:p>
        </w:tc>
        <w:tc>
          <w:tcPr>
            <w:tcW w:type="dxa" w:w="208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Meilisearch</w:t>
            </w:r>
          </w:p>
        </w:tc>
        <w:tc>
          <w:tcPr>
            <w:tcW w:type="dxa" w:w="246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один узел и fuzzy-поиск</w:t>
            </w:r>
          </w:p>
        </w:tc>
        <w:tc>
          <w:tcPr>
            <w:tcW w:type="dxa" w:w="251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новый </w:t>
            </w:r>
            <w:r>
              <w:rPr>
                <w:rFonts w:ascii="Courier New" w:hAnsi="Courier New" w:eastAsia="Courier New" w:cs="Courier New"/>
                <w:b w:val="0"/>
                <w:color w:val="000000"/>
                <w:sz w:val="22"/>
              </w:rPr>
              <w:t>ISearchEngine</w:t>
            </w:r>
          </w:p>
        </w:tc>
      </w:tr>
      <w:tr>
        <w:trPr>
          <w:cantSplit w:val="true"/>
        </w:trPr>
        <w:tc>
          <w:tcPr>
            <w:tcW w:type="dxa" w:w="229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.NET 8</w:t>
            </w:r>
          </w:p>
        </w:tc>
        <w:tc>
          <w:tcPr>
            <w:tcW w:type="dxa" w:w="208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.NET 10 LTS</w:t>
            </w:r>
          </w:p>
        </w:tc>
        <w:tc>
          <w:tcPr>
            <w:tcW w:type="dxa" w:w="246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актуальная среда проекта</w:t>
            </w:r>
          </w:p>
        </w:tc>
        <w:tc>
          <w:tcPr>
            <w:tcW w:type="dxa" w:w="251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контейнер фиксирует runtime</w:t>
            </w:r>
          </w:p>
        </w:tc>
      </w:tr>
    </w:tbl>
    <w:p>
      <w:pPr>
        <w:spacing w:after="0"/>
      </w:pPr>
    </w:p>
    <w:p>
      <w:r>
        <w:rPr>
          <w:rFonts w:ascii="Times New Roman" w:hAnsi="Times New Roman" w:eastAsia="Times New Roman" w:cs="Times New Roman"/>
          <w:b w:val="0"/>
          <w:color w:val="000000"/>
          <w:sz w:val="28"/>
        </w:rPr>
        <w:t>Алгоритм строки КП спроектирован так, чтобы быть воспроизводимым и объяснимым. Одинаковые входы должны давать одинаковый итог, а выбранный оффер должен иметь читаемую причину, иначе сравнение стратегий на экране снова станет выбором «на глаз». Шаги этого выбора приведены на рисунке 18.</w:t>
      </w:r>
    </w:p>
    <w:p>
      <w:pPr>
        <w:keepNext/>
        <w:spacing w:line="240" w:lineRule="auto" w:before="240" w:after="0"/>
        <w:ind w:firstLine="0"/>
        <w:jc w:val="center"/>
      </w:pPr>
      <w:r>
        <w:drawing>
          <wp:inline xmlns:a="http://schemas.openxmlformats.org/drawingml/2006/main" xmlns:pic="http://schemas.openxmlformats.org/drawingml/2006/picture">
            <wp:extent cx="5023012" cy="7379999"/>
            <wp:docPr id="18" name="Picture 18"/>
            <wp:cNvGraphicFramePr>
              <a:graphicFrameLocks noChangeAspect="1"/>
            </wp:cNvGraphicFramePr>
            <a:graphic>
              <a:graphicData uri="http://schemas.openxmlformats.org/drawingml/2006/picture">
                <pic:pic>
                  <pic:nvPicPr>
                    <pic:cNvPr id="0" name="ris-08-quote.png"/>
                    <pic:cNvPicPr/>
                  </pic:nvPicPr>
                  <pic:blipFill>
                    <a:blip r:embed="rId28"/>
                    <a:stretch>
                      <a:fillRect/>
                    </a:stretch>
                  </pic:blipFill>
                  <pic:spPr>
                    <a:xfrm>
                      <a:off x="0" y="0"/>
                      <a:ext cx="5023012" cy="7379999"/>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18 – Алгоритм формирования строки КП</w:t>
      </w:r>
    </w:p>
    <w:p>
      <w:r>
        <w:rPr>
          <w:rFonts w:ascii="Times New Roman" w:hAnsi="Times New Roman" w:eastAsia="Times New Roman" w:cs="Times New Roman"/>
          <w:b w:val="0"/>
          <w:color w:val="000000"/>
          <w:sz w:val="28"/>
        </w:rPr>
        <w:t xml:space="preserve">Для цены </w:t>
      </w:r>
      <w:r>
        <w:rPr>
          <w:rFonts w:ascii="Courier New" w:hAnsi="Courier New" w:eastAsia="Courier New" w:cs="Courier New"/>
          <w:b w:val="0"/>
          <w:color w:val="000000"/>
          <w:sz w:val="26"/>
        </w:rPr>
        <w:t>p</w:t>
      </w:r>
      <w:r>
        <w:rPr>
          <w:rFonts w:ascii="Times New Roman" w:hAnsi="Times New Roman" w:eastAsia="Times New Roman" w:cs="Times New Roman"/>
          <w:b w:val="0"/>
          <w:color w:val="000000"/>
          <w:sz w:val="28"/>
        </w:rPr>
        <w:t xml:space="preserve"> и скидки </w:t>
      </w:r>
      <w:r>
        <w:rPr>
          <w:rFonts w:ascii="Courier New" w:hAnsi="Courier New" w:eastAsia="Courier New" w:cs="Courier New"/>
          <w:b w:val="0"/>
          <w:color w:val="000000"/>
          <w:sz w:val="26"/>
        </w:rPr>
        <w:t>d</w:t>
      </w:r>
      <w:r>
        <w:rPr>
          <w:rFonts w:ascii="Times New Roman" w:hAnsi="Times New Roman" w:eastAsia="Times New Roman" w:cs="Times New Roman"/>
          <w:b w:val="0"/>
          <w:color w:val="000000"/>
          <w:sz w:val="28"/>
        </w:rPr>
        <w:t xml:space="preserve"> эффективная цена считается как </w:t>
      </w:r>
      <w:r>
        <w:rPr>
          <w:rFonts w:ascii="Courier New" w:hAnsi="Courier New" w:eastAsia="Courier New" w:cs="Courier New"/>
          <w:b w:val="0"/>
          <w:color w:val="000000"/>
          <w:sz w:val="26"/>
        </w:rPr>
        <w:t>p_eff = round(p × (1 − d / 100), 2)</w:t>
      </w:r>
      <w:r>
        <w:rPr>
          <w:rFonts w:ascii="Times New Roman" w:hAnsi="Times New Roman" w:eastAsia="Times New Roman" w:cs="Times New Roman"/>
          <w:b w:val="0"/>
          <w:color w:val="000000"/>
          <w:sz w:val="28"/>
        </w:rPr>
        <w:t xml:space="preserve">. Сначала применяется скидка поставщика, иначе скидка производителя; они не суммируются, чтобы не занижать себестоимость двойным процентом. Стратегия MinCost минимизирует </w:t>
      </w:r>
      <w:r>
        <w:rPr>
          <w:rFonts w:ascii="Courier New" w:hAnsi="Courier New" w:eastAsia="Courier New" w:cs="Courier New"/>
          <w:b w:val="0"/>
          <w:color w:val="000000"/>
          <w:sz w:val="26"/>
        </w:rPr>
        <w:t>p_eff</w:t>
      </w:r>
      <w:r>
        <w:rPr>
          <w:rFonts w:ascii="Times New Roman" w:hAnsi="Times New Roman" w:eastAsia="Times New Roman" w:cs="Times New Roman"/>
          <w:b w:val="0"/>
          <w:color w:val="000000"/>
          <w:sz w:val="28"/>
        </w:rPr>
        <w:t xml:space="preserve"> и при равенстве берёт меньший срок, а MinLeadTime минимизирует срок и при равенстве берёт меньшую цену. Баланс нормирует цену и срок среди офферов позиции и минимизирует взвешенную сумму. Стратегия ML-актуальности ранжирует офферы по вероятности сопоставления, свежести цены, остатку, цене и сроку. Четвёртая стратегия не заменяет первые три: она отвечает на другой вопрос, насколько предложение свежее и ближе к заявке, а не только дешевле.</w:t>
      </w:r>
    </w:p>
    <w:p>
      <w:pPr>
        <w:pStyle w:val="Heading2"/>
      </w:pPr>
      <w:r>
        <w:rPr>
          <w:rFonts w:ascii="Times New Roman" w:hAnsi="Times New Roman" w:eastAsia="Times New Roman" w:cs="Times New Roman"/>
          <w:b/>
          <w:color w:val="000000"/>
          <w:sz w:val="28"/>
        </w:rPr>
        <w:t>4.3 Проектирование интерфейса пользователя</w:t>
      </w:r>
    </w:p>
    <w:p>
      <w:r>
        <w:rPr>
          <w:rFonts w:ascii="Times New Roman" w:hAnsi="Times New Roman" w:eastAsia="Times New Roman" w:cs="Times New Roman"/>
          <w:b w:val="0"/>
          <w:color w:val="000000"/>
          <w:sz w:val="28"/>
        </w:rPr>
        <w:t>Интерфейс задуман как рабочий кабинет снабженца: боковое меню, журнальные таблицы, карточки документов. Прототипы зафиксированы скриншотами работающей SPA, а не макетами, потому что приёмка учебной версии смотрит на живой стенд. Тема нейтральная, а статусы кодируются токенами цвета, чтобы не полагаться на декоративные иконки без смысла. Меню зависит от роли, но серверная политика дублирует клиентское скрытие пунктов, поскольку скрытый пункт не отменяет запрет на сервере. Если бы авторизация жила только в React, наблюдатель мог бы вызвать тот же REST, что и РП.</w:t>
      </w:r>
    </w:p>
    <w:p>
      <w:r>
        <w:rPr>
          <w:rFonts w:ascii="Times New Roman" w:hAnsi="Times New Roman" w:eastAsia="Times New Roman" w:cs="Times New Roman"/>
          <w:b w:val="0"/>
          <w:color w:val="000000"/>
          <w:sz w:val="28"/>
        </w:rPr>
        <w:t>Основные маршруты и назначение экранов сведены в таблицу 25. Набор совпадает со сквозным процессом TO BE: прайсы, сопоставление, сравнение КП, маржа, счёт, склад, журнал. На рисунке 19 зафиксирован импорт и архив прайс-листов, сопоставление спецификации показано на рисунке 20, а сравнение вариантов КП на рисунке 21. Расчёт маржи и согласование приведены на рисунке 22; карточка счёта NOC дана на рисунке 23, складская приёмка на рисунке 24, журнал проектов на рисунке 25.</w:t>
      </w:r>
    </w:p>
    <w:p>
      <w:pPr>
        <w:pStyle w:val="GOSTCaption"/>
        <w:keepNext/>
        <w:jc w:val="left"/>
      </w:pPr>
      <w:r>
        <w:rPr>
          <w:rFonts w:ascii="Times New Roman" w:hAnsi="Times New Roman" w:eastAsia="Times New Roman" w:cs="Times New Roman"/>
          <w:b w:val="0"/>
          <w:color w:val="000000"/>
          <w:sz w:val="28"/>
        </w:rPr>
        <w:t>Таблица 25 – Основные экраны</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val="true"/>
          <w:tblHeader w:val="true"/>
        </w:trPr>
        <w:tc>
          <w:tcPr>
            <w:tcW w:type="dxa" w:w="4218"/>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Маршрут</w:t>
            </w:r>
          </w:p>
        </w:tc>
        <w:tc>
          <w:tcPr>
            <w:tcW w:type="dxa" w:w="2501"/>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Экран</w:t>
            </w:r>
          </w:p>
        </w:tc>
        <w:tc>
          <w:tcPr>
            <w:tcW w:type="dxa" w:w="2636"/>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Назначение</w:t>
            </w:r>
          </w:p>
        </w:tc>
      </w:tr>
      <w:tr>
        <w:trPr>
          <w:cantSplit w:val="true"/>
        </w:trPr>
        <w:tc>
          <w:tcPr>
            <w:tcW w:type="dxa" w:w="4218"/>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w:t>
            </w:r>
          </w:p>
        </w:tc>
        <w:tc>
          <w:tcPr>
            <w:tcW w:type="dxa" w:w="250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Проекты</w:t>
            </w:r>
          </w:p>
        </w:tc>
        <w:tc>
          <w:tcPr>
            <w:tcW w:type="dxa" w:w="263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журнал со статусом, суммой и маржой</w:t>
            </w:r>
          </w:p>
        </w:tc>
      </w:tr>
      <w:tr>
        <w:trPr>
          <w:cantSplit w:val="true"/>
        </w:trPr>
        <w:tc>
          <w:tcPr>
            <w:tcW w:type="dxa" w:w="4218"/>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/prices</w:t>
            </w:r>
          </w:p>
        </w:tc>
        <w:tc>
          <w:tcPr>
            <w:tcW w:type="dxa" w:w="250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Прайсы</w:t>
            </w:r>
          </w:p>
        </w:tc>
        <w:tc>
          <w:tcPr>
            <w:tcW w:type="dxa" w:w="263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импорт, архив, история</w:t>
            </w:r>
          </w:p>
        </w:tc>
      </w:tr>
      <w:tr>
        <w:trPr>
          <w:cantSplit w:val="true"/>
        </w:trPr>
        <w:tc>
          <w:tcPr>
            <w:tcW w:type="dxa" w:w="4218"/>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/specifications/:id/match</w:t>
            </w:r>
          </w:p>
        </w:tc>
        <w:tc>
          <w:tcPr>
            <w:tcW w:type="dxa" w:w="250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Сопоставление</w:t>
            </w:r>
          </w:p>
        </w:tc>
        <w:tc>
          <w:tcPr>
            <w:tcW w:type="dxa" w:w="263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вероятности и ручной выбор</w:t>
            </w:r>
          </w:p>
        </w:tc>
      </w:tr>
      <w:tr>
        <w:trPr>
          <w:cantSplit w:val="true"/>
        </w:trPr>
        <w:tc>
          <w:tcPr>
            <w:tcW w:type="dxa" w:w="4218"/>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/specifications/:id/quote</w:t>
            </w:r>
          </w:p>
        </w:tc>
        <w:tc>
          <w:tcPr>
            <w:tcW w:type="dxa" w:w="250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КП</w:t>
            </w:r>
          </w:p>
        </w:tc>
        <w:tc>
          <w:tcPr>
            <w:tcW w:type="dxa" w:w="263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сравнение стратегий, Excel/PDF</w:t>
            </w:r>
          </w:p>
        </w:tc>
      </w:tr>
      <w:tr>
        <w:trPr>
          <w:cantSplit w:val="true"/>
        </w:trPr>
        <w:tc>
          <w:tcPr>
            <w:tcW w:type="dxa" w:w="4218"/>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/approval</w:t>
            </w:r>
          </w:p>
        </w:tc>
        <w:tc>
          <w:tcPr>
            <w:tcW w:type="dxa" w:w="250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Маржа</w:t>
            </w:r>
          </w:p>
        </w:tc>
        <w:tc>
          <w:tcPr>
            <w:tcW w:type="dxa" w:w="263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передача в КБ и решение</w:t>
            </w:r>
          </w:p>
        </w:tc>
      </w:tr>
      <w:tr>
        <w:trPr>
          <w:cantSplit w:val="true"/>
        </w:trPr>
        <w:tc>
          <w:tcPr>
            <w:tcW w:type="dxa" w:w="4218"/>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/invoice</w:t>
            </w:r>
          </w:p>
        </w:tc>
        <w:tc>
          <w:tcPr>
            <w:tcW w:type="dxa" w:w="250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Счета</w:t>
            </w:r>
          </w:p>
        </w:tc>
        <w:tc>
          <w:tcPr>
            <w:tcW w:type="dxa" w:w="263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стадии, позиции, вложения</w:t>
            </w:r>
          </w:p>
        </w:tc>
      </w:tr>
      <w:tr>
        <w:trPr>
          <w:cantSplit w:val="true"/>
        </w:trPr>
        <w:tc>
          <w:tcPr>
            <w:tcW w:type="dxa" w:w="4218"/>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/warehouse</w:t>
            </w:r>
          </w:p>
        </w:tc>
        <w:tc>
          <w:tcPr>
            <w:tcW w:type="dxa" w:w="250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Склад</w:t>
            </w:r>
          </w:p>
        </w:tc>
        <w:tc>
          <w:tcPr>
            <w:tcW w:type="dxa" w:w="263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факт приёмки</w:t>
            </w:r>
          </w:p>
        </w:tc>
      </w:tr>
      <w:tr>
        <w:trPr>
          <w:cantSplit w:val="true"/>
        </w:trPr>
        <w:tc>
          <w:tcPr>
            <w:tcW w:type="dxa" w:w="4218"/>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/audit</w:t>
            </w:r>
          </w:p>
        </w:tc>
        <w:tc>
          <w:tcPr>
            <w:tcW w:type="dxa" w:w="250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Журнал</w:t>
            </w:r>
          </w:p>
        </w:tc>
        <w:tc>
          <w:tcPr>
            <w:tcW w:type="dxa" w:w="263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только администратор</w:t>
            </w:r>
          </w:p>
        </w:tc>
      </w:tr>
    </w:tbl>
    <w:p>
      <w:pPr>
        <w:spacing w:after="0"/>
      </w:pPr>
    </w:p>
    <w:p>
      <w:pPr>
        <w:keepNext/>
        <w:spacing w:line="240" w:lineRule="auto" w:before="240" w:after="0"/>
        <w:ind w:firstLine="0"/>
        <w:jc w:val="center"/>
      </w:pPr>
      <w:r>
        <w:drawing>
          <wp:inline xmlns:a="http://schemas.openxmlformats.org/drawingml/2006/main" xmlns:pic="http://schemas.openxmlformats.org/drawingml/2006/picture">
            <wp:extent cx="5760000" cy="5802581"/>
            <wp:docPr id="19" name="Picture 19"/>
            <wp:cNvGraphicFramePr>
              <a:graphicFrameLocks noChangeAspect="1"/>
            </wp:cNvGraphicFramePr>
            <a:graphic>
              <a:graphicData uri="http://schemas.openxmlformats.org/drawingml/2006/picture">
                <pic:pic>
                  <pic:nvPicPr>
                    <pic:cNvPr id="0" name="ris-10-prices.png"/>
                    <pic:cNvPicPr/>
                  </pic:nvPicPr>
                  <pic:blipFill>
                    <a:blip r:embed="rId29"/>
                    <a:stretch>
                      <a:fillRect/>
                    </a:stretch>
                  </pic:blipFill>
                  <pic:spPr>
                    <a:xfrm>
                      <a:off x="0" y="0"/>
                      <a:ext cx="5760000" cy="5802581"/>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19 – Экран импорта и архива прайс-листов</w:t>
      </w:r>
    </w:p>
    <w:p>
      <w:pPr>
        <w:keepNext/>
        <w:spacing w:line="240" w:lineRule="auto" w:before="240" w:after="0"/>
        <w:ind w:firstLine="0"/>
        <w:jc w:val="center"/>
      </w:pPr>
      <w:r>
        <w:drawing>
          <wp:inline xmlns:a="http://schemas.openxmlformats.org/drawingml/2006/main" xmlns:pic="http://schemas.openxmlformats.org/drawingml/2006/picture">
            <wp:extent cx="5760000" cy="7339355"/>
            <wp:docPr id="20" name="Picture 20"/>
            <wp:cNvGraphicFramePr>
              <a:graphicFrameLocks noChangeAspect="1"/>
            </wp:cNvGraphicFramePr>
            <a:graphic>
              <a:graphicData uri="http://schemas.openxmlformats.org/drawingml/2006/picture">
                <pic:pic>
                  <pic:nvPicPr>
                    <pic:cNvPr id="0" name="ris-11-match.png"/>
                    <pic:cNvPicPr/>
                  </pic:nvPicPr>
                  <pic:blipFill>
                    <a:blip r:embed="rId30"/>
                    <a:stretch>
                      <a:fillRect/>
                    </a:stretch>
                  </pic:blipFill>
                  <pic:spPr>
                    <a:xfrm>
                      <a:off x="0" y="0"/>
                      <a:ext cx="5760000" cy="7339355"/>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20 – Экран ML-сопоставления спецификации</w:t>
      </w:r>
    </w:p>
    <w:p>
      <w:pPr>
        <w:keepNext/>
        <w:spacing w:line="240" w:lineRule="auto" w:before="240" w:after="0"/>
        <w:ind w:firstLine="0"/>
        <w:jc w:val="center"/>
      </w:pPr>
      <w:r>
        <w:drawing>
          <wp:inline xmlns:a="http://schemas.openxmlformats.org/drawingml/2006/main" xmlns:pic="http://schemas.openxmlformats.org/drawingml/2006/picture">
            <wp:extent cx="5760000" cy="3541935"/>
            <wp:docPr id="21" name="Picture 21"/>
            <wp:cNvGraphicFramePr>
              <a:graphicFrameLocks noChangeAspect="1"/>
            </wp:cNvGraphicFramePr>
            <a:graphic>
              <a:graphicData uri="http://schemas.openxmlformats.org/drawingml/2006/picture">
                <pic:pic>
                  <pic:nvPicPr>
                    <pic:cNvPr id="0" name="ris-12-quotes.png"/>
                    <pic:cNvPicPr/>
                  </pic:nvPicPr>
                  <pic:blipFill>
                    <a:blip r:embed="rId31"/>
                    <a:stretch>
                      <a:fillRect/>
                    </a:stretch>
                  </pic:blipFill>
                  <pic:spPr>
                    <a:xfrm>
                      <a:off x="0" y="0"/>
                      <a:ext cx="5760000" cy="3541935"/>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21 – Экран сравнения вариантов КП</w:t>
      </w:r>
    </w:p>
    <w:p>
      <w:pPr>
        <w:keepNext/>
        <w:spacing w:line="240" w:lineRule="auto" w:before="240" w:after="0"/>
        <w:ind w:firstLine="0"/>
        <w:jc w:val="center"/>
      </w:pPr>
      <w:r>
        <w:drawing>
          <wp:inline xmlns:a="http://schemas.openxmlformats.org/drawingml/2006/main" xmlns:pic="http://schemas.openxmlformats.org/drawingml/2006/picture">
            <wp:extent cx="5760000" cy="4850323"/>
            <wp:docPr id="22" name="Picture 22"/>
            <wp:cNvGraphicFramePr>
              <a:graphicFrameLocks noChangeAspect="1"/>
            </wp:cNvGraphicFramePr>
            <a:graphic>
              <a:graphicData uri="http://schemas.openxmlformats.org/drawingml/2006/picture">
                <pic:pic>
                  <pic:nvPicPr>
                    <pic:cNvPr id="0" name="ris-13-approval.png"/>
                    <pic:cNvPicPr/>
                  </pic:nvPicPr>
                  <pic:blipFill>
                    <a:blip r:embed="rId32"/>
                    <a:stretch>
                      <a:fillRect/>
                    </a:stretch>
                  </pic:blipFill>
                  <pic:spPr>
                    <a:xfrm>
                      <a:off x="0" y="0"/>
                      <a:ext cx="5760000" cy="4850323"/>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22 – Экран расчёта маржи и согласования</w:t>
      </w:r>
    </w:p>
    <w:p>
      <w:pPr>
        <w:keepNext/>
        <w:spacing w:line="240" w:lineRule="auto" w:before="240" w:after="0"/>
        <w:ind w:firstLine="0"/>
        <w:jc w:val="center"/>
      </w:pPr>
      <w:r>
        <w:drawing>
          <wp:inline xmlns:a="http://schemas.openxmlformats.org/drawingml/2006/main" xmlns:pic="http://schemas.openxmlformats.org/drawingml/2006/picture">
            <wp:extent cx="5760000" cy="4060645"/>
            <wp:docPr id="23" name="Picture 23"/>
            <wp:cNvGraphicFramePr>
              <a:graphicFrameLocks noChangeAspect="1"/>
            </wp:cNvGraphicFramePr>
            <a:graphic>
              <a:graphicData uri="http://schemas.openxmlformats.org/drawingml/2006/picture">
                <pic:pic>
                  <pic:nvPicPr>
                    <pic:cNvPr id="0" name="ris-14-invoice.png"/>
                    <pic:cNvPicPr/>
                  </pic:nvPicPr>
                  <pic:blipFill>
                    <a:blip r:embed="rId33"/>
                    <a:stretch>
                      <a:fillRect/>
                    </a:stretch>
                  </pic:blipFill>
                  <pic:spPr>
                    <a:xfrm>
                      <a:off x="0" y="0"/>
                      <a:ext cx="5760000" cy="4060645"/>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23 – Экран счёта NOC</w:t>
      </w:r>
    </w:p>
    <w:p>
      <w:pPr>
        <w:keepNext/>
        <w:spacing w:line="240" w:lineRule="auto" w:before="240" w:after="0"/>
        <w:ind w:firstLine="0"/>
        <w:jc w:val="center"/>
      </w:pPr>
      <w:r>
        <w:drawing>
          <wp:inline xmlns:a="http://schemas.openxmlformats.org/drawingml/2006/main" xmlns:pic="http://schemas.openxmlformats.org/drawingml/2006/picture">
            <wp:extent cx="5760000" cy="1978065"/>
            <wp:docPr id="24" name="Picture 24"/>
            <wp:cNvGraphicFramePr>
              <a:graphicFrameLocks noChangeAspect="1"/>
            </wp:cNvGraphicFramePr>
            <a:graphic>
              <a:graphicData uri="http://schemas.openxmlformats.org/drawingml/2006/picture">
                <pic:pic>
                  <pic:nvPicPr>
                    <pic:cNvPr id="0" name="ris-15-warehouse.png"/>
                    <pic:cNvPicPr/>
                  </pic:nvPicPr>
                  <pic:blipFill>
                    <a:blip r:embed="rId34"/>
                    <a:stretch>
                      <a:fillRect/>
                    </a:stretch>
                  </pic:blipFill>
                  <pic:spPr>
                    <a:xfrm>
                      <a:off x="0" y="0"/>
                      <a:ext cx="5760000" cy="1978065"/>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24 – Экран складской приёмки</w:t>
      </w:r>
    </w:p>
    <w:p>
      <w:pPr>
        <w:keepNext/>
        <w:spacing w:line="240" w:lineRule="auto" w:before="240" w:after="0"/>
        <w:ind w:firstLine="0"/>
        <w:jc w:val="center"/>
      </w:pPr>
      <w:r>
        <w:drawing>
          <wp:inline xmlns:a="http://schemas.openxmlformats.org/drawingml/2006/main" xmlns:pic="http://schemas.openxmlformats.org/drawingml/2006/picture">
            <wp:extent cx="5342986" cy="7379999"/>
            <wp:docPr id="25" name="Picture 25"/>
            <wp:cNvGraphicFramePr>
              <a:graphicFrameLocks noChangeAspect="1"/>
            </wp:cNvGraphicFramePr>
            <a:graphic>
              <a:graphicData uri="http://schemas.openxmlformats.org/drawingml/2006/picture">
                <pic:pic>
                  <pic:nvPicPr>
                    <pic:cNvPr id="0" name="ris-16-projects.png"/>
                    <pic:cNvPicPr/>
                  </pic:nvPicPr>
                  <pic:blipFill>
                    <a:blip r:embed="rId35"/>
                    <a:stretch>
                      <a:fillRect/>
                    </a:stretch>
                  </pic:blipFill>
                  <pic:spPr>
                    <a:xfrm>
                      <a:off x="0" y="0"/>
                      <a:ext cx="5342986" cy="7379999"/>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25 – Журнал проектов</w:t>
      </w:r>
    </w:p>
    <w:p>
      <w:r>
        <w:rPr>
          <w:rFonts w:ascii="Times New Roman" w:hAnsi="Times New Roman" w:eastAsia="Times New Roman" w:cs="Times New Roman"/>
          <w:b w:val="0"/>
          <w:color w:val="000000"/>
          <w:sz w:val="28"/>
        </w:rPr>
        <w:t>Для ширины до 860 px предусмотрена адаптивная компоновка, и это не отдельное мобильное приложение: в ТЗ отдельный мобильный клиент в MVP не требуется. Скриншоты на рисунках 19–25 сняты с десктопной ширины рабочего кабинета, потому что основной сценарий РП выполняется за большим экраном с таблицами.</w:t>
      </w:r>
    </w:p>
    <w:p>
      <w:pPr>
        <w:pStyle w:val="Heading2"/>
      </w:pPr>
      <w:r>
        <w:rPr>
          <w:rFonts w:ascii="Times New Roman" w:hAnsi="Times New Roman" w:eastAsia="Times New Roman" w:cs="Times New Roman"/>
          <w:b/>
          <w:color w:val="000000"/>
          <w:sz w:val="28"/>
        </w:rPr>
        <w:t>4.4 Проектирование базы данных</w:t>
      </w:r>
    </w:p>
    <w:p>
      <w:r>
        <w:rPr>
          <w:rFonts w:ascii="Times New Roman" w:hAnsi="Times New Roman" w:eastAsia="Times New Roman" w:cs="Times New Roman"/>
          <w:b w:val="0"/>
          <w:color w:val="000000"/>
          <w:sz w:val="28"/>
        </w:rPr>
        <w:t xml:space="preserve">Пока миграция по шаблону Strangler Fig не завершена, одни и те же сущности могут существовать в схеме </w:t>
      </w:r>
      <w:r>
        <w:rPr>
          <w:rFonts w:ascii="Courier New" w:hAnsi="Courier New" w:eastAsia="Courier New" w:cs="Courier New"/>
          <w:b w:val="0"/>
          <w:color w:val="000000"/>
          <w:sz w:val="26"/>
        </w:rPr>
        <w:t>public</w:t>
      </w:r>
      <w:r>
        <w:rPr>
          <w:rFonts w:ascii="Times New Roman" w:hAnsi="Times New Roman" w:eastAsia="Times New Roman" w:cs="Times New Roman"/>
          <w:b w:val="0"/>
          <w:color w:val="000000"/>
          <w:sz w:val="28"/>
        </w:rPr>
        <w:t xml:space="preserve"> монолита и в схемах сервисов (</w:t>
      </w:r>
      <w:r>
        <w:rPr>
          <w:rFonts w:ascii="Courier New" w:hAnsi="Courier New" w:eastAsia="Courier New" w:cs="Courier New"/>
          <w:b w:val="0"/>
          <w:color w:val="000000"/>
          <w:sz w:val="26"/>
        </w:rPr>
        <w:t>catalog</w:t>
      </w:r>
      <w:r>
        <w:rPr>
          <w:rFonts w:ascii="Times New Roman" w:hAnsi="Times New Roman" w:eastAsia="Times New Roman" w:cs="Times New Roman"/>
          <w:b w:val="0"/>
          <w:color w:val="000000"/>
          <w:sz w:val="28"/>
        </w:rPr>
        <w:t xml:space="preserve">, </w:t>
      </w:r>
      <w:r>
        <w:rPr>
          <w:rFonts w:ascii="Courier New" w:hAnsi="Courier New" w:eastAsia="Courier New" w:cs="Courier New"/>
          <w:b w:val="0"/>
          <w:color w:val="000000"/>
          <w:sz w:val="26"/>
        </w:rPr>
        <w:t>quoting</w:t>
      </w:r>
      <w:r>
        <w:rPr>
          <w:rFonts w:ascii="Times New Roman" w:hAnsi="Times New Roman" w:eastAsia="Times New Roman" w:cs="Times New Roman"/>
          <w:b w:val="0"/>
          <w:color w:val="000000"/>
          <w:sz w:val="28"/>
        </w:rPr>
        <w:t xml:space="preserve">, </w:t>
      </w:r>
      <w:r>
        <w:rPr>
          <w:rFonts w:ascii="Courier New" w:hAnsi="Courier New" w:eastAsia="Courier New" w:cs="Courier New"/>
          <w:b w:val="0"/>
          <w:color w:val="000000"/>
          <w:sz w:val="26"/>
        </w:rPr>
        <w:t>commercial</w:t>
      </w:r>
      <w:r>
        <w:rPr>
          <w:rFonts w:ascii="Times New Roman" w:hAnsi="Times New Roman" w:eastAsia="Times New Roman" w:cs="Times New Roman"/>
          <w:b w:val="0"/>
          <w:color w:val="000000"/>
          <w:sz w:val="28"/>
        </w:rPr>
        <w:t xml:space="preserve">, </w:t>
      </w:r>
      <w:r>
        <w:rPr>
          <w:rFonts w:ascii="Courier New" w:hAnsi="Courier New" w:eastAsia="Courier New" w:cs="Courier New"/>
          <w:b w:val="0"/>
          <w:color w:val="000000"/>
          <w:sz w:val="26"/>
        </w:rPr>
        <w:t>ordering</w:t>
      </w:r>
      <w:r>
        <w:rPr>
          <w:rFonts w:ascii="Times New Roman" w:hAnsi="Times New Roman" w:eastAsia="Times New Roman" w:cs="Times New Roman"/>
          <w:b w:val="0"/>
          <w:color w:val="000000"/>
          <w:sz w:val="28"/>
        </w:rPr>
        <w:t xml:space="preserve">, </w:t>
      </w:r>
      <w:r>
        <w:rPr>
          <w:rFonts w:ascii="Courier New" w:hAnsi="Courier New" w:eastAsia="Courier New" w:cs="Courier New"/>
          <w:b w:val="0"/>
          <w:color w:val="000000"/>
          <w:sz w:val="26"/>
        </w:rPr>
        <w:t>logistics</w:t>
      </w:r>
      <w:r>
        <w:rPr>
          <w:rFonts w:ascii="Times New Roman" w:hAnsi="Times New Roman" w:eastAsia="Times New Roman" w:cs="Times New Roman"/>
          <w:b w:val="0"/>
          <w:color w:val="000000"/>
          <w:sz w:val="28"/>
        </w:rPr>
        <w:t xml:space="preserve">, </w:t>
      </w:r>
      <w:r>
        <w:rPr>
          <w:rFonts w:ascii="Courier New" w:hAnsi="Courier New" w:eastAsia="Courier New" w:cs="Courier New"/>
          <w:b w:val="0"/>
          <w:color w:val="000000"/>
          <w:sz w:val="26"/>
        </w:rPr>
        <w:t>notifications</w:t>
      </w:r>
      <w:r>
        <w:rPr>
          <w:rFonts w:ascii="Times New Roman" w:hAnsi="Times New Roman" w:eastAsia="Times New Roman" w:cs="Times New Roman"/>
          <w:b w:val="0"/>
          <w:color w:val="000000"/>
          <w:sz w:val="28"/>
        </w:rPr>
        <w:t xml:space="preserve">). Владелец записи определяется процессом, который принимает трафик соответствующего маршрута: если шлюз отправил </w:t>
      </w:r>
      <w:r>
        <w:rPr>
          <w:rFonts w:ascii="Courier New" w:hAnsi="Courier New" w:eastAsia="Courier New" w:cs="Courier New"/>
          <w:b w:val="0"/>
          <w:color w:val="000000"/>
          <w:sz w:val="26"/>
        </w:rPr>
        <w:t>/api/catalog</w:t>
      </w:r>
      <w:r>
        <w:rPr>
          <w:rFonts w:ascii="Times New Roman" w:hAnsi="Times New Roman" w:eastAsia="Times New Roman" w:cs="Times New Roman"/>
          <w:b w:val="0"/>
          <w:color w:val="000000"/>
          <w:sz w:val="28"/>
        </w:rPr>
        <w:t xml:space="preserve"> в Catalog, источником истины для номенклатуры становится схема </w:t>
      </w:r>
      <w:r>
        <w:rPr>
          <w:rFonts w:ascii="Courier New" w:hAnsi="Courier New" w:eastAsia="Courier New" w:cs="Courier New"/>
          <w:b w:val="0"/>
          <w:color w:val="000000"/>
          <w:sz w:val="26"/>
        </w:rPr>
        <w:t>catalog</w:t>
      </w:r>
      <w:r>
        <w:rPr>
          <w:rFonts w:ascii="Times New Roman" w:hAnsi="Times New Roman" w:eastAsia="Times New Roman" w:cs="Times New Roman"/>
          <w:b w:val="0"/>
          <w:color w:val="000000"/>
          <w:sz w:val="28"/>
        </w:rPr>
        <w:t xml:space="preserve">, а не </w:t>
      </w:r>
      <w:r>
        <w:rPr>
          <w:rFonts w:ascii="Courier New" w:hAnsi="Courier New" w:eastAsia="Courier New" w:cs="Courier New"/>
          <w:b w:val="0"/>
          <w:color w:val="000000"/>
          <w:sz w:val="26"/>
        </w:rPr>
        <w:t>public</w:t>
      </w:r>
      <w:r>
        <w:rPr>
          <w:rFonts w:ascii="Times New Roman" w:hAnsi="Times New Roman" w:eastAsia="Times New Roman" w:cs="Times New Roman"/>
          <w:b w:val="0"/>
          <w:color w:val="000000"/>
          <w:sz w:val="28"/>
        </w:rPr>
        <w:t xml:space="preserve">. Модель реляционная и хранится в PostgreSQL. Двойные комплекты таблиц это цена поэтапного выноса, а не целевое состояние; после переноса строк схему </w:t>
      </w:r>
      <w:r>
        <w:rPr>
          <w:rFonts w:ascii="Courier New" w:hAnsi="Courier New" w:eastAsia="Courier New" w:cs="Courier New"/>
          <w:b w:val="0"/>
          <w:color w:val="000000"/>
          <w:sz w:val="26"/>
        </w:rPr>
        <w:t>public</w:t>
      </w:r>
      <w:r>
        <w:rPr>
          <w:rFonts w:ascii="Times New Roman" w:hAnsi="Times New Roman" w:eastAsia="Times New Roman" w:cs="Times New Roman"/>
          <w:b w:val="0"/>
          <w:color w:val="000000"/>
          <w:sz w:val="28"/>
        </w:rPr>
        <w:t xml:space="preserve"> можно сузить.</w:t>
      </w:r>
    </w:p>
    <w:p>
      <w:r>
        <w:rPr>
          <w:rFonts w:ascii="Times New Roman" w:hAnsi="Times New Roman" w:eastAsia="Times New Roman" w:cs="Times New Roman"/>
          <w:b w:val="0"/>
          <w:color w:val="000000"/>
          <w:sz w:val="28"/>
        </w:rPr>
        <w:t xml:space="preserve">Корнем агрегата каталога служит товар; оффер и история цены подчинены ему, потому что цена без товара не имеет смысла, а товар без оффера ещё может ждать прайса. Спецификация хранит исходные строки, и </w:t>
      </w:r>
      <w:r>
        <w:rPr>
          <w:rFonts w:ascii="Courier New" w:hAnsi="Courier New" w:eastAsia="Courier New" w:cs="Courier New"/>
          <w:b w:val="0"/>
          <w:color w:val="000000"/>
          <w:sz w:val="26"/>
        </w:rPr>
        <w:t>ProductId</w:t>
      </w:r>
      <w:r>
        <w:rPr>
          <w:rFonts w:ascii="Times New Roman" w:hAnsi="Times New Roman" w:eastAsia="Times New Roman" w:cs="Times New Roman"/>
          <w:b w:val="0"/>
          <w:color w:val="000000"/>
          <w:sz w:val="28"/>
        </w:rPr>
        <w:t xml:space="preserve"> может быть пустым, пока строка не сопоставлена, иначе ненайденная позиция тендерного перечня исчезла бы из документа. Скидка адресуется поставщику или имени производителя, а согласование порождает счёт. Заказ и счёт копируют экономические поля в строки-снимки, поэтому смена прайса не меняет оформленный документ. Часть связей по </w:t>
      </w:r>
      <w:r>
        <w:rPr>
          <w:rFonts w:ascii="Courier New" w:hAnsi="Courier New" w:eastAsia="Courier New" w:cs="Courier New"/>
          <w:b w:val="0"/>
          <w:color w:val="000000"/>
          <w:sz w:val="26"/>
        </w:rPr>
        <w:t>Guid</w:t>
      </w:r>
      <w:r>
        <w:rPr>
          <w:rFonts w:ascii="Times New Roman" w:hAnsi="Times New Roman" w:eastAsia="Times New Roman" w:cs="Times New Roman"/>
          <w:b w:val="0"/>
          <w:color w:val="000000"/>
          <w:sz w:val="28"/>
        </w:rPr>
        <w:t xml:space="preserve"> намеренно без внешнего ключа: так развязываются модули и снимки, и вынесенный сервис не обязан держать FK на чужую схему.</w:t>
      </w:r>
    </w:p>
    <w:p>
      <w:r>
        <w:rPr>
          <w:rFonts w:ascii="Times New Roman" w:hAnsi="Times New Roman" w:eastAsia="Times New Roman" w:cs="Times New Roman"/>
          <w:b w:val="0"/>
          <w:color w:val="000000"/>
          <w:sz w:val="28"/>
        </w:rPr>
        <w:t>Основные агрегаты, корни и инварианты сведены в таблицу 26, а связи сущностей показаны на рисунке 26. Инварианты проверяются доменными методами, а не только экранной формой, чтобы прямой вызов API не обошёл правило «приёмка проводится один раз» или «счёт только из согласованного Approval».</w:t>
      </w:r>
    </w:p>
    <w:p>
      <w:pPr>
        <w:pStyle w:val="GOSTCaption"/>
        <w:keepNext/>
        <w:jc w:val="left"/>
      </w:pPr>
      <w:r>
        <w:rPr>
          <w:rFonts w:ascii="Times New Roman" w:hAnsi="Times New Roman" w:eastAsia="Times New Roman" w:cs="Times New Roman"/>
          <w:b w:val="0"/>
          <w:color w:val="000000"/>
          <w:sz w:val="28"/>
        </w:rPr>
        <w:t>Таблица 26 – Основные агрегаты</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val="true"/>
          <w:tblHeader w:val="true"/>
        </w:trPr>
        <w:tc>
          <w:tcPr>
            <w:tcW w:type="dxa" w:w="2150"/>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Агрегат</w:t>
            </w:r>
          </w:p>
        </w:tc>
        <w:tc>
          <w:tcPr>
            <w:tcW w:type="dxa" w:w="2461"/>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Корень</w:t>
            </w:r>
          </w:p>
        </w:tc>
        <w:tc>
          <w:tcPr>
            <w:tcW w:type="dxa" w:w="2254"/>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Вложенные данные</w:t>
            </w:r>
          </w:p>
        </w:tc>
        <w:tc>
          <w:tcPr>
            <w:tcW w:type="dxa" w:w="2489"/>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Инвариант</w:t>
            </w:r>
          </w:p>
        </w:tc>
      </w:tr>
      <w:tr>
        <w:trPr>
          <w:cantSplit w:val="true"/>
        </w:trPr>
        <w:tc>
          <w:tcPr>
            <w:tcW w:type="dxa" w:w="215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Каталог</w:t>
            </w:r>
          </w:p>
        </w:tc>
        <w:tc>
          <w:tcPr>
            <w:tcW w:type="dxa" w:w="2461"/>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Product</w:t>
            </w:r>
          </w:p>
        </w:tc>
        <w:tc>
          <w:tcPr>
            <w:tcW w:type="dxa" w:w="225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офферы, история цен</w:t>
            </w:r>
          </w:p>
        </w:tc>
        <w:tc>
          <w:tcPr>
            <w:tcW w:type="dxa" w:w="24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SKU и имя обязательны</w:t>
            </w:r>
          </w:p>
        </w:tc>
      </w:tr>
      <w:tr>
        <w:trPr>
          <w:cantSplit w:val="true"/>
        </w:trPr>
        <w:tc>
          <w:tcPr>
            <w:tcW w:type="dxa" w:w="215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Спецификация</w:t>
            </w:r>
          </w:p>
        </w:tc>
        <w:tc>
          <w:tcPr>
            <w:tcW w:type="dxa" w:w="2461"/>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Specification</w:t>
            </w:r>
          </w:p>
        </w:tc>
        <w:tc>
          <w:tcPr>
            <w:tcW w:type="dxa" w:w="225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позиции, overrides</w:t>
            </w:r>
          </w:p>
        </w:tc>
        <w:tc>
          <w:tcPr>
            <w:tcW w:type="dxa" w:w="24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строка может быть несопоставлена</w:t>
            </w:r>
          </w:p>
        </w:tc>
      </w:tr>
      <w:tr>
        <w:trPr>
          <w:cantSplit w:val="true"/>
        </w:trPr>
        <w:tc>
          <w:tcPr>
            <w:tcW w:type="dxa" w:w="215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Согласование</w:t>
            </w:r>
          </w:p>
        </w:tc>
        <w:tc>
          <w:tcPr>
            <w:tcW w:type="dxa" w:w="2461"/>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Approval</w:t>
            </w:r>
          </w:p>
        </w:tc>
        <w:tc>
          <w:tcPr>
            <w:tcW w:type="dxa" w:w="225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расчёт и комментарий</w:t>
            </w:r>
          </w:p>
        </w:tc>
        <w:tc>
          <w:tcPr>
            <w:tcW w:type="dxa" w:w="24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решение после передачи в КБ</w:t>
            </w:r>
          </w:p>
        </w:tc>
      </w:tr>
      <w:tr>
        <w:trPr>
          <w:cantSplit w:val="true"/>
        </w:trPr>
        <w:tc>
          <w:tcPr>
            <w:tcW w:type="dxa" w:w="215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Счёт</w:t>
            </w:r>
          </w:p>
        </w:tc>
        <w:tc>
          <w:tcPr>
            <w:tcW w:type="dxa" w:w="2461"/>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Invoice</w:t>
            </w:r>
          </w:p>
        </w:tc>
        <w:tc>
          <w:tcPr>
            <w:tcW w:type="dxa" w:w="225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строки и вложения</w:t>
            </w:r>
          </w:p>
        </w:tc>
        <w:tc>
          <w:tcPr>
            <w:tcW w:type="dxa" w:w="24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только из согласованного Approval</w:t>
            </w:r>
          </w:p>
        </w:tc>
      </w:tr>
      <w:tr>
        <w:trPr>
          <w:cantSplit w:val="true"/>
        </w:trPr>
        <w:tc>
          <w:tcPr>
            <w:tcW w:type="dxa" w:w="215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Заказ</w:t>
            </w:r>
          </w:p>
        </w:tc>
        <w:tc>
          <w:tcPr>
            <w:tcW w:type="dxa" w:w="2461"/>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Order</w:t>
            </w:r>
          </w:p>
        </w:tc>
        <w:tc>
          <w:tcPr>
            <w:tcW w:type="dxa" w:w="225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строки-снимки</w:t>
            </w:r>
          </w:p>
        </w:tc>
        <w:tc>
          <w:tcPr>
            <w:tcW w:type="dxa" w:w="24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контролируемый переход статуса</w:t>
            </w:r>
          </w:p>
        </w:tc>
      </w:tr>
      <w:tr>
        <w:trPr>
          <w:cantSplit w:val="true"/>
        </w:trPr>
        <w:tc>
          <w:tcPr>
            <w:tcW w:type="dxa" w:w="215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Приёмка</w:t>
            </w:r>
          </w:p>
        </w:tc>
        <w:tc>
          <w:tcPr>
            <w:tcW w:type="dxa" w:w="2461"/>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GoodsReceipt</w:t>
            </w:r>
          </w:p>
        </w:tc>
        <w:tc>
          <w:tcPr>
            <w:tcW w:type="dxa" w:w="225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заказано / принято</w:t>
            </w:r>
          </w:p>
        </w:tc>
        <w:tc>
          <w:tcPr>
            <w:tcW w:type="dxa" w:w="24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проведение один раз</w:t>
            </w:r>
          </w:p>
        </w:tc>
      </w:tr>
    </w:tbl>
    <w:p>
      <w:pPr>
        <w:spacing w:after="0"/>
      </w:pPr>
    </w:p>
    <w:p>
      <w:pPr>
        <w:keepNext/>
        <w:spacing w:line="240" w:lineRule="auto" w:before="240" w:after="0"/>
        <w:ind w:firstLine="0"/>
        <w:jc w:val="center"/>
      </w:pPr>
      <w:r>
        <w:drawing>
          <wp:inline xmlns:a="http://schemas.openxmlformats.org/drawingml/2006/main" xmlns:pic="http://schemas.openxmlformats.org/drawingml/2006/picture">
            <wp:extent cx="5760000" cy="2890800"/>
            <wp:docPr id="26" name="Picture 26"/>
            <wp:cNvGraphicFramePr>
              <a:graphicFrameLocks noChangeAspect="1"/>
            </wp:cNvGraphicFramePr>
            <a:graphic>
              <a:graphicData uri="http://schemas.openxmlformats.org/drawingml/2006/picture">
                <pic:pic>
                  <pic:nvPicPr>
                    <pic:cNvPr id="0" name="ris-07-er.png"/>
                    <pic:cNvPicPr/>
                  </pic:nvPicPr>
                  <pic:blipFill>
                    <a:blip r:embed="rId36"/>
                    <a:stretch>
                      <a:fillRect/>
                    </a:stretch>
                  </pic:blipFill>
                  <pic:spPr>
                    <a:xfrm>
                      <a:off x="0" y="0"/>
                      <a:ext cx="5760000" cy="2890800"/>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26 – ER-диаграмма основных сущностей</w:t>
      </w:r>
    </w:p>
    <w:p>
      <w:r>
        <w:rPr>
          <w:rFonts w:ascii="Times New Roman" w:hAnsi="Times New Roman" w:eastAsia="Times New Roman" w:cs="Times New Roman"/>
          <w:b w:val="0"/>
          <w:color w:val="000000"/>
          <w:sz w:val="28"/>
        </w:rPr>
        <w:t xml:space="preserve">Имя производителя в товаре денормализовано и может расходиться со справочником, потому что прайс часто несёт строку производителя без нормализованного идентификатора. </w:t>
      </w:r>
      <w:r>
        <w:rPr>
          <w:rFonts w:ascii="Courier New" w:hAnsi="Courier New" w:eastAsia="Courier New" w:cs="Courier New"/>
          <w:b w:val="0"/>
          <w:color w:val="000000"/>
          <w:sz w:val="26"/>
        </w:rPr>
        <w:t>AuditEntry</w:t>
      </w:r>
      <w:r>
        <w:rPr>
          <w:rFonts w:ascii="Times New Roman" w:hAnsi="Times New Roman" w:eastAsia="Times New Roman" w:cs="Times New Roman"/>
          <w:b w:val="0"/>
          <w:color w:val="000000"/>
          <w:sz w:val="28"/>
        </w:rPr>
        <w:t xml:space="preserve"> и </w:t>
      </w:r>
      <w:r>
        <w:rPr>
          <w:rFonts w:ascii="Courier New" w:hAnsi="Courier New" w:eastAsia="Courier New" w:cs="Courier New"/>
          <w:b w:val="0"/>
          <w:color w:val="000000"/>
          <w:sz w:val="26"/>
        </w:rPr>
        <w:t>OutboxMessage</w:t>
      </w:r>
      <w:r>
        <w:rPr>
          <w:rFonts w:ascii="Times New Roman" w:hAnsi="Times New Roman" w:eastAsia="Times New Roman" w:cs="Times New Roman"/>
          <w:b w:val="0"/>
          <w:color w:val="000000"/>
          <w:sz w:val="28"/>
        </w:rPr>
        <w:t xml:space="preserve"> являются техническими сущностями. У </w:t>
      </w:r>
      <w:r>
        <w:rPr>
          <w:rFonts w:ascii="Courier New" w:hAnsi="Courier New" w:eastAsia="Courier New" w:cs="Courier New"/>
          <w:b w:val="0"/>
          <w:color w:val="000000"/>
          <w:sz w:val="26"/>
        </w:rPr>
        <w:t>Notification</w:t>
      </w:r>
      <w:r>
        <w:rPr>
          <w:rFonts w:ascii="Times New Roman" w:hAnsi="Times New Roman" w:eastAsia="Times New Roman" w:cs="Times New Roman"/>
          <w:b w:val="0"/>
          <w:color w:val="000000"/>
          <w:sz w:val="28"/>
        </w:rPr>
        <w:t xml:space="preserve"> есть уникальный ключ дедупликации, иначе повторный проход диспетчера создал бы второе письмо о том же документе.</w:t>
      </w:r>
    </w:p>
    <w:p>
      <w:pPr>
        <w:pStyle w:val="Heading1"/>
        <w:jc w:val="left"/>
      </w:pPr>
      <w:r>
        <w:rPr>
          <w:rFonts w:ascii="Times New Roman" w:hAnsi="Times New Roman" w:eastAsia="Times New Roman" w:cs="Times New Roman"/>
          <w:b/>
          <w:color w:val="000000"/>
          <w:sz w:val="28"/>
        </w:rPr>
        <w:t>5 ПРОГРАММНАЯ РЕАЛИЗАЦИЯ СИСТЕМЫ</w:t>
      </w:r>
    </w:p>
    <w:p>
      <w:r>
        <w:rPr>
          <w:rFonts w:ascii="Times New Roman" w:hAnsi="Times New Roman" w:eastAsia="Times New Roman" w:cs="Times New Roman"/>
          <w:b w:val="0"/>
          <w:color w:val="000000"/>
          <w:sz w:val="28"/>
        </w:rPr>
        <w:t xml:space="preserve">Исходный код лежит в одном репозитории, поскольку границы контекстов уже проведены проектами решения, а вынос в отдельные процессы ещё следует шаблону Strangler Fig из раздела 4 [14]. Общие параметры C#-проектов (nullable-ссылки, неявные </w:t>
      </w:r>
      <w:r>
        <w:rPr>
          <w:rFonts w:ascii="Courier New" w:hAnsi="Courier New" w:eastAsia="Courier New" w:cs="Courier New"/>
          <w:b w:val="0"/>
          <w:color w:val="000000"/>
          <w:sz w:val="26"/>
        </w:rPr>
        <w:t>using</w:t>
      </w:r>
      <w:r>
        <w:rPr>
          <w:rFonts w:ascii="Times New Roman" w:hAnsi="Times New Roman" w:eastAsia="Times New Roman" w:cs="Times New Roman"/>
          <w:b w:val="0"/>
          <w:color w:val="000000"/>
          <w:sz w:val="28"/>
        </w:rPr>
        <w:t xml:space="preserve">, версия языка) заданы в </w:t>
      </w:r>
      <w:r>
        <w:rPr>
          <w:rFonts w:ascii="Courier New" w:hAnsi="Courier New" w:eastAsia="Courier New" w:cs="Courier New"/>
          <w:b w:val="0"/>
          <w:color w:val="000000"/>
          <w:sz w:val="26"/>
        </w:rPr>
        <w:t>Directory.Build.props</w:t>
      </w:r>
      <w:r>
        <w:rPr>
          <w:rFonts w:ascii="Times New Roman" w:hAnsi="Times New Roman" w:eastAsia="Times New Roman" w:cs="Times New Roman"/>
          <w:b w:val="0"/>
          <w:color w:val="000000"/>
          <w:sz w:val="28"/>
        </w:rPr>
        <w:t xml:space="preserve">, чтобы контейнерная сборка не расходилась с локальной. Образы backend собираются общим Dockerfile с параметром </w:t>
      </w:r>
      <w:r>
        <w:rPr>
          <w:rFonts w:ascii="Courier New" w:hAnsi="Courier New" w:eastAsia="Courier New" w:cs="Courier New"/>
          <w:b w:val="0"/>
          <w:color w:val="000000"/>
          <w:sz w:val="26"/>
        </w:rPr>
        <w:t>.csproj</w:t>
      </w:r>
      <w:r>
        <w:rPr>
          <w:rFonts w:ascii="Times New Roman" w:hAnsi="Times New Roman" w:eastAsia="Times New Roman" w:cs="Times New Roman"/>
          <w:b w:val="0"/>
          <w:color w:val="000000"/>
          <w:sz w:val="28"/>
        </w:rPr>
        <w:t>; SPA идёт отдельным образом с Nginx. Ниже разобраны не каталоги сами по себе, а те фрагменты, без которых нельзя воспроизвести импорт, сопоставление, выбор оффера, доставку события в индекс и смену стадии счёта. Полные тексты генератора КП, перехватчика аудита, консьюмера NATS и миграции схемы вынесены в приложения А–В.</w:t>
      </w:r>
    </w:p>
    <w:p>
      <w:pPr>
        <w:pStyle w:val="Heading2"/>
      </w:pPr>
      <w:r>
        <w:rPr>
          <w:rFonts w:ascii="Times New Roman" w:hAnsi="Times New Roman" w:eastAsia="Times New Roman" w:cs="Times New Roman"/>
          <w:b/>
          <w:color w:val="000000"/>
          <w:sz w:val="28"/>
        </w:rPr>
        <w:t>5.1 Организация программного решения</w:t>
      </w:r>
    </w:p>
    <w:p>
      <w:r>
        <w:rPr>
          <w:rFonts w:ascii="Times New Roman" w:hAnsi="Times New Roman" w:eastAsia="Times New Roman" w:cs="Times New Roman"/>
          <w:b w:val="0"/>
          <w:color w:val="000000"/>
          <w:sz w:val="28"/>
        </w:rPr>
        <w:t xml:space="preserve">Зависимости направлены к домену: проект </w:t>
      </w:r>
      <w:r>
        <w:rPr>
          <w:rFonts w:ascii="Courier New" w:hAnsi="Courier New" w:eastAsia="Courier New" w:cs="Courier New"/>
          <w:b w:val="0"/>
          <w:color w:val="000000"/>
          <w:sz w:val="26"/>
        </w:rPr>
        <w:t>ProcurementSystem.Domain</w:t>
      </w:r>
      <w:r>
        <w:rPr>
          <w:rFonts w:ascii="Times New Roman" w:hAnsi="Times New Roman" w:eastAsia="Times New Roman" w:cs="Times New Roman"/>
          <w:b w:val="0"/>
          <w:color w:val="000000"/>
          <w:sz w:val="28"/>
        </w:rPr>
        <w:t xml:space="preserve"> не ссылается ни на инфраструктуру, ни на веб-хост, и в нём живут сущности, перечисления статусов и контракты внешних зависимостей (</w:t>
      </w:r>
      <w:r>
        <w:rPr>
          <w:rFonts w:ascii="Courier New" w:hAnsi="Courier New" w:eastAsia="Courier New" w:cs="Courier New"/>
          <w:b w:val="0"/>
          <w:color w:val="000000"/>
          <w:sz w:val="26"/>
        </w:rPr>
        <w:t>ISearchEngine</w:t>
      </w:r>
      <w:r>
        <w:rPr>
          <w:rFonts w:ascii="Times New Roman" w:hAnsi="Times New Roman" w:eastAsia="Times New Roman" w:cs="Times New Roman"/>
          <w:b w:val="0"/>
          <w:color w:val="000000"/>
          <w:sz w:val="28"/>
        </w:rPr>
        <w:t xml:space="preserve">, </w:t>
      </w:r>
      <w:r>
        <w:rPr>
          <w:rFonts w:ascii="Courier New" w:hAnsi="Courier New" w:eastAsia="Courier New" w:cs="Courier New"/>
          <w:b w:val="0"/>
          <w:color w:val="000000"/>
          <w:sz w:val="26"/>
        </w:rPr>
        <w:t>IEventBus</w:t>
      </w:r>
      <w:r>
        <w:rPr>
          <w:rFonts w:ascii="Times New Roman" w:hAnsi="Times New Roman" w:eastAsia="Times New Roman" w:cs="Times New Roman"/>
          <w:b w:val="0"/>
          <w:color w:val="000000"/>
          <w:sz w:val="28"/>
        </w:rPr>
        <w:t>, шлюзы учёта и склада) [10, 11]. Интерфейсы внешних систем намеренно объявлены там же, чтобы прикладная логика могла быть написана до выбора конкретного брокера или поискового движка. Контроллеры принимают DTO, проверяют политику авторизации и вызывают прикладной сервис; сами сервисы пользуются контекстом EF Core и доменными методами, а не дублируют правила перехода в HTTP-слое. Такое разделение позволяет менять адаптер брокера или поискового движка, не трогая жизненный цикл счёта.</w:t>
      </w:r>
    </w:p>
    <w:p>
      <w:r>
        <w:rPr>
          <w:rFonts w:ascii="Times New Roman" w:hAnsi="Times New Roman" w:eastAsia="Times New Roman" w:cs="Times New Roman"/>
          <w:b w:val="0"/>
          <w:color w:val="000000"/>
          <w:sz w:val="28"/>
        </w:rPr>
        <w:t xml:space="preserve">Вынесенные сервисы на </w:t>
      </w:r>
      <w:r>
        <w:rPr>
          <w:rFonts w:ascii="Courier New" w:hAnsi="Courier New" w:eastAsia="Courier New" w:cs="Courier New"/>
          <w:b w:val="0"/>
          <w:color w:val="000000"/>
          <w:sz w:val="26"/>
        </w:rPr>
        <w:t>ProcurementSystem.Infrastructure</w:t>
      </w:r>
      <w:r>
        <w:rPr>
          <w:rFonts w:ascii="Times New Roman" w:hAnsi="Times New Roman" w:eastAsia="Times New Roman" w:cs="Times New Roman"/>
          <w:b w:val="0"/>
          <w:color w:val="000000"/>
          <w:sz w:val="28"/>
        </w:rPr>
        <w:t xml:space="preserve"> не ссылаются: у каждого свой </w:t>
      </w:r>
      <w:r>
        <w:rPr>
          <w:rFonts w:ascii="Courier New" w:hAnsi="Courier New" w:eastAsia="Courier New" w:cs="Courier New"/>
          <w:b w:val="0"/>
          <w:color w:val="000000"/>
          <w:sz w:val="26"/>
        </w:rPr>
        <w:t>DbContext</w:t>
      </w:r>
      <w:r>
        <w:rPr>
          <w:rFonts w:ascii="Times New Roman" w:hAnsi="Times New Roman" w:eastAsia="Times New Roman" w:cs="Times New Roman"/>
          <w:b w:val="0"/>
          <w:color w:val="000000"/>
          <w:sz w:val="28"/>
        </w:rPr>
        <w:t xml:space="preserve"> и копия прикладной логики, потому что жёсткая ссылка на инфраструктуру монолита закрепила бы связность, которую поэтапный вынос как раз разрывает [14]. Следствие видно прямо в дереве исходников: импортёр Excel, генератор КП, матчер и процессор Outbox существуют и в монолите, и в соответствующем сервисе, поэтому поведение приходится сверять синхронно, пока миграция не закончена. Общий class library прикладных сервисов отложен: он уменьшил бы дублирование, но снова собрал бы вынесенные процессы вокруг одного пакета монолита. Шлюз YARP не зависит ни от </w:t>
      </w:r>
      <w:r>
        <w:rPr>
          <w:rFonts w:ascii="Courier New" w:hAnsi="Courier New" w:eastAsia="Courier New" w:cs="Courier New"/>
          <w:b w:val="0"/>
          <w:color w:val="000000"/>
          <w:sz w:val="26"/>
        </w:rPr>
        <w:t>Domain</w:t>
      </w:r>
      <w:r>
        <w:rPr>
          <w:rFonts w:ascii="Times New Roman" w:hAnsi="Times New Roman" w:eastAsia="Times New Roman" w:cs="Times New Roman"/>
          <w:b w:val="0"/>
          <w:color w:val="000000"/>
          <w:sz w:val="28"/>
        </w:rPr>
        <w:t xml:space="preserve">, ни от </w:t>
      </w:r>
      <w:r>
        <w:rPr>
          <w:rFonts w:ascii="Courier New" w:hAnsi="Courier New" w:eastAsia="Courier New" w:cs="Courier New"/>
          <w:b w:val="0"/>
          <w:color w:val="000000"/>
          <w:sz w:val="26"/>
        </w:rPr>
        <w:t>Infrastructure</w:t>
      </w:r>
      <w:r>
        <w:rPr>
          <w:rFonts w:ascii="Times New Roman" w:hAnsi="Times New Roman" w:eastAsia="Times New Roman" w:cs="Times New Roman"/>
          <w:b w:val="0"/>
          <w:color w:val="000000"/>
          <w:sz w:val="28"/>
        </w:rPr>
        <w:t xml:space="preserve"> и только маршрутизирует HTTP [18], а раскладка каталогов, из которой следует этот принцип, приведена в таблице 27.</w:t>
      </w:r>
    </w:p>
    <w:p>
      <w:pPr>
        <w:pStyle w:val="GOSTCaption"/>
        <w:keepNext/>
        <w:jc w:val="left"/>
      </w:pPr>
      <w:r>
        <w:rPr>
          <w:rFonts w:ascii="Times New Roman" w:hAnsi="Times New Roman" w:eastAsia="Times New Roman" w:cs="Times New Roman"/>
          <w:b w:val="0"/>
          <w:color w:val="000000"/>
          <w:sz w:val="28"/>
        </w:rPr>
        <w:t>Таблица 27 – Структура исходного кода</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6070"/>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Каталог</w:t>
            </w:r>
          </w:p>
        </w:tc>
        <w:tc>
          <w:tcPr>
            <w:tcW w:type="dxa" w:w="3285"/>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Содержимое</w:t>
            </w:r>
          </w:p>
        </w:tc>
      </w:tr>
      <w:tr>
        <w:trPr>
          <w:cantSplit w:val="true"/>
        </w:trPr>
        <w:tc>
          <w:tcPr>
            <w:tcW w:type="dxa" w:w="6070"/>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src/ProcurementSystem.Domain</w:t>
            </w:r>
          </w:p>
        </w:tc>
        <w:tc>
          <w:tcPr>
            <w:tcW w:type="dxa" w:w="328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сущности, статусы, контракты внешних зависимостей</w:t>
            </w:r>
          </w:p>
        </w:tc>
      </w:tr>
      <w:tr>
        <w:trPr>
          <w:cantSplit w:val="true"/>
        </w:trPr>
        <w:tc>
          <w:tcPr>
            <w:tcW w:type="dxa" w:w="6070"/>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src/ProcurementSystem.Contracts</w:t>
            </w:r>
          </w:p>
        </w:tc>
        <w:tc>
          <w:tcPr>
            <w:tcW w:type="dxa" w:w="328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события и документы поискового индекса</w:t>
            </w:r>
          </w:p>
        </w:tc>
      </w:tr>
      <w:tr>
        <w:trPr>
          <w:cantSplit w:val="true"/>
        </w:trPr>
        <w:tc>
          <w:tcPr>
            <w:tcW w:type="dxa" w:w="6070"/>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src/ProcurementSystem.Infrastructure</w:t>
            </w:r>
          </w:p>
        </w:tc>
        <w:tc>
          <w:tcPr>
            <w:tcW w:type="dxa" w:w="328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реализация модулей монолита</w:t>
            </w:r>
          </w:p>
        </w:tc>
      </w:tr>
      <w:tr>
        <w:trPr>
          <w:cantSplit w:val="true"/>
        </w:trPr>
        <w:tc>
          <w:tcPr>
            <w:tcW w:type="dxa" w:w="6070"/>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src/ProcurementSystem.Api</w:t>
            </w:r>
          </w:p>
        </w:tc>
        <w:tc>
          <w:tcPr>
            <w:tcW w:type="dxa" w:w="328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контроллеры catch-all, аудит</w:t>
            </w:r>
          </w:p>
        </w:tc>
      </w:tr>
      <w:tr>
        <w:trPr>
          <w:cantSplit w:val="true"/>
        </w:trPr>
        <w:tc>
          <w:tcPr>
            <w:tcW w:type="dxa" w:w="6070"/>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src/ProcurementSystem.Worker</w:t>
            </w:r>
          </w:p>
        </w:tc>
        <w:tc>
          <w:tcPr>
            <w:tcW w:type="dxa" w:w="328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потребитель NATS и индексатор</w:t>
            </w:r>
          </w:p>
        </w:tc>
      </w:tr>
      <w:tr>
        <w:trPr>
          <w:cantSplit w:val="true"/>
        </w:trPr>
        <w:tc>
          <w:tcPr>
            <w:tcW w:type="dxa" w:w="6070"/>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src/ProcurementSystem.Gateway</w:t>
            </w:r>
          </w:p>
        </w:tc>
        <w:tc>
          <w:tcPr>
            <w:tcW w:type="dxa" w:w="328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YARP</w:t>
            </w:r>
          </w:p>
        </w:tc>
      </w:tr>
      <w:tr>
        <w:trPr>
          <w:cantSplit w:val="true"/>
        </w:trPr>
        <w:tc>
          <w:tcPr>
            <w:tcW w:type="dxa" w:w="6070"/>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src/ProcurementSystem.Auth</w:t>
            </w:r>
          </w:p>
        </w:tc>
        <w:tc>
          <w:tcPr>
            <w:tcW w:type="dxa" w:w="328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вход и список пользователей</w:t>
            </w:r>
          </w:p>
        </w:tc>
      </w:tr>
      <w:tr>
        <w:trPr>
          <w:cantSplit w:val="true"/>
        </w:trPr>
        <w:tc>
          <w:tcPr>
            <w:tcW w:type="dxa" w:w="6070"/>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src/ProcurementSystem.Services.*</w:t>
            </w:r>
          </w:p>
        </w:tc>
        <w:tc>
          <w:tcPr>
            <w:tcW w:type="dxa" w:w="328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Catalog, Quoting, Commercial, Ordering, Logistics, Matching, Notifications, Retail</w:t>
            </w:r>
          </w:p>
        </w:tc>
      </w:tr>
      <w:tr>
        <w:trPr>
          <w:cantSplit w:val="true"/>
        </w:trPr>
        <w:tc>
          <w:tcPr>
            <w:tcW w:type="dxa" w:w="6070"/>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frontend</w:t>
            </w:r>
          </w:p>
        </w:tc>
        <w:tc>
          <w:tcPr>
            <w:tcW w:type="dxa" w:w="328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React SPA</w:t>
            </w:r>
          </w:p>
        </w:tc>
      </w:tr>
      <w:tr>
        <w:trPr>
          <w:cantSplit w:val="true"/>
        </w:trPr>
        <w:tc>
          <w:tcPr>
            <w:tcW w:type="dxa" w:w="6070"/>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tests/ProcurementSystem.Tests</w:t>
            </w:r>
          </w:p>
        </w:tc>
        <w:tc>
          <w:tcPr>
            <w:tcW w:type="dxa" w:w="328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xUnit</w:t>
            </w:r>
          </w:p>
        </w:tc>
      </w:tr>
    </w:tbl>
    <w:p>
      <w:pPr>
        <w:spacing w:after="0"/>
      </w:pPr>
    </w:p>
    <w:p>
      <w:pPr>
        <w:pStyle w:val="Heading2"/>
      </w:pPr>
      <w:r>
        <w:rPr>
          <w:rFonts w:ascii="Times New Roman" w:hAnsi="Times New Roman" w:eastAsia="Times New Roman" w:cs="Times New Roman"/>
          <w:b/>
          <w:color w:val="000000"/>
          <w:sz w:val="28"/>
        </w:rPr>
        <w:t>5.2 Импорт прайс-листов</w:t>
      </w:r>
    </w:p>
    <w:p>
      <w:r>
        <w:rPr>
          <w:rFonts w:ascii="Times New Roman" w:hAnsi="Times New Roman" w:eastAsia="Times New Roman" w:cs="Times New Roman"/>
          <w:b w:val="0"/>
          <w:color w:val="000000"/>
          <w:sz w:val="28"/>
        </w:rPr>
        <w:t xml:space="preserve">Импорт вызывается </w:t>
      </w:r>
      <w:r>
        <w:rPr>
          <w:rFonts w:ascii="Courier New" w:hAnsi="Courier New" w:eastAsia="Courier New" w:cs="Courier New"/>
          <w:b w:val="0"/>
          <w:color w:val="000000"/>
          <w:sz w:val="26"/>
        </w:rPr>
        <w:t>POST /api/pricelist/import?vendorId=...</w:t>
      </w:r>
      <w:r>
        <w:rPr>
          <w:rFonts w:ascii="Times New Roman" w:hAnsi="Times New Roman" w:eastAsia="Times New Roman" w:cs="Times New Roman"/>
          <w:b w:val="0"/>
          <w:color w:val="000000"/>
          <w:sz w:val="28"/>
        </w:rPr>
        <w:t xml:space="preserve"> (multipart) и для </w:t>
      </w:r>
      <w:r>
        <w:rPr>
          <w:rFonts w:ascii="Courier New" w:hAnsi="Courier New" w:eastAsia="Courier New" w:cs="Courier New"/>
          <w:b w:val="0"/>
          <w:color w:val="000000"/>
          <w:sz w:val="26"/>
        </w:rPr>
        <w:t>.xlsx</w:t>
      </w:r>
      <w:r>
        <w:rPr>
          <w:rFonts w:ascii="Times New Roman" w:hAnsi="Times New Roman" w:eastAsia="Times New Roman" w:cs="Times New Roman"/>
          <w:b w:val="0"/>
          <w:color w:val="000000"/>
          <w:sz w:val="28"/>
        </w:rPr>
        <w:t xml:space="preserve"> читается ClosedXML [26]. Бинарный </w:t>
      </w:r>
      <w:r>
        <w:rPr>
          <w:rFonts w:ascii="Courier New" w:hAnsi="Courier New" w:eastAsia="Courier New" w:cs="Courier New"/>
          <w:b w:val="0"/>
          <w:color w:val="000000"/>
          <w:sz w:val="26"/>
        </w:rPr>
        <w:t>.xls</w:t>
      </w:r>
      <w:r>
        <w:rPr>
          <w:rFonts w:ascii="Times New Roman" w:hAnsi="Times New Roman" w:eastAsia="Times New Roman" w:cs="Times New Roman"/>
          <w:b w:val="0"/>
          <w:color w:val="000000"/>
          <w:sz w:val="28"/>
        </w:rPr>
        <w:t xml:space="preserve"> распознаётся по OLE2-сигнатуре (</w:t>
      </w:r>
      <w:r>
        <w:rPr>
          <w:rFonts w:ascii="Courier New" w:hAnsi="Courier New" w:eastAsia="Courier New" w:cs="Courier New"/>
          <w:b w:val="0"/>
          <w:color w:val="000000"/>
          <w:sz w:val="26"/>
        </w:rPr>
        <w:t>D0 CF 11 E0</w:t>
      </w:r>
      <w:r>
        <w:rPr>
          <w:rFonts w:ascii="Times New Roman" w:hAnsi="Times New Roman" w:eastAsia="Times New Roman" w:cs="Times New Roman"/>
          <w:b w:val="0"/>
          <w:color w:val="000000"/>
          <w:sz w:val="28"/>
        </w:rPr>
        <w:t xml:space="preserve">), читается NPOI [27], все листы переносятся в промежуточную книгу ClosedXML; дальше оба формата идут одним конвейером маппинга. Две библиотеки нужны потому, что ClosedXML не читает составной OLE2-документ, а держать два полных конвейера маппинга дороже, чем один промежуточный перенос. Если бы </w:t>
      </w:r>
      <w:r>
        <w:rPr>
          <w:rFonts w:ascii="Courier New" w:hAnsi="Courier New" w:eastAsia="Courier New" w:cs="Courier New"/>
          <w:b w:val="0"/>
          <w:color w:val="000000"/>
          <w:sz w:val="26"/>
        </w:rPr>
        <w:t>.xls</w:t>
      </w:r>
      <w:r>
        <w:rPr>
          <w:rFonts w:ascii="Times New Roman" w:hAnsi="Times New Roman" w:eastAsia="Times New Roman" w:cs="Times New Roman"/>
          <w:b w:val="0"/>
          <w:color w:val="000000"/>
          <w:sz w:val="28"/>
        </w:rPr>
        <w:t xml:space="preserve"> отвергался, часть поставщиков осталась бы за контуром, поскольку их выгрузки до сих пор приходят в старом формате Excel.</w:t>
      </w:r>
    </w:p>
    <w:p>
      <w:r>
        <w:rPr>
          <w:rFonts w:ascii="Times New Roman" w:hAnsi="Times New Roman" w:eastAsia="Times New Roman" w:cs="Times New Roman"/>
          <w:b w:val="0"/>
          <w:color w:val="000000"/>
          <w:sz w:val="28"/>
        </w:rPr>
        <w:t xml:space="preserve">Положение заголовка в файле не фиксировано, потому что реальные прайсы открываются шапкой с логотипом и контактами, а таблица начинается на десятой строке или на втором листе. Импортёр перебирает листы и первые 30 строк, пока не найдёт одновременно артикул, наименование (или «номенклатуру») и цену. Если поставщик приводит обе цены, за основу берётся колонка «без НДС»: налог начисляет генератор коммерческого предложения, и хранение уже включённого налога привело бы к двойному учёту при расчёте итогов, что видно в листинге 1. Производитель, срок и остаток опциональны: при пустом сроке берётся значение поставщика по умолчанию, при пустом остатке подставляется ноль. Иерархия со вспомогательных листов (колонки «N уровень иерархии») собирается в путь с разделителем </w:t>
      </w:r>
      <w:r>
        <w:rPr>
          <w:rFonts w:ascii="Courier New" w:hAnsi="Courier New" w:eastAsia="Courier New" w:cs="Courier New"/>
          <w:b w:val="0"/>
          <w:color w:val="000000"/>
          <w:sz w:val="26"/>
        </w:rPr>
        <w:t xml:space="preserve"> / </w:t>
      </w:r>
      <w:r>
        <w:rPr>
          <w:rFonts w:ascii="Times New Roman" w:hAnsi="Times New Roman" w:eastAsia="Times New Roman" w:cs="Times New Roman"/>
          <w:b w:val="0"/>
          <w:color w:val="000000"/>
          <w:sz w:val="28"/>
        </w:rPr>
        <w:t>.</w:t>
      </w:r>
    </w:p>
    <w:p>
      <w:pPr>
        <w:pStyle w:val="GOSTCaption"/>
        <w:keepNext/>
        <w:jc w:val="left"/>
      </w:pPr>
      <w:r>
        <w:rPr>
          <w:rFonts w:ascii="Times New Roman" w:hAnsi="Times New Roman" w:eastAsia="Times New Roman" w:cs="Times New Roman"/>
          <w:b w:val="0"/>
          <w:color w:val="000000"/>
          <w:sz w:val="28"/>
        </w:rPr>
        <w:t>Листинг 1 – Поиск заголовка и выбор колонки цены без НДС</w:t>
      </w:r>
    </w:p>
    <w:p>
      <w:pPr>
        <w:pStyle w:val="CodeBlock"/>
      </w:pPr>
      <w:r>
        <w:rPr>
          <w:rFonts w:ascii="Courier New" w:hAnsi="Courier New" w:eastAsia="Courier New" w:cs="Courier New"/>
          <w:color w:val="000000"/>
          <w:sz w:val="20"/>
        </w:rPr>
        <w:t xml:space="preserve">    private static ColumnMap? DetectColumns(IXLWorksheet ws)</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foreach (var row in ws.RowsUsed().Take(30))</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 …</w:t>
      </w:r>
    </w:p>
    <w:p>
      <w:pPr>
        <w:pStyle w:val="CodeBlock"/>
      </w:pPr>
      <w:r>
        <w:rPr>
          <w:rFonts w:ascii="Courier New" w:hAnsi="Courier New" w:eastAsia="Courier New" w:cs="Courier New"/>
          <w:color w:val="000000"/>
          <w:sz w:val="20"/>
        </w:rPr>
        <w:t xml:space="preserve">            var sku = Find(headers, h =&gt; h.StartsWith("артикул"));</w:t>
      </w:r>
    </w:p>
    <w:p>
      <w:pPr>
        <w:pStyle w:val="CodeBlock"/>
      </w:pPr>
      <w:r>
        <w:rPr>
          <w:rFonts w:ascii="Courier New" w:hAnsi="Courier New" w:eastAsia="Courier New" w:cs="Courier New"/>
          <w:color w:val="000000"/>
          <w:sz w:val="20"/>
        </w:rPr>
        <w:t xml:space="preserve">            if (sku is null) continue;</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name = Find(headers, h =&gt; h.Contains("наименование") || h.Contains("номенклатура"));</w:t>
      </w:r>
    </w:p>
    <w:p>
      <w:pPr>
        <w:pStyle w:val="CodeBlock"/>
      </w:pPr>
      <w:r>
        <w:rPr>
          <w:rFonts w:ascii="Courier New" w:hAnsi="Courier New" w:eastAsia="Courier New" w:cs="Courier New"/>
          <w:color w:val="000000"/>
          <w:sz w:val="20"/>
        </w:rPr>
        <w:t xml:space="preserve">            // Приоритет цене «без НДС»: Price в системе хранится без НДС (НДС добавляет генератор КП).</w:t>
      </w:r>
    </w:p>
    <w:p>
      <w:pPr>
        <w:pStyle w:val="CodeBlock"/>
      </w:pPr>
      <w:r>
        <w:rPr>
          <w:rFonts w:ascii="Courier New" w:hAnsi="Courier New" w:eastAsia="Courier New" w:cs="Courier New"/>
          <w:color w:val="000000"/>
          <w:sz w:val="20"/>
        </w:rPr>
        <w:t xml:space="preserve">            var price = Find(headers, h =&gt; h.Contains("цена") &amp;&amp; h.Contains("без ндс"))</w:t>
      </w:r>
    </w:p>
    <w:p>
      <w:pPr>
        <w:pStyle w:val="CodeBlock"/>
      </w:pPr>
      <w:r>
        <w:rPr>
          <w:rFonts w:ascii="Courier New" w:hAnsi="Courier New" w:eastAsia="Courier New" w:cs="Courier New"/>
          <w:color w:val="000000"/>
          <w:sz w:val="20"/>
        </w:rPr>
        <w:t xml:space="preserve">                     ?? Find(headers, h =&gt; h == "цена")</w:t>
      </w:r>
    </w:p>
    <w:p>
      <w:pPr>
        <w:pStyle w:val="CodeBlock"/>
      </w:pPr>
      <w:r>
        <w:rPr>
          <w:rFonts w:ascii="Courier New" w:hAnsi="Courier New" w:eastAsia="Courier New" w:cs="Courier New"/>
          <w:color w:val="000000"/>
          <w:sz w:val="20"/>
        </w:rPr>
        <w:t xml:space="preserve">                     ?? Find(headers, h =&gt; h.Contains("базовая цена"))</w:t>
      </w:r>
    </w:p>
    <w:p>
      <w:pPr>
        <w:pStyle w:val="CodeBlock"/>
      </w:pPr>
      <w:r>
        <w:rPr>
          <w:rFonts w:ascii="Courier New" w:hAnsi="Courier New" w:eastAsia="Courier New" w:cs="Courier New"/>
          <w:color w:val="000000"/>
          <w:sz w:val="20"/>
        </w:rPr>
        <w:t xml:space="preserve">                     ?? Find(headers, h =&gt; h.Contains("цена"));</w:t>
      </w:r>
    </w:p>
    <w:p>
      <w:pPr>
        <w:pStyle w:val="CodeBlock"/>
      </w:pPr>
      <w:r>
        <w:rPr>
          <w:rFonts w:ascii="Courier New" w:hAnsi="Courier New" w:eastAsia="Courier New" w:cs="Courier New"/>
          <w:color w:val="000000"/>
          <w:sz w:val="20"/>
        </w:rPr>
        <w:t xml:space="preserve">            if (name is null || price is null) continue;   // «Артикул» есть, но это не строка заголовков</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return new ColumnMap(row.RowNumber(), sku.Value, name.Value,</w:t>
      </w:r>
    </w:p>
    <w:p>
      <w:pPr>
        <w:pStyle w:val="CodeBlock"/>
      </w:pPr>
      <w:r>
        <w:rPr>
          <w:rFonts w:ascii="Courier New" w:hAnsi="Courier New" w:eastAsia="Courier New" w:cs="Courier New"/>
          <w:color w:val="000000"/>
          <w:sz w:val="20"/>
        </w:rPr>
        <w:t xml:space="preserve">                Find(headers, h =&gt; h.Contains("производитель")),</w:t>
      </w:r>
    </w:p>
    <w:p>
      <w:pPr>
        <w:pStyle w:val="CodeBlock"/>
      </w:pPr>
      <w:r>
        <w:rPr>
          <w:rFonts w:ascii="Courier New" w:hAnsi="Courier New" w:eastAsia="Courier New" w:cs="Courier New"/>
          <w:color w:val="000000"/>
          <w:sz w:val="20"/>
        </w:rPr>
        <w:t xml:space="preserve">                Find(headers, h =&gt; h.Contains("категория")),</w:t>
      </w:r>
    </w:p>
    <w:p>
      <w:pPr>
        <w:pStyle w:val="CodeBlock"/>
      </w:pPr>
      <w:r>
        <w:rPr>
          <w:rFonts w:ascii="Courier New" w:hAnsi="Courier New" w:eastAsia="Courier New" w:cs="Courier New"/>
          <w:color w:val="000000"/>
          <w:sz w:val="20"/>
        </w:rPr>
        <w:t xml:space="preserve">                price.Value,</w:t>
      </w:r>
    </w:p>
    <w:p>
      <w:pPr>
        <w:pStyle w:val="CodeBlock"/>
      </w:pPr>
      <w:r>
        <w:rPr>
          <w:rFonts w:ascii="Courier New" w:hAnsi="Courier New" w:eastAsia="Courier New" w:cs="Courier New"/>
          <w:color w:val="000000"/>
          <w:sz w:val="20"/>
        </w:rPr>
        <w:t xml:space="preserve">                Find(headers, h =&gt; h.Contains("срок")),</w:t>
      </w:r>
    </w:p>
    <w:p>
      <w:pPr>
        <w:pStyle w:val="CodeBlock"/>
      </w:pPr>
      <w:r>
        <w:rPr>
          <w:rFonts w:ascii="Courier New" w:hAnsi="Courier New" w:eastAsia="Courier New" w:cs="Courier New"/>
          <w:color w:val="000000"/>
          <w:sz w:val="20"/>
        </w:rPr>
        <w:t xml:space="preserve">                Find(headers, h =&gt; h.Contains("остаток")));</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return null;</w:t>
      </w:r>
    </w:p>
    <w:p>
      <w:pPr>
        <w:pStyle w:val="CodeBlock"/>
      </w:pPr>
      <w:r>
        <w:rPr>
          <w:rFonts w:ascii="Courier New" w:hAnsi="Courier New" w:eastAsia="Courier New" w:cs="Courier New"/>
          <w:color w:val="000000"/>
          <w:sz w:val="20"/>
        </w:rPr>
        <w:t xml:space="preserve">    }</w:t>
      </w:r>
    </w:p>
    <w:p>
      <w:r>
        <w:rPr>
          <w:rFonts w:ascii="Times New Roman" w:hAnsi="Times New Roman" w:eastAsia="Times New Roman" w:cs="Times New Roman"/>
          <w:b w:val="0"/>
          <w:color w:val="000000"/>
          <w:sz w:val="28"/>
        </w:rPr>
        <w:t>Пустая строка без артикула пропускается как групповой разделитель и не попадает в список ошибок, иначе шапка разделов EKF давала бы тысячи ложных отказов; нечисловая цена фиксируется по номеру строки и товар не создаёт. Пустое наименование не считается ошибкой: вместо него подставляется сам артикул, потому что часть прайсов держит код в отдельной колонке, а имя заполняет не всегда. Повтор артикула внутри файла даёт предупреждение с номерами строк, но загрузку не блокирует: применяется последняя цена, чтобы оператор видел конфликт, а не терял весь файл. Некорректный файл не даёт необработанный HTTP 500: перехват исключения пишет «Структура файла не распознана», архив всё равно сохраняет оригинал.</w:t>
      </w:r>
    </w:p>
    <w:p>
      <w:r>
        <w:rPr>
          <w:rFonts w:ascii="Times New Roman" w:hAnsi="Times New Roman" w:eastAsia="Times New Roman" w:cs="Times New Roman"/>
          <w:b w:val="0"/>
          <w:color w:val="000000"/>
          <w:sz w:val="28"/>
        </w:rPr>
        <w:t xml:space="preserve">Для корректной строки выполняется upsert товара и оффера пакетами по 500 записей, потому что построчный </w:t>
      </w:r>
      <w:r>
        <w:rPr>
          <w:rFonts w:ascii="Courier New" w:hAnsi="Courier New" w:eastAsia="Courier New" w:cs="Courier New"/>
          <w:b w:val="0"/>
          <w:color w:val="000000"/>
          <w:sz w:val="26"/>
        </w:rPr>
        <w:t>SaveChanges</w:t>
      </w:r>
      <w:r>
        <w:rPr>
          <w:rFonts w:ascii="Times New Roman" w:hAnsi="Times New Roman" w:eastAsia="Times New Roman" w:cs="Times New Roman"/>
          <w:b w:val="0"/>
          <w:color w:val="000000"/>
          <w:sz w:val="28"/>
        </w:rPr>
        <w:t xml:space="preserve"> на прайсе в десятки тысяч строк растягивал бы импорт на минуты, а изменение цены создаёт </w:t>
      </w:r>
      <w:r>
        <w:rPr>
          <w:rFonts w:ascii="Courier New" w:hAnsi="Courier New" w:eastAsia="Courier New" w:cs="Courier New"/>
          <w:b w:val="0"/>
          <w:color w:val="000000"/>
          <w:sz w:val="26"/>
        </w:rPr>
        <w:t>PriceHistoryEntry</w:t>
      </w:r>
      <w:r>
        <w:rPr>
          <w:rFonts w:ascii="Times New Roman" w:hAnsi="Times New Roman" w:eastAsia="Times New Roman" w:cs="Times New Roman"/>
          <w:b w:val="0"/>
          <w:color w:val="000000"/>
          <w:sz w:val="28"/>
        </w:rPr>
        <w:t xml:space="preserve"> в той же транзакции. После изменения каталога в тот же </w:t>
      </w:r>
      <w:r>
        <w:rPr>
          <w:rFonts w:ascii="Courier New" w:hAnsi="Courier New" w:eastAsia="Courier New" w:cs="Courier New"/>
          <w:b w:val="0"/>
          <w:color w:val="000000"/>
          <w:sz w:val="26"/>
        </w:rPr>
        <w:t>DbContext</w:t>
      </w:r>
      <w:r>
        <w:rPr>
          <w:rFonts w:ascii="Times New Roman" w:hAnsi="Times New Roman" w:eastAsia="Times New Roman" w:cs="Times New Roman"/>
          <w:b w:val="0"/>
          <w:color w:val="000000"/>
          <w:sz w:val="28"/>
        </w:rPr>
        <w:t xml:space="preserve"> кладётся </w:t>
      </w:r>
      <w:r>
        <w:rPr>
          <w:rFonts w:ascii="Courier New" w:hAnsi="Courier New" w:eastAsia="Courier New" w:cs="Courier New"/>
          <w:b w:val="0"/>
          <w:color w:val="000000"/>
          <w:sz w:val="26"/>
        </w:rPr>
        <w:t>OutboxMessage</w:t>
      </w:r>
      <w:r>
        <w:rPr>
          <w:rFonts w:ascii="Times New Roman" w:hAnsi="Times New Roman" w:eastAsia="Times New Roman" w:cs="Times New Roman"/>
          <w:b w:val="0"/>
          <w:color w:val="000000"/>
          <w:sz w:val="28"/>
        </w:rPr>
        <w:t xml:space="preserve"> с событием </w:t>
      </w:r>
      <w:r>
        <w:rPr>
          <w:rFonts w:ascii="Courier New" w:hAnsi="Courier New" w:eastAsia="Courier New" w:cs="Courier New"/>
          <w:b w:val="0"/>
          <w:color w:val="000000"/>
          <w:sz w:val="26"/>
        </w:rPr>
        <w:t>ProductUpserted</w:t>
      </w:r>
      <w:r>
        <w:rPr>
          <w:rFonts w:ascii="Times New Roman" w:hAnsi="Times New Roman" w:eastAsia="Times New Roman" w:cs="Times New Roman"/>
          <w:b w:val="0"/>
          <w:color w:val="000000"/>
          <w:sz w:val="28"/>
        </w:rPr>
        <w:t xml:space="preserve">, и только затем вызывается сохранение; запись в Outbox и последующая публикация пакета показаны в листинге 2. Транзакционный Outbox выбран вместо прямой публикации в брокер из импортёра: если NATS недоступен в момент записи товара, событие останется в PostgreSQL и уйдёт позже, а индекс не «потеряет» строку [12, 13]. Фоновый </w:t>
      </w:r>
      <w:r>
        <w:rPr>
          <w:rFonts w:ascii="Courier New" w:hAnsi="Courier New" w:eastAsia="Courier New" w:cs="Courier New"/>
          <w:b w:val="0"/>
          <w:color w:val="000000"/>
          <w:sz w:val="26"/>
        </w:rPr>
        <w:t>OutboxProcessor</w:t>
      </w:r>
      <w:r>
        <w:rPr>
          <w:rFonts w:ascii="Times New Roman" w:hAnsi="Times New Roman" w:eastAsia="Times New Roman" w:cs="Times New Roman"/>
          <w:b w:val="0"/>
          <w:color w:val="000000"/>
          <w:sz w:val="28"/>
        </w:rPr>
        <w:t xml:space="preserve"> раз в секунду читает неотправленные сообщения (до 200 штук), публикует их в JetStream по subject </w:t>
      </w:r>
      <w:r>
        <w:rPr>
          <w:rFonts w:ascii="Courier New" w:hAnsi="Courier New" w:eastAsia="Courier New" w:cs="Courier New"/>
          <w:b w:val="0"/>
          <w:color w:val="000000"/>
          <w:sz w:val="26"/>
        </w:rPr>
        <w:t>procurement.{TypeName}</w:t>
      </w:r>
      <w:r>
        <w:rPr>
          <w:rFonts w:ascii="Times New Roman" w:hAnsi="Times New Roman" w:eastAsia="Times New Roman" w:cs="Times New Roman"/>
          <w:b w:val="0"/>
          <w:color w:val="000000"/>
          <w:sz w:val="28"/>
        </w:rPr>
        <w:t xml:space="preserve"> и проставляет </w:t>
      </w:r>
      <w:r>
        <w:rPr>
          <w:rFonts w:ascii="Courier New" w:hAnsi="Courier New" w:eastAsia="Courier New" w:cs="Courier New"/>
          <w:b w:val="0"/>
          <w:color w:val="000000"/>
          <w:sz w:val="26"/>
        </w:rPr>
        <w:t>ProcessedAtUtc</w:t>
      </w:r>
      <w:r>
        <w:rPr>
          <w:rFonts w:ascii="Times New Roman" w:hAnsi="Times New Roman" w:eastAsia="Times New Roman" w:cs="Times New Roman"/>
          <w:b w:val="0"/>
          <w:color w:val="000000"/>
          <w:sz w:val="28"/>
        </w:rPr>
        <w:t xml:space="preserve">. Если публикация прошла, а </w:t>
      </w:r>
      <w:r>
        <w:rPr>
          <w:rFonts w:ascii="Courier New" w:hAnsi="Courier New" w:eastAsia="Courier New" w:cs="Courier New"/>
          <w:b w:val="0"/>
          <w:color w:val="000000"/>
          <w:sz w:val="26"/>
        </w:rPr>
        <w:t>SaveChanges</w:t>
      </w:r>
      <w:r>
        <w:rPr>
          <w:rFonts w:ascii="Times New Roman" w:hAnsi="Times New Roman" w:eastAsia="Times New Roman" w:cs="Times New Roman"/>
          <w:b w:val="0"/>
          <w:color w:val="000000"/>
          <w:sz w:val="28"/>
        </w:rPr>
        <w:t xml:space="preserve"> процессора не прошёл, сообщение уйдёт повторно: это доставка at-least-once, которую потребитель обязан переживать идемпотентным upsert [13, 21].</w:t>
      </w:r>
    </w:p>
    <w:p>
      <w:pPr>
        <w:pStyle w:val="GOSTCaption"/>
        <w:keepNext/>
        <w:jc w:val="left"/>
      </w:pPr>
      <w:r>
        <w:rPr>
          <w:rFonts w:ascii="Times New Roman" w:hAnsi="Times New Roman" w:eastAsia="Times New Roman" w:cs="Times New Roman"/>
          <w:b w:val="0"/>
          <w:color w:val="000000"/>
          <w:sz w:val="28"/>
        </w:rPr>
        <w:t>Листинг 2 – Запись Outbox в одном контексте с данными и публикация в NATS</w:t>
      </w:r>
    </w:p>
    <w:p>
      <w:pPr>
        <w:pStyle w:val="CodeBlock"/>
      </w:pPr>
      <w:r>
        <w:rPr>
          <w:rFonts w:ascii="Courier New" w:hAnsi="Courier New" w:eastAsia="Courier New" w:cs="Courier New"/>
          <w:color w:val="000000"/>
          <w:sz w:val="20"/>
        </w:rPr>
        <w:t xml:space="preserve">    public static void EnqueueEvent&lt;T&gt;(this AppDbContext db, T evt) where T : class</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db.OutboxMessages.Add(new OutboxMessage</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Type = typeof(T).Name,</w:t>
      </w:r>
    </w:p>
    <w:p>
      <w:pPr>
        <w:pStyle w:val="CodeBlock"/>
      </w:pPr>
      <w:r>
        <w:rPr>
          <w:rFonts w:ascii="Courier New" w:hAnsi="Courier New" w:eastAsia="Courier New" w:cs="Courier New"/>
          <w:color w:val="000000"/>
          <w:sz w:val="20"/>
        </w:rPr>
        <w:t xml:space="preserve">            Payload = JsonSerializer.Serialize(evt)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 …</w:t>
      </w:r>
    </w:p>
    <w:p>
      <w:pPr>
        <w:pStyle w:val="CodeBlock"/>
      </w:pPr>
      <w:r>
        <w:rPr>
          <w:rFonts w:ascii="Courier New" w:hAnsi="Courier New" w:eastAsia="Courier New" w:cs="Courier New"/>
          <w:color w:val="000000"/>
          <w:sz w:val="20"/>
        </w:rPr>
        <w:t xml:space="preserve">        var batch = await db.OutboxMessages</w:t>
      </w:r>
    </w:p>
    <w:p>
      <w:pPr>
        <w:pStyle w:val="CodeBlock"/>
      </w:pPr>
      <w:r>
        <w:rPr>
          <w:rFonts w:ascii="Courier New" w:hAnsi="Courier New" w:eastAsia="Courier New" w:cs="Courier New"/>
          <w:color w:val="000000"/>
          <w:sz w:val="20"/>
        </w:rPr>
        <w:t xml:space="preserve">            .Where(m =&gt; m.ProcessedAtUtc == null)</w:t>
      </w:r>
    </w:p>
    <w:p>
      <w:pPr>
        <w:pStyle w:val="CodeBlock"/>
      </w:pPr>
      <w:r>
        <w:rPr>
          <w:rFonts w:ascii="Courier New" w:hAnsi="Courier New" w:eastAsia="Courier New" w:cs="Courier New"/>
          <w:color w:val="000000"/>
          <w:sz w:val="20"/>
        </w:rPr>
        <w:t xml:space="preserve">            .OrderBy(m =&gt; m.OccurredAtUtc)</w:t>
      </w:r>
    </w:p>
    <w:p>
      <w:pPr>
        <w:pStyle w:val="CodeBlock"/>
      </w:pPr>
      <w:r>
        <w:rPr>
          <w:rFonts w:ascii="Courier New" w:hAnsi="Courier New" w:eastAsia="Courier New" w:cs="Courier New"/>
          <w:color w:val="000000"/>
          <w:sz w:val="20"/>
        </w:rPr>
        <w:t xml:space="preserve">            .Take(200)</w:t>
      </w:r>
    </w:p>
    <w:p>
      <w:pPr>
        <w:pStyle w:val="CodeBlock"/>
      </w:pPr>
      <w:r>
        <w:rPr>
          <w:rFonts w:ascii="Courier New" w:hAnsi="Courier New" w:eastAsia="Courier New" w:cs="Courier New"/>
          <w:color w:val="000000"/>
          <w:sz w:val="20"/>
        </w:rPr>
        <w:t xml:space="preserve">            .ToListAsync(ct);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if (batch.Count == 0) return;</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foreach (var m in batch)</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await bus.PublishAsync(Messaging.Subject(m.Type), Encoding.UTF8.GetBytes(m.Payload), ct);</w:t>
      </w:r>
    </w:p>
    <w:p>
      <w:pPr>
        <w:pStyle w:val="CodeBlock"/>
      </w:pPr>
      <w:r>
        <w:rPr>
          <w:rFonts w:ascii="Courier New" w:hAnsi="Courier New" w:eastAsia="Courier New" w:cs="Courier New"/>
          <w:color w:val="000000"/>
          <w:sz w:val="20"/>
        </w:rPr>
        <w:t xml:space="preserve">            m.ProcessedAtUtc = DateTime.UtcNow;</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await db.SaveChangesAsync(ct);</w:t>
      </w:r>
    </w:p>
    <w:p>
      <w:r>
        <w:rPr>
          <w:rFonts w:ascii="Times New Roman" w:hAnsi="Times New Roman" w:eastAsia="Times New Roman" w:cs="Times New Roman"/>
          <w:b w:val="0"/>
          <w:color w:val="000000"/>
          <w:sz w:val="28"/>
        </w:rPr>
        <w:t>Каждая загрузка архивируется целиком: имя файла, двоичное содержимое, поставщик, пользователь и счётчики, чтобы спорную цену можно было разобрать по оригиналу, а не по уже изменённому офферу. Контрольный прогон реального прайса EKF дал 20 884 строки за около 33 с, создал 20 780 товаров и отклонил 92 строки «Цена по запросу» с диагностикой; эти числа характеризуют конкретный файл и стенд, а не промышленную производительность. Повторная загрузка того же файла не ломает архив: каждая попытка получает свою запись, даже если часть строк уже есть в каталоге. Этапы конвейера, которые этот прогон проходит подряд, сведены в таблицу 28, чтобы было видно, где диагностика отделена от записи в каталог.</w:t>
      </w:r>
    </w:p>
    <w:p>
      <w:pPr>
        <w:pStyle w:val="GOSTCaption"/>
        <w:keepNext/>
        <w:jc w:val="left"/>
      </w:pPr>
      <w:r>
        <w:rPr>
          <w:rFonts w:ascii="Times New Roman" w:hAnsi="Times New Roman" w:eastAsia="Times New Roman" w:cs="Times New Roman"/>
          <w:b w:val="0"/>
          <w:color w:val="000000"/>
          <w:sz w:val="28"/>
        </w:rPr>
        <w:t>Таблица 28 – Этапы импорта</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val="true"/>
          <w:tblHeader w:val="true"/>
        </w:trPr>
        <w:tc>
          <w:tcPr>
            <w:tcW w:type="dxa" w:w="2460"/>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Этап</w:t>
            </w:r>
          </w:p>
        </w:tc>
        <w:tc>
          <w:tcPr>
            <w:tcW w:type="dxa" w:w="3306"/>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Реализация</w:t>
            </w:r>
          </w:p>
        </w:tc>
        <w:tc>
          <w:tcPr>
            <w:tcW w:type="dxa" w:w="3589"/>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Результат</w:t>
            </w:r>
          </w:p>
        </w:tc>
      </w:tr>
      <w:tr>
        <w:trPr>
          <w:cantSplit w:val="true"/>
        </w:trPr>
        <w:tc>
          <w:tcPr>
            <w:tcW w:type="dxa" w:w="246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Определение формата</w:t>
            </w:r>
          </w:p>
        </w:tc>
        <w:tc>
          <w:tcPr>
            <w:tcW w:type="dxa" w:w="330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расширение и OLE2</w:t>
            </w:r>
          </w:p>
        </w:tc>
        <w:tc>
          <w:tcPr>
            <w:tcW w:type="dxa" w:w="35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ClosedXML или NPOI</w:t>
            </w:r>
          </w:p>
        </w:tc>
      </w:tr>
      <w:tr>
        <w:trPr>
          <w:cantSplit w:val="true"/>
        </w:trPr>
        <w:tc>
          <w:tcPr>
            <w:tcW w:type="dxa" w:w="246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Поиск заголовка</w:t>
            </w:r>
          </w:p>
        </w:tc>
        <w:tc>
          <w:tcPr>
            <w:tcW w:type="dxa" w:w="330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любые листы, первые 30 строк</w:t>
            </w:r>
          </w:p>
        </w:tc>
        <w:tc>
          <w:tcPr>
            <w:tcW w:type="dxa" w:w="35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карта колонок</w:t>
            </w:r>
          </w:p>
        </w:tc>
      </w:tr>
      <w:tr>
        <w:trPr>
          <w:cantSplit w:val="true"/>
        </w:trPr>
        <w:tc>
          <w:tcPr>
            <w:tcW w:type="dxa" w:w="246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Валидация</w:t>
            </w:r>
          </w:p>
        </w:tc>
        <w:tc>
          <w:tcPr>
            <w:tcW w:type="dxa" w:w="330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SKU, имя, цена</w:t>
            </w:r>
          </w:p>
        </w:tc>
        <w:tc>
          <w:tcPr>
            <w:tcW w:type="dxa" w:w="35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ошибки по строкам</w:t>
            </w:r>
          </w:p>
        </w:tc>
      </w:tr>
      <w:tr>
        <w:trPr>
          <w:cantSplit w:val="true"/>
        </w:trPr>
        <w:tc>
          <w:tcPr>
            <w:tcW w:type="dxa" w:w="246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Upsert</w:t>
            </w:r>
          </w:p>
        </w:tc>
        <w:tc>
          <w:tcPr>
            <w:tcW w:type="dxa" w:w="330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товар и оффер</w:t>
            </w:r>
          </w:p>
        </w:tc>
        <w:tc>
          <w:tcPr>
            <w:tcW w:type="dxa" w:w="35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актуальный каталог</w:t>
            </w:r>
          </w:p>
        </w:tc>
      </w:tr>
      <w:tr>
        <w:trPr>
          <w:cantSplit w:val="true"/>
        </w:trPr>
        <w:tc>
          <w:tcPr>
            <w:tcW w:type="dxa" w:w="246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История</w:t>
            </w:r>
          </w:p>
        </w:tc>
        <w:tc>
          <w:tcPr>
            <w:tcW w:type="dxa" w:w="330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сравнение цены</w:t>
            </w:r>
          </w:p>
        </w:tc>
        <w:tc>
          <w:tcPr>
            <w:tcW w:type="dxa" w:w="3589"/>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PriceHistoryEntry</w:t>
            </w:r>
          </w:p>
        </w:tc>
      </w:tr>
      <w:tr>
        <w:trPr>
          <w:cantSplit w:val="true"/>
        </w:trPr>
        <w:tc>
          <w:tcPr>
            <w:tcW w:type="dxa" w:w="246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Событие</w:t>
            </w:r>
          </w:p>
        </w:tc>
        <w:tc>
          <w:tcPr>
            <w:tcW w:type="dxa" w:w="3306"/>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ProductUpserted</w:t>
            </w:r>
          </w:p>
        </w:tc>
        <w:tc>
          <w:tcPr>
            <w:tcW w:type="dxa" w:w="35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отложенная индексация</w:t>
            </w:r>
          </w:p>
        </w:tc>
      </w:tr>
      <w:tr>
        <w:trPr>
          <w:cantSplit w:val="true"/>
        </w:trPr>
        <w:tc>
          <w:tcPr>
            <w:tcW w:type="dxa" w:w="246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Архив</w:t>
            </w:r>
          </w:p>
        </w:tc>
        <w:tc>
          <w:tcPr>
            <w:tcW w:type="dxa" w:w="330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бинарный оригинал</w:t>
            </w:r>
          </w:p>
        </w:tc>
        <w:tc>
          <w:tcPr>
            <w:tcW w:type="dxa" w:w="35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воспроизводимость</w:t>
            </w:r>
          </w:p>
        </w:tc>
      </w:tr>
    </w:tbl>
    <w:p>
      <w:pPr>
        <w:spacing w:after="0"/>
      </w:pPr>
    </w:p>
    <w:p>
      <w:pPr>
        <w:pStyle w:val="Heading2"/>
      </w:pPr>
      <w:r>
        <w:rPr>
          <w:rFonts w:ascii="Times New Roman" w:hAnsi="Times New Roman" w:eastAsia="Times New Roman" w:cs="Times New Roman"/>
          <w:b/>
          <w:color w:val="000000"/>
          <w:sz w:val="28"/>
        </w:rPr>
        <w:t>5.3 Каталог, поиск и сопоставление</w:t>
      </w:r>
    </w:p>
    <w:p>
      <w:r>
        <w:rPr>
          <w:rFonts w:ascii="Times New Roman" w:hAnsi="Times New Roman" w:eastAsia="Times New Roman" w:cs="Times New Roman"/>
          <w:b w:val="0"/>
          <w:color w:val="000000"/>
          <w:sz w:val="28"/>
        </w:rPr>
        <w:t xml:space="preserve">Каталог даёт CRUD товаров, поставщиков и производителей, офферы, историю цен и фильтр по иерархии, потому что без этих сущностей генератор КП не из чего выбирать. Витрина </w:t>
      </w:r>
      <w:r>
        <w:rPr>
          <w:rFonts w:ascii="Courier New" w:hAnsi="Courier New" w:eastAsia="Courier New" w:cs="Courier New"/>
          <w:b w:val="0"/>
          <w:color w:val="000000"/>
          <w:sz w:val="26"/>
        </w:rPr>
        <w:t>/ecatalog</w:t>
      </w:r>
      <w:r>
        <w:rPr>
          <w:rFonts w:ascii="Times New Roman" w:hAnsi="Times New Roman" w:eastAsia="Times New Roman" w:cs="Times New Roman"/>
          <w:b w:val="0"/>
          <w:color w:val="000000"/>
          <w:sz w:val="28"/>
        </w:rPr>
        <w:t xml:space="preserve"> добавляет карточку, аналоги, сравнение и подборку, которая может стать спецификацией. Источник истины по номенклатуре остаётся PostgreSQL [19]: индекс Meilisearch только повторяет то, что уже записано, и его недоступность не должна блокировать импорт [22]. Worker подтверждает обработку </w:t>
      </w:r>
      <w:r>
        <w:rPr>
          <w:rFonts w:ascii="Courier New" w:hAnsi="Courier New" w:eastAsia="Courier New" w:cs="Courier New"/>
          <w:b w:val="0"/>
          <w:color w:val="000000"/>
          <w:sz w:val="26"/>
        </w:rPr>
        <w:t>Ack</w:t>
      </w:r>
      <w:r>
        <w:rPr>
          <w:rFonts w:ascii="Times New Roman" w:hAnsi="Times New Roman" w:eastAsia="Times New Roman" w:cs="Times New Roman"/>
          <w:b w:val="0"/>
          <w:color w:val="000000"/>
          <w:sz w:val="28"/>
        </w:rPr>
        <w:t xml:space="preserve"> и возвращает сообщение в очередь </w:t>
      </w:r>
      <w:r>
        <w:rPr>
          <w:rFonts w:ascii="Courier New" w:hAnsi="Courier New" w:eastAsia="Courier New" w:cs="Courier New"/>
          <w:b w:val="0"/>
          <w:color w:val="000000"/>
          <w:sz w:val="26"/>
        </w:rPr>
        <w:t>Nak</w:t>
      </w:r>
      <w:r>
        <w:rPr>
          <w:rFonts w:ascii="Times New Roman" w:hAnsi="Times New Roman" w:eastAsia="Times New Roman" w:cs="Times New Roman"/>
          <w:b w:val="0"/>
          <w:color w:val="000000"/>
          <w:sz w:val="28"/>
        </w:rPr>
        <w:t xml:space="preserve"> при ошибке индексации; полный цикл потребителя приведён в приложении Б.</w:t>
      </w:r>
    </w:p>
    <w:p>
      <w:r>
        <w:rPr>
          <w:rFonts w:ascii="Times New Roman" w:hAnsi="Times New Roman" w:eastAsia="Times New Roman" w:cs="Times New Roman"/>
          <w:b w:val="0"/>
          <w:color w:val="000000"/>
          <w:sz w:val="28"/>
        </w:rPr>
        <w:t>При импорте спецификации сначала ищется точный SKU, а для остальных строк живой путь через шлюз (</w:t>
      </w:r>
      <w:r>
        <w:rPr>
          <w:rFonts w:ascii="Courier New" w:hAnsi="Courier New" w:eastAsia="Courier New" w:cs="Courier New"/>
          <w:b w:val="0"/>
          <w:color w:val="000000"/>
          <w:sz w:val="26"/>
        </w:rPr>
        <w:t>ProcurementSystem.Services.Matching</w:t>
      </w:r>
      <w:r>
        <w:rPr>
          <w:rFonts w:ascii="Times New Roman" w:hAnsi="Times New Roman" w:eastAsia="Times New Roman" w:cs="Times New Roman"/>
          <w:b w:val="0"/>
          <w:color w:val="000000"/>
          <w:sz w:val="28"/>
        </w:rPr>
        <w:t xml:space="preserve">, маршрут YARP с </w:t>
      </w:r>
      <w:r>
        <w:rPr>
          <w:rFonts w:ascii="Courier New" w:hAnsi="Courier New" w:eastAsia="Courier New" w:cs="Courier New"/>
          <w:b w:val="0"/>
          <w:color w:val="000000"/>
          <w:sz w:val="26"/>
        </w:rPr>
        <w:t>Order: 5</w:t>
      </w:r>
      <w:r>
        <w:rPr>
          <w:rFonts w:ascii="Times New Roman" w:hAnsi="Times New Roman" w:eastAsia="Times New Roman" w:cs="Times New Roman"/>
          <w:b w:val="0"/>
          <w:color w:val="000000"/>
          <w:sz w:val="28"/>
        </w:rPr>
        <w:t xml:space="preserve">) собирает кандидатов TF-IDF posting-листом, префиксом артикула и соседями категории лучшего хита. Копия матчера в монолите дополнительно запрашивает Meilisearch (top-12) и молча переживает отказ индекса, чтобы поиск по каталогу оставался вспомогательным, а не обязательным. Перед записью </w:t>
      </w:r>
      <w:r>
        <w:rPr>
          <w:rFonts w:ascii="Courier New" w:hAnsi="Courier New" w:eastAsia="Courier New" w:cs="Courier New"/>
          <w:b w:val="0"/>
          <w:color w:val="000000"/>
          <w:sz w:val="26"/>
        </w:rPr>
        <w:t>ProductId</w:t>
      </w:r>
      <w:r>
        <w:rPr>
          <w:rFonts w:ascii="Times New Roman" w:hAnsi="Times New Roman" w:eastAsia="Times New Roman" w:cs="Times New Roman"/>
          <w:b w:val="0"/>
          <w:color w:val="000000"/>
          <w:sz w:val="28"/>
        </w:rPr>
        <w:t xml:space="preserve"> проверяется наличие товара в каталоге, иначе экран мог бы подставить идентификатор, которого уже нет в PostgreSQL. Экран сопоставления показывает вид совпадения, вероятность, косинус и текстовую причину; пользователь применяет гипотезы выше порога или выбирает товар вручную.</w:t>
      </w:r>
    </w:p>
    <w:p>
      <w:r>
        <w:rPr>
          <w:rFonts w:ascii="Times New Roman" w:hAnsi="Times New Roman" w:eastAsia="Times New Roman" w:cs="Times New Roman"/>
          <w:b w:val="0"/>
          <w:color w:val="000000"/>
          <w:sz w:val="28"/>
        </w:rPr>
        <w:t xml:space="preserve">Порядок шагов в листинге 3 выбран сознательно: точный артикул получает </w:t>
      </w:r>
      <w:r>
        <w:rPr>
          <w:rFonts w:ascii="Courier New" w:hAnsi="Courier New" w:eastAsia="Courier New" w:cs="Courier New"/>
          <w:b w:val="0"/>
          <w:color w:val="000000"/>
          <w:sz w:val="26"/>
        </w:rPr>
        <w:t>P ≈ 0,99</w:t>
      </w:r>
      <w:r>
        <w:rPr>
          <w:rFonts w:ascii="Times New Roman" w:hAnsi="Times New Roman" w:eastAsia="Times New Roman" w:cs="Times New Roman"/>
          <w:b w:val="0"/>
          <w:color w:val="000000"/>
          <w:sz w:val="28"/>
        </w:rPr>
        <w:t xml:space="preserve"> без модели, потому что совпадение SKU в закупках считается достаточным основанием, а логрегрессия на шести признаках не должна «перебить» его меньшим числом. Кандидаты без точного SKU собирает </w:t>
      </w:r>
      <w:r>
        <w:rPr>
          <w:rFonts w:ascii="Courier New" w:hAnsi="Courier New" w:eastAsia="Courier New" w:cs="Courier New"/>
          <w:b w:val="0"/>
          <w:color w:val="000000"/>
          <w:sz w:val="26"/>
        </w:rPr>
        <w:t>CollectCandidates</w:t>
      </w:r>
      <w:r>
        <w:rPr>
          <w:rFonts w:ascii="Times New Roman" w:hAnsi="Times New Roman" w:eastAsia="Times New Roman" w:cs="Times New Roman"/>
          <w:b w:val="0"/>
          <w:color w:val="000000"/>
          <w:sz w:val="28"/>
        </w:rPr>
        <w:t xml:space="preserve">: posting-лист TF-IDF, префикс артикула длиной от трёх символов и до двадцати соседей категории лучшего хита. Неточные кандидаты ранжируются по виду совпадения и вероятности, в выдачу попадает не больше </w:t>
      </w:r>
      <w:r>
        <w:rPr>
          <w:rFonts w:ascii="Courier New" w:hAnsi="Courier New" w:eastAsia="Courier New" w:cs="Courier New"/>
          <w:b w:val="0"/>
          <w:color w:val="000000"/>
          <w:sz w:val="26"/>
        </w:rPr>
        <w:t>take</w:t>
      </w:r>
      <w:r>
        <w:rPr>
          <w:rFonts w:ascii="Times New Roman" w:hAnsi="Times New Roman" w:eastAsia="Times New Roman" w:cs="Times New Roman"/>
          <w:b w:val="0"/>
          <w:color w:val="000000"/>
          <w:sz w:val="28"/>
        </w:rPr>
        <w:t xml:space="preserve"> гипотез (от 1 до 15). Ограничение нужно экрану, а не модели: оператору достаточно короткого списка, который он может подтвердить или отвергнуть.</w:t>
      </w:r>
    </w:p>
    <w:p>
      <w:pPr>
        <w:pStyle w:val="GOSTCaption"/>
        <w:keepNext/>
        <w:jc w:val="left"/>
      </w:pPr>
      <w:r>
        <w:rPr>
          <w:rFonts w:ascii="Times New Roman" w:hAnsi="Times New Roman" w:eastAsia="Times New Roman" w:cs="Times New Roman"/>
          <w:b w:val="0"/>
          <w:color w:val="000000"/>
          <w:sz w:val="28"/>
        </w:rPr>
        <w:t>Листинг 3 – Сопоставление строки: точный артикул, затем кандидаты TF-IDF</w:t>
      </w:r>
    </w:p>
    <w:p>
      <w:pPr>
        <w:pStyle w:val="CodeBlock"/>
      </w:pPr>
      <w:r>
        <w:rPr>
          <w:rFonts w:ascii="Courier New" w:hAnsi="Courier New" w:eastAsia="Courier New" w:cs="Courier New"/>
          <w:color w:val="000000"/>
          <w:sz w:val="20"/>
        </w:rPr>
        <w:t xml:space="preserve">    public async Task&lt;IReadOnlyList&lt;MatchSuggestion&gt;&gt; SuggestAsync(</w:t>
      </w:r>
    </w:p>
    <w:p>
      <w:pPr>
        <w:pStyle w:val="CodeBlock"/>
      </w:pPr>
      <w:r>
        <w:rPr>
          <w:rFonts w:ascii="Courier New" w:hAnsi="Courier New" w:eastAsia="Courier New" w:cs="Courier New"/>
          <w:color w:val="000000"/>
          <w:sz w:val="20"/>
        </w:rPr>
        <w:t xml:space="preserve">        string? sku, string name, int take = 5, CancellationToken ct = default)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 …</w:t>
      </w:r>
    </w:p>
    <w:p>
      <w:pPr>
        <w:pStyle w:val="CodeBlock"/>
      </w:pPr>
      <w:r>
        <w:rPr>
          <w:rFonts w:ascii="Courier New" w:hAnsi="Courier New" w:eastAsia="Courier New" w:cs="Courier New"/>
          <w:color w:val="000000"/>
          <w:sz w:val="20"/>
        </w:rPr>
        <w:t xml:space="preserve">        var hits = new Dictionary&lt;Guid, MatchSuggestion&gt;();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if (!string.IsNullOrWhiteSpace(sku) &amp;&amp; cache.Sku.TryGetValue(sku.Trim(), out var exactId)</w:t>
      </w:r>
    </w:p>
    <w:p>
      <w:pPr>
        <w:pStyle w:val="CodeBlock"/>
      </w:pPr>
      <w:r>
        <w:rPr>
          <w:rFonts w:ascii="Courier New" w:hAnsi="Courier New" w:eastAsia="Courier New" w:cs="Courier New"/>
          <w:color w:val="000000"/>
          <w:sz w:val="20"/>
        </w:rPr>
        <w:t xml:space="preserve">            &amp;&amp; cache.Rows.TryGetValue(exactId, out var exact))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hits[exactId] = ToSuggestion(exact, sku, name, MatchKind.ExactSku, forceP: 0.99);</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if (!string.IsNullOrWhiteSpace(name))</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foreach (var id in CollectCandidates(sku, name))</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if (hits.ContainsKey(id) || !cache.Rows.TryGetValue(id, out var row)) continue;</w:t>
      </w:r>
    </w:p>
    <w:p>
      <w:pPr>
        <w:pStyle w:val="CodeBlock"/>
      </w:pPr>
      <w:r>
        <w:rPr>
          <w:rFonts w:ascii="Courier New" w:hAnsi="Courier New" w:eastAsia="Courier New" w:cs="Courier New"/>
          <w:color w:val="000000"/>
          <w:sz w:val="20"/>
        </w:rPr>
        <w:t xml:space="preserve">                hits[id] = ToSuggestion(row, sku, name, KindOf(sku, name, row));</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return hits.Values</w:t>
      </w:r>
    </w:p>
    <w:p>
      <w:pPr>
        <w:pStyle w:val="CodeBlock"/>
      </w:pPr>
      <w:r>
        <w:rPr>
          <w:rFonts w:ascii="Courier New" w:hAnsi="Courier New" w:eastAsia="Courier New" w:cs="Courier New"/>
          <w:color w:val="000000"/>
          <w:sz w:val="20"/>
        </w:rPr>
        <w:t xml:space="preserve">            .OrderByDescending(h =&gt; h.Kind == MatchKind.ExactSku)</w:t>
      </w:r>
    </w:p>
    <w:p>
      <w:pPr>
        <w:pStyle w:val="CodeBlock"/>
      </w:pPr>
      <w:r>
        <w:rPr>
          <w:rFonts w:ascii="Courier New" w:hAnsi="Courier New" w:eastAsia="Courier New" w:cs="Courier New"/>
          <w:color w:val="000000"/>
          <w:sz w:val="20"/>
        </w:rPr>
        <w:t xml:space="preserve">            .ThenByDescending(h =&gt; h.Probability)</w:t>
      </w:r>
    </w:p>
    <w:p>
      <w:pPr>
        <w:pStyle w:val="CodeBlock"/>
      </w:pPr>
      <w:r>
        <w:rPr>
          <w:rFonts w:ascii="Courier New" w:hAnsi="Courier New" w:eastAsia="Courier New" w:cs="Courier New"/>
          <w:color w:val="000000"/>
          <w:sz w:val="20"/>
        </w:rPr>
        <w:t xml:space="preserve">            .Take(take)</w:t>
      </w:r>
    </w:p>
    <w:p>
      <w:pPr>
        <w:pStyle w:val="CodeBlock"/>
      </w:pPr>
      <w:r>
        <w:rPr>
          <w:rFonts w:ascii="Courier New" w:hAnsi="Courier New" w:eastAsia="Courier New" w:cs="Courier New"/>
          <w:color w:val="000000"/>
          <w:sz w:val="20"/>
        </w:rPr>
        <w:t xml:space="preserve">            .ToList();</w:t>
      </w:r>
    </w:p>
    <w:p>
      <w:pPr>
        <w:pStyle w:val="CodeBlock"/>
      </w:pPr>
      <w:r>
        <w:rPr>
          <w:rFonts w:ascii="Courier New" w:hAnsi="Courier New" w:eastAsia="Courier New" w:cs="Courier New"/>
          <w:color w:val="000000"/>
          <w:sz w:val="20"/>
        </w:rPr>
        <w:t xml:space="preserve">    }</w:t>
      </w:r>
    </w:p>
    <w:p>
      <w:r>
        <w:rPr>
          <w:rFonts w:ascii="Times New Roman" w:hAnsi="Times New Roman" w:eastAsia="Times New Roman" w:cs="Times New Roman"/>
          <w:b w:val="0"/>
          <w:color w:val="000000"/>
          <w:sz w:val="28"/>
        </w:rPr>
        <w:t xml:space="preserve">Модель сопоставления использует вектор из шести признаков на отрезке </w:t>
      </w:r>
      <w:r>
        <w:rPr>
          <w:rFonts w:ascii="Courier New" w:hAnsi="Courier New" w:eastAsia="Courier New" w:cs="Courier New"/>
          <w:b w:val="0"/>
          <w:color w:val="000000"/>
          <w:sz w:val="26"/>
        </w:rPr>
        <w:t>[0; 1]</w:t>
      </w:r>
      <w:r>
        <w:rPr>
          <w:rFonts w:ascii="Times New Roman" w:hAnsi="Times New Roman" w:eastAsia="Times New Roman" w:cs="Times New Roman"/>
          <w:b w:val="0"/>
          <w:color w:val="000000"/>
          <w:sz w:val="28"/>
        </w:rPr>
        <w:t>, которые считаются по строке заявки и по карточке товара. Смысл каждого признака сведён в таблицу 29: без этой раскладки веса логрегрессии нельзя интерпретировать на защите. TF-IDF строится по словесным токенам и символьным 3-граммам сжатой строки, чтобы опечатка вроде перестановки букв не обнуляла косинус. Признак категории обнуляется, если косинус имени ниже 0,12 и Jaccard ниже 0,15, иначе сосед по разделу каталога получал бы ложную поддержку при совершенно другом наименовании.</w:t>
      </w:r>
    </w:p>
    <w:p>
      <w:pPr>
        <w:pStyle w:val="GOSTCaption"/>
        <w:keepNext/>
        <w:jc w:val="left"/>
      </w:pPr>
      <w:r>
        <w:rPr>
          <w:rFonts w:ascii="Times New Roman" w:hAnsi="Times New Roman" w:eastAsia="Times New Roman" w:cs="Times New Roman"/>
          <w:b w:val="0"/>
          <w:color w:val="000000"/>
          <w:sz w:val="28"/>
        </w:rPr>
        <w:t>Таблица 29 – Признаки модели сопоставления</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val="true"/>
          <w:tblHeader w:val="true"/>
        </w:trPr>
        <w:tc>
          <w:tcPr>
            <w:tcW w:type="dxa" w:w="1581"/>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w:t>
            </w:r>
          </w:p>
        </w:tc>
        <w:tc>
          <w:tcPr>
            <w:tcW w:type="dxa" w:w="4140"/>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Признак</w:t>
            </w:r>
          </w:p>
        </w:tc>
        <w:tc>
          <w:tcPr>
            <w:tcW w:type="dxa" w:w="3633"/>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Смысл</w:t>
            </w:r>
          </w:p>
        </w:tc>
      </w:tr>
      <w:tr>
        <w:trPr>
          <w:cantSplit w:val="true"/>
        </w:trPr>
        <w:tc>
          <w:tcPr>
            <w:tcW w:type="dxa" w:w="158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1</w:t>
            </w:r>
          </w:p>
        </w:tc>
        <w:tc>
          <w:tcPr>
            <w:tcW w:type="dxa" w:w="4140"/>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skuExact</w:t>
            </w:r>
          </w:p>
        </w:tc>
        <w:tc>
          <w:tcPr>
            <w:tcW w:type="dxa" w:w="363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полное совпадение артикула</w:t>
            </w:r>
          </w:p>
        </w:tc>
      </w:tr>
      <w:tr>
        <w:trPr>
          <w:cantSplit w:val="true"/>
        </w:trPr>
        <w:tc>
          <w:tcPr>
            <w:tcW w:type="dxa" w:w="158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2</w:t>
            </w:r>
          </w:p>
        </w:tc>
        <w:tc>
          <w:tcPr>
            <w:tcW w:type="dxa" w:w="4140"/>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skuFuzzy</w:t>
            </w:r>
          </w:p>
        </w:tc>
        <w:tc>
          <w:tcPr>
            <w:tcW w:type="dxa" w:w="363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нормированное расстояние Левенштейна</w:t>
            </w:r>
          </w:p>
        </w:tc>
      </w:tr>
      <w:tr>
        <w:trPr>
          <w:cantSplit w:val="true"/>
        </w:trPr>
        <w:tc>
          <w:tcPr>
            <w:tcW w:type="dxa" w:w="158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3</w:t>
            </w:r>
          </w:p>
        </w:tc>
        <w:tc>
          <w:tcPr>
            <w:tcW w:type="dxa" w:w="4140"/>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nameCosine</w:t>
            </w:r>
          </w:p>
        </w:tc>
        <w:tc>
          <w:tcPr>
            <w:tcW w:type="dxa" w:w="363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косинус TF-IDF наименований</w:t>
            </w:r>
          </w:p>
        </w:tc>
      </w:tr>
      <w:tr>
        <w:trPr>
          <w:cantSplit w:val="true"/>
        </w:trPr>
        <w:tc>
          <w:tcPr>
            <w:tcW w:type="dxa" w:w="158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4</w:t>
            </w:r>
          </w:p>
        </w:tc>
        <w:tc>
          <w:tcPr>
            <w:tcW w:type="dxa" w:w="4140"/>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tokenJaccard</w:t>
            </w:r>
          </w:p>
        </w:tc>
        <w:tc>
          <w:tcPr>
            <w:tcW w:type="dxa" w:w="363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пересечение словесных токенов</w:t>
            </w:r>
          </w:p>
        </w:tc>
      </w:tr>
      <w:tr>
        <w:trPr>
          <w:cantSplit w:val="true"/>
        </w:trPr>
        <w:tc>
          <w:tcPr>
            <w:tcW w:type="dxa" w:w="158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5</w:t>
            </w:r>
          </w:p>
        </w:tc>
        <w:tc>
          <w:tcPr>
            <w:tcW w:type="dxa" w:w="4140"/>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sameCategory</w:t>
            </w:r>
          </w:p>
        </w:tc>
        <w:tc>
          <w:tcPr>
            <w:tcW w:type="dxa" w:w="363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связь с категорией</w:t>
            </w:r>
          </w:p>
        </w:tc>
      </w:tr>
      <w:tr>
        <w:trPr>
          <w:cantSplit w:val="true"/>
        </w:trPr>
        <w:tc>
          <w:tcPr>
            <w:tcW w:type="dxa" w:w="158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6</w:t>
            </w:r>
          </w:p>
        </w:tc>
        <w:tc>
          <w:tcPr>
            <w:tcW w:type="dxa" w:w="4140"/>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sameManufacturer</w:t>
            </w:r>
          </w:p>
        </w:tc>
        <w:tc>
          <w:tcPr>
            <w:tcW w:type="dxa" w:w="363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производитель в тексте заявки</w:t>
            </w:r>
          </w:p>
        </w:tc>
      </w:tr>
    </w:tbl>
    <w:p>
      <w:pPr>
        <w:spacing w:after="0"/>
      </w:pPr>
    </w:p>
    <w:p>
      <w:r>
        <w:rPr>
          <w:rFonts w:ascii="Times New Roman" w:hAnsi="Times New Roman" w:eastAsia="Times New Roman" w:cs="Times New Roman"/>
          <w:b w:val="0"/>
          <w:color w:val="000000"/>
          <w:sz w:val="28"/>
        </w:rPr>
        <w:t xml:space="preserve">Вероятность совпадения задаётся логистической моделью </w:t>
      </w:r>
      <w:r>
        <w:rPr>
          <w:rFonts w:ascii="Courier New" w:hAnsi="Courier New" w:eastAsia="Courier New" w:cs="Courier New"/>
          <w:b w:val="0"/>
          <w:color w:val="000000"/>
          <w:sz w:val="26"/>
        </w:rPr>
        <w:t>P(y = 1 | x) = σ(b + wᵀx)</w:t>
      </w:r>
      <w:r>
        <w:rPr>
          <w:rFonts w:ascii="Times New Roman" w:hAnsi="Times New Roman" w:eastAsia="Times New Roman" w:cs="Times New Roman"/>
          <w:b w:val="0"/>
          <w:color w:val="000000"/>
          <w:sz w:val="28"/>
        </w:rPr>
        <w:t xml:space="preserve">, где </w:t>
      </w:r>
      <w:r>
        <w:rPr>
          <w:rFonts w:ascii="Courier New" w:hAnsi="Courier New" w:eastAsia="Courier New" w:cs="Courier New"/>
          <w:b w:val="0"/>
          <w:color w:val="000000"/>
          <w:sz w:val="26"/>
        </w:rPr>
        <w:t>σ(z) = 1 / (1 + e^(−z))</w:t>
      </w:r>
      <w:r>
        <w:rPr>
          <w:rFonts w:ascii="Times New Roman" w:hAnsi="Times New Roman" w:eastAsia="Times New Roman" w:cs="Times New Roman"/>
          <w:b w:val="0"/>
          <w:color w:val="000000"/>
          <w:sz w:val="28"/>
        </w:rPr>
        <w:t xml:space="preserve">, а вектор </w:t>
      </w:r>
      <w:r>
        <w:rPr>
          <w:rFonts w:ascii="Courier New" w:hAnsi="Courier New" w:eastAsia="Courier New" w:cs="Courier New"/>
          <w:b w:val="0"/>
          <w:color w:val="000000"/>
          <w:sz w:val="26"/>
        </w:rPr>
        <w:t>x</w:t>
      </w:r>
      <w:r>
        <w:rPr>
          <w:rFonts w:ascii="Times New Roman" w:hAnsi="Times New Roman" w:eastAsia="Times New Roman" w:cs="Times New Roman"/>
          <w:b w:val="0"/>
          <w:color w:val="000000"/>
          <w:sz w:val="28"/>
        </w:rPr>
        <w:t xml:space="preserve"> как раз те шесть признаков таблицы 29. Как видно из листинга 4, начальные веса </w:t>
      </w:r>
      <w:r>
        <w:rPr>
          <w:rFonts w:ascii="Courier New" w:hAnsi="Courier New" w:eastAsia="Courier New" w:cs="Courier New"/>
          <w:b w:val="0"/>
          <w:color w:val="000000"/>
          <w:sz w:val="26"/>
        </w:rPr>
        <w:t>[3,2; 1,8; 2,6; 1,4; 0,9; 0,5]</w:t>
      </w:r>
      <w:r>
        <w:rPr>
          <w:rFonts w:ascii="Times New Roman" w:hAnsi="Times New Roman" w:eastAsia="Times New Roman" w:cs="Times New Roman"/>
          <w:b w:val="0"/>
          <w:color w:val="000000"/>
          <w:sz w:val="28"/>
        </w:rPr>
        <w:t xml:space="preserve">, </w:t>
      </w:r>
      <w:r>
        <w:rPr>
          <w:rFonts w:ascii="Courier New" w:hAnsi="Courier New" w:eastAsia="Courier New" w:cs="Courier New"/>
          <w:b w:val="0"/>
          <w:color w:val="000000"/>
          <w:sz w:val="26"/>
        </w:rPr>
        <w:t>b = −2,2</w:t>
      </w:r>
      <w:r>
        <w:rPr>
          <w:rFonts w:ascii="Times New Roman" w:hAnsi="Times New Roman" w:eastAsia="Times New Roman" w:cs="Times New Roman"/>
          <w:b w:val="0"/>
          <w:color w:val="000000"/>
          <w:sz w:val="28"/>
        </w:rPr>
        <w:t xml:space="preserve">: точный артикул и косинус имени весят больше категории, что совпадает с приоритетом ТЗ. Насыщение сигмоиды при </w:t>
      </w:r>
      <w:r>
        <w:rPr>
          <w:rFonts w:ascii="Courier New" w:hAnsi="Courier New" w:eastAsia="Courier New" w:cs="Courier New"/>
          <w:b w:val="0"/>
          <w:color w:val="000000"/>
          <w:sz w:val="26"/>
        </w:rPr>
        <w:t>|z| &gt; 20</w:t>
      </w:r>
      <w:r>
        <w:rPr>
          <w:rFonts w:ascii="Times New Roman" w:hAnsi="Times New Roman" w:eastAsia="Times New Roman" w:cs="Times New Roman"/>
          <w:b w:val="0"/>
          <w:color w:val="000000"/>
          <w:sz w:val="28"/>
        </w:rPr>
        <w:t xml:space="preserve"> отсекает переполнение </w:t>
      </w:r>
      <w:r>
        <w:rPr>
          <w:rFonts w:ascii="Courier New" w:hAnsi="Courier New" w:eastAsia="Courier New" w:cs="Courier New"/>
          <w:b w:val="0"/>
          <w:color w:val="000000"/>
          <w:sz w:val="26"/>
        </w:rPr>
        <w:t>exp</w:t>
      </w:r>
      <w:r>
        <w:rPr>
          <w:rFonts w:ascii="Times New Roman" w:hAnsi="Times New Roman" w:eastAsia="Times New Roman" w:cs="Times New Roman"/>
          <w:b w:val="0"/>
          <w:color w:val="000000"/>
          <w:sz w:val="28"/>
        </w:rPr>
        <w:t xml:space="preserve"> и не меняет решение оператора. Нейронные эмбеддинги и внешний сервис ранжирования отвергнуты, потому что на объёме каталога курсовой TF-IDF и линейная модель считаются в процессе API без GPU.</w:t>
      </w:r>
    </w:p>
    <w:p>
      <w:pPr>
        <w:pStyle w:val="GOSTCaption"/>
        <w:keepNext/>
        <w:jc w:val="left"/>
      </w:pPr>
      <w:r>
        <w:rPr>
          <w:rFonts w:ascii="Times New Roman" w:hAnsi="Times New Roman" w:eastAsia="Times New Roman" w:cs="Times New Roman"/>
          <w:b w:val="0"/>
          <w:color w:val="000000"/>
          <w:sz w:val="28"/>
        </w:rPr>
        <w:t>Листинг 4 – Логистическая регрессия: prior и вероятность совпадения</w:t>
      </w:r>
    </w:p>
    <w:p>
      <w:pPr>
        <w:pStyle w:val="CodeBlock"/>
      </w:pPr>
      <w:r>
        <w:rPr>
          <w:rFonts w:ascii="Courier New" w:hAnsi="Courier New" w:eastAsia="Courier New" w:cs="Courier New"/>
          <w:color w:val="000000"/>
          <w:sz w:val="20"/>
        </w:rPr>
        <w:t xml:space="preserve">    public LogisticRegression()</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Weights = [3.2, 1.8, 2.6, 1.4, 0.9, 0.5];</w:t>
      </w:r>
    </w:p>
    <w:p>
      <w:pPr>
        <w:pStyle w:val="CodeBlock"/>
      </w:pPr>
      <w:r>
        <w:rPr>
          <w:rFonts w:ascii="Courier New" w:hAnsi="Courier New" w:eastAsia="Courier New" w:cs="Courier New"/>
          <w:color w:val="000000"/>
          <w:sz w:val="20"/>
        </w:rPr>
        <w:t xml:space="preserve">        Bias = -2.2;</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public double Predict(double[] x)</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z = Bias;</w:t>
      </w:r>
    </w:p>
    <w:p>
      <w:pPr>
        <w:pStyle w:val="CodeBlock"/>
      </w:pPr>
      <w:r>
        <w:rPr>
          <w:rFonts w:ascii="Courier New" w:hAnsi="Courier New" w:eastAsia="Courier New" w:cs="Courier New"/>
          <w:color w:val="000000"/>
          <w:sz w:val="20"/>
        </w:rPr>
        <w:t xml:space="preserve">        for (var i = 0; i &lt; Dim; i++) z += Weights[i] * x[i];</w:t>
      </w:r>
    </w:p>
    <w:p>
      <w:pPr>
        <w:pStyle w:val="CodeBlock"/>
      </w:pPr>
      <w:r>
        <w:rPr>
          <w:rFonts w:ascii="Courier New" w:hAnsi="Courier New" w:eastAsia="Courier New" w:cs="Courier New"/>
          <w:color w:val="000000"/>
          <w:sz w:val="20"/>
        </w:rPr>
        <w:t xml:space="preserve">        if (z &gt; 20) return 1;</w:t>
      </w:r>
    </w:p>
    <w:p>
      <w:pPr>
        <w:pStyle w:val="CodeBlock"/>
      </w:pPr>
      <w:r>
        <w:rPr>
          <w:rFonts w:ascii="Courier New" w:hAnsi="Courier New" w:eastAsia="Courier New" w:cs="Courier New"/>
          <w:color w:val="000000"/>
          <w:sz w:val="20"/>
        </w:rPr>
        <w:t xml:space="preserve">        if (z &lt; -20) return 0;</w:t>
      </w:r>
    </w:p>
    <w:p>
      <w:pPr>
        <w:pStyle w:val="CodeBlock"/>
      </w:pPr>
      <w:r>
        <w:rPr>
          <w:rFonts w:ascii="Courier New" w:hAnsi="Courier New" w:eastAsia="Courier New" w:cs="Courier New"/>
          <w:color w:val="000000"/>
          <w:sz w:val="20"/>
        </w:rPr>
        <w:t xml:space="preserve">        return 1.0 / (1.0 + Math.Exp(-z));</w:t>
      </w:r>
    </w:p>
    <w:p>
      <w:pPr>
        <w:pStyle w:val="CodeBlock"/>
      </w:pPr>
      <w:r>
        <w:rPr>
          <w:rFonts w:ascii="Courier New" w:hAnsi="Courier New" w:eastAsia="Courier New" w:cs="Courier New"/>
          <w:color w:val="000000"/>
          <w:sz w:val="20"/>
        </w:rPr>
        <w:t xml:space="preserve">    }</w:t>
      </w:r>
    </w:p>
    <w:p>
      <w:r>
        <w:rPr>
          <w:rFonts w:ascii="Times New Roman" w:hAnsi="Times New Roman" w:eastAsia="Times New Roman" w:cs="Times New Roman"/>
          <w:b w:val="0"/>
          <w:color w:val="000000"/>
          <w:sz w:val="28"/>
        </w:rPr>
        <w:t xml:space="preserve">Модель дообучается 25 эпох SGD с L2-регуляризацией 0,002 и затухающим шагом </w:t>
      </w:r>
      <w:r>
        <w:rPr>
          <w:rFonts w:ascii="Courier New" w:hAnsi="Courier New" w:eastAsia="Courier New" w:cs="Courier New"/>
          <w:b w:val="0"/>
          <w:color w:val="000000"/>
          <w:sz w:val="26"/>
        </w:rPr>
        <w:t>lr / (1 + 0,04 · epoch)</w:t>
      </w:r>
      <w:r>
        <w:rPr>
          <w:rFonts w:ascii="Times New Roman" w:hAnsi="Times New Roman" w:eastAsia="Times New Roman" w:cs="Times New Roman"/>
          <w:b w:val="0"/>
          <w:color w:val="000000"/>
          <w:sz w:val="28"/>
        </w:rPr>
        <w:t xml:space="preserve">. Пары строятся синтетически по каталогу (стратифицированная выборка до 2000 позиций): товар с самим собой и с опечаткой в имени дают положительные примеры, случайный другой товар даёт отрицательный, поэтому решение нельзя представлять как обученное на фактических кликах закупщиков. Генераторы </w:t>
      </w:r>
      <w:r>
        <w:rPr>
          <w:rFonts w:ascii="Courier New" w:hAnsi="Courier New" w:eastAsia="Courier New" w:cs="Courier New"/>
          <w:b w:val="0"/>
          <w:color w:val="000000"/>
          <w:sz w:val="26"/>
        </w:rPr>
        <w:t>Random(42)</w:t>
      </w:r>
      <w:r>
        <w:rPr>
          <w:rFonts w:ascii="Times New Roman" w:hAnsi="Times New Roman" w:eastAsia="Times New Roman" w:cs="Times New Roman"/>
          <w:b w:val="0"/>
          <w:color w:val="000000"/>
          <w:sz w:val="28"/>
        </w:rPr>
        <w:t xml:space="preserve"> для выборки и </w:t>
      </w:r>
      <w:r>
        <w:rPr>
          <w:rFonts w:ascii="Courier New" w:hAnsi="Courier New" w:eastAsia="Courier New" w:cs="Courier New"/>
          <w:b w:val="0"/>
          <w:color w:val="000000"/>
          <w:sz w:val="26"/>
        </w:rPr>
        <w:t>Random(7)</w:t>
      </w:r>
      <w:r>
        <w:rPr>
          <w:rFonts w:ascii="Times New Roman" w:hAnsi="Times New Roman" w:eastAsia="Times New Roman" w:cs="Times New Roman"/>
          <w:b w:val="0"/>
          <w:color w:val="000000"/>
          <w:sz w:val="28"/>
        </w:rPr>
        <w:t xml:space="preserve"> для перемешивания эпох фиксируют порядок, чтобы повторный прогрев кэша на том же каталоге давал те же веса. Кэш </w:t>
      </w:r>
      <w:r>
        <w:rPr>
          <w:rFonts w:ascii="Courier New" w:hAnsi="Courier New" w:eastAsia="Courier New" w:cs="Courier New"/>
          <w:b w:val="0"/>
          <w:color w:val="000000"/>
          <w:sz w:val="26"/>
        </w:rPr>
        <w:t>MatchingModelCache</w:t>
      </w:r>
      <w:r>
        <w:rPr>
          <w:rFonts w:ascii="Times New Roman" w:hAnsi="Times New Roman" w:eastAsia="Times New Roman" w:cs="Times New Roman"/>
          <w:b w:val="0"/>
          <w:color w:val="000000"/>
          <w:sz w:val="28"/>
        </w:rPr>
        <w:t xml:space="preserve"> живёт в процессе и пересобирается, когда меняется число позиций каталога.</w:t>
      </w:r>
    </w:p>
    <w:p>
      <w:r>
        <w:rPr>
          <w:rFonts w:ascii="Times New Roman" w:hAnsi="Times New Roman" w:eastAsia="Times New Roman" w:cs="Times New Roman"/>
          <w:b w:val="0"/>
          <w:color w:val="000000"/>
          <w:sz w:val="28"/>
        </w:rPr>
        <w:t xml:space="preserve">Порог импорта спецификации равен </w:t>
      </w:r>
      <w:r>
        <w:rPr>
          <w:rFonts w:ascii="Courier New" w:hAnsi="Courier New" w:eastAsia="Courier New" w:cs="Courier New"/>
          <w:b w:val="0"/>
          <w:color w:val="000000"/>
          <w:sz w:val="26"/>
        </w:rPr>
        <w:t>P ≥ 0,5</w:t>
      </w:r>
      <w:r>
        <w:rPr>
          <w:rFonts w:ascii="Times New Roman" w:hAnsi="Times New Roman" w:eastAsia="Times New Roman" w:cs="Times New Roman"/>
          <w:b w:val="0"/>
          <w:color w:val="000000"/>
          <w:sz w:val="28"/>
        </w:rPr>
        <w:t xml:space="preserve">, а для подстановки в КП допускается </w:t>
      </w:r>
      <w:r>
        <w:rPr>
          <w:rFonts w:ascii="Courier New" w:hAnsi="Courier New" w:eastAsia="Courier New" w:cs="Courier New"/>
          <w:b w:val="0"/>
          <w:color w:val="000000"/>
          <w:sz w:val="26"/>
        </w:rPr>
        <w:t>P ≥ 0,40</w:t>
      </w:r>
      <w:r>
        <w:rPr>
          <w:rFonts w:ascii="Times New Roman" w:hAnsi="Times New Roman" w:eastAsia="Times New Roman" w:cs="Times New Roman"/>
          <w:b w:val="0"/>
          <w:color w:val="000000"/>
          <w:sz w:val="28"/>
        </w:rPr>
        <w:t xml:space="preserve"> без изменения самой спецификации, чтобы генератор мог опереться на аналог там, где оператор ещё не подтвердил гипотезу. После выбора товара стратегия актуальности считает линейный score офферов, разбор которого дан в п. 5.4. Пороги разведены намеренно: запись в заявку требует большей уверенности, чем пробный расчёт стоимости. Экран </w:t>
      </w:r>
      <w:r>
        <w:rPr>
          <w:rFonts w:ascii="Courier New" w:hAnsi="Courier New" w:eastAsia="Courier New" w:cs="Courier New"/>
          <w:b w:val="0"/>
          <w:color w:val="000000"/>
          <w:sz w:val="26"/>
        </w:rPr>
        <w:t>/specifications/:id/match</w:t>
      </w:r>
      <w:r>
        <w:rPr>
          <w:rFonts w:ascii="Times New Roman" w:hAnsi="Times New Roman" w:eastAsia="Times New Roman" w:cs="Times New Roman"/>
          <w:b w:val="0"/>
          <w:color w:val="000000"/>
          <w:sz w:val="28"/>
        </w:rPr>
        <w:t xml:space="preserve"> показывает обе величины, чтобы РП видел, почему строка подставилась в КП, но не закрепилась в спецификации.</w:t>
      </w:r>
    </w:p>
    <w:p>
      <w:pPr>
        <w:pStyle w:val="Heading2"/>
      </w:pPr>
      <w:r>
        <w:rPr>
          <w:rFonts w:ascii="Times New Roman" w:hAnsi="Times New Roman" w:eastAsia="Times New Roman" w:cs="Times New Roman"/>
          <w:b/>
          <w:color w:val="000000"/>
          <w:sz w:val="28"/>
        </w:rPr>
        <w:t>5.4 Генератор коммерческого предложения</w:t>
      </w:r>
    </w:p>
    <w:p>
      <w:r>
        <w:rPr>
          <w:rFonts w:ascii="Courier New" w:hAnsi="Courier New" w:eastAsia="Courier New" w:cs="Courier New"/>
          <w:b w:val="0"/>
          <w:color w:val="000000"/>
          <w:sz w:val="26"/>
        </w:rPr>
        <w:t>QuoteGenerator.GenerateAsync</w:t>
      </w:r>
      <w:r>
        <w:rPr>
          <w:rFonts w:ascii="Times New Roman" w:hAnsi="Times New Roman" w:eastAsia="Times New Roman" w:cs="Times New Roman"/>
          <w:b w:val="0"/>
          <w:color w:val="000000"/>
          <w:sz w:val="28"/>
        </w:rPr>
        <w:t xml:space="preserve"> загружает спецификацию, сопоставления, товары, overrides, офферы, историю цен и скидки пакетно, затем линейно строит строки. Схема N+1 исключена, потому что на спецификации из сотен позиций она превращала бы сравнение четырёх стратегий в серию запросов к каждой строке. Кандидат содержит поставщика, исходную и эффективную цену, срок, остаток, скидку и момент последней цены, а фильтр наличия оставляет только офферы, покрывающие количество строки. Override проверяется до стратегии: ручной выбор РП не должен быть переписан минимумом цены.</w:t>
      </w:r>
    </w:p>
    <w:p>
      <w:r>
        <w:rPr>
          <w:rFonts w:ascii="Times New Roman" w:hAnsi="Times New Roman" w:eastAsia="Times New Roman" w:cs="Times New Roman"/>
          <w:b w:val="0"/>
          <w:color w:val="000000"/>
          <w:sz w:val="28"/>
        </w:rPr>
        <w:t xml:space="preserve">Скидки поставщика и производителя не суммируются: если задана скидка вендора, она имеет приоритет, иначе берётся скидка производителя товара. Эффективная цена </w:t>
      </w:r>
      <w:r>
        <w:rPr>
          <w:rFonts w:ascii="Courier New" w:hAnsi="Courier New" w:eastAsia="Courier New" w:cs="Courier New"/>
          <w:b w:val="0"/>
          <w:color w:val="000000"/>
          <w:sz w:val="26"/>
        </w:rPr>
        <w:t>p_eff = round(p × (1 − d / 100), 2)</w:t>
      </w:r>
      <w:r>
        <w:rPr>
          <w:rFonts w:ascii="Times New Roman" w:hAnsi="Times New Roman" w:eastAsia="Times New Roman" w:cs="Times New Roman"/>
          <w:b w:val="0"/>
          <w:color w:val="000000"/>
          <w:sz w:val="28"/>
        </w:rPr>
        <w:t xml:space="preserve"> считается один раз на кандидата и дальше используется всеми стратегиями, чтобы сравнение шло по сумме к оплате, а не по «витринной» цене без скидки. В листинге 5 этот расчёт стоит рядом с правилом выбора: </w:t>
      </w:r>
      <w:r>
        <w:rPr>
          <w:rFonts w:ascii="Courier New" w:hAnsi="Courier New" w:eastAsia="Courier New" w:cs="Courier New"/>
          <w:b w:val="0"/>
          <w:color w:val="000000"/>
          <w:sz w:val="26"/>
        </w:rPr>
        <w:t>MinCost</w:t>
      </w:r>
      <w:r>
        <w:rPr>
          <w:rFonts w:ascii="Times New Roman" w:hAnsi="Times New Roman" w:eastAsia="Times New Roman" w:cs="Times New Roman"/>
          <w:b w:val="0"/>
          <w:color w:val="000000"/>
          <w:sz w:val="28"/>
        </w:rPr>
        <w:t xml:space="preserve"> минимизирует эффективную цену и при равенстве берёт меньший срок; </w:t>
      </w:r>
      <w:r>
        <w:rPr>
          <w:rFonts w:ascii="Courier New" w:hAnsi="Courier New" w:eastAsia="Courier New" w:cs="Courier New"/>
          <w:b w:val="0"/>
          <w:color w:val="000000"/>
          <w:sz w:val="26"/>
        </w:rPr>
        <w:t>MinLeadTime</w:t>
      </w:r>
      <w:r>
        <w:rPr>
          <w:rFonts w:ascii="Times New Roman" w:hAnsi="Times New Roman" w:eastAsia="Times New Roman" w:cs="Times New Roman"/>
          <w:b w:val="0"/>
          <w:color w:val="000000"/>
          <w:sz w:val="28"/>
        </w:rPr>
        <w:t xml:space="preserve"> делает наоборот; баланс нормирует цену и срок среди офферов этой позиции в </w:t>
      </w:r>
      <w:r>
        <w:rPr>
          <w:rFonts w:ascii="Courier New" w:hAnsi="Courier New" w:eastAsia="Courier New" w:cs="Courier New"/>
          <w:b w:val="0"/>
          <w:color w:val="000000"/>
          <w:sz w:val="26"/>
        </w:rPr>
        <w:t>[0; 1]</w:t>
      </w:r>
      <w:r>
        <w:rPr>
          <w:rFonts w:ascii="Times New Roman" w:hAnsi="Times New Roman" w:eastAsia="Times New Roman" w:cs="Times New Roman"/>
          <w:b w:val="0"/>
          <w:color w:val="000000"/>
          <w:sz w:val="28"/>
        </w:rPr>
        <w:t xml:space="preserve"> и минимизирует взвешенную сумму. Нормировка внутри позиции, а не по всему каталогу, нужна потому, что абсолютные рубли и дни разных номенклатур несравнимы.</w:t>
      </w:r>
    </w:p>
    <w:p>
      <w:pPr>
        <w:pStyle w:val="GOSTCaption"/>
        <w:keepNext/>
        <w:jc w:val="left"/>
      </w:pPr>
      <w:r>
        <w:rPr>
          <w:rFonts w:ascii="Times New Roman" w:hAnsi="Times New Roman" w:eastAsia="Times New Roman" w:cs="Times New Roman"/>
          <w:b w:val="0"/>
          <w:color w:val="000000"/>
          <w:sz w:val="28"/>
        </w:rPr>
        <w:t>Листинг 5 – Эффективная цена со скидкой и выбор оффера по стратегии</w:t>
      </w:r>
    </w:p>
    <w:p>
      <w:pPr>
        <w:pStyle w:val="CodeBlock"/>
      </w:pPr>
      <w:r>
        <w:rPr>
          <w:rFonts w:ascii="Courier New" w:hAnsi="Courier New" w:eastAsia="Courier New" w:cs="Courier New"/>
          <w:color w:val="000000"/>
          <w:sz w:val="20"/>
        </w:rPr>
        <w:t xml:space="preserve">                    decimal disc = vendorDisc.TryGetValue(o.VendorId, out var vd) ? vd</w:t>
      </w:r>
    </w:p>
    <w:p>
      <w:pPr>
        <w:pStyle w:val="CodeBlock"/>
      </w:pPr>
      <w:r>
        <w:rPr>
          <w:rFonts w:ascii="Courier New" w:hAnsi="Courier New" w:eastAsia="Courier New" w:cs="Courier New"/>
          <w:color w:val="000000"/>
          <w:sz w:val="20"/>
        </w:rPr>
        <w:t xml:space="preserve">                        : (mfr is not null &amp;&amp; mfrDisc.TryGetValue(mfr, out var md) ? md : 0m);</w:t>
      </w:r>
    </w:p>
    <w:p>
      <w:pPr>
        <w:pStyle w:val="CodeBlock"/>
      </w:pPr>
      <w:r>
        <w:rPr>
          <w:rFonts w:ascii="Courier New" w:hAnsi="Courier New" w:eastAsia="Courier New" w:cs="Courier New"/>
          <w:color w:val="000000"/>
          <w:sz w:val="20"/>
        </w:rPr>
        <w:t xml:space="preserve">                    var eff = Math.Round(o.Price * (1 - disc / 100m), 2);</w:t>
      </w:r>
    </w:p>
    <w:p>
      <w:pPr>
        <w:pStyle w:val="CodeBlock"/>
      </w:pPr>
      <w:r>
        <w:rPr>
          <w:rFonts w:ascii="Courier New" w:hAnsi="Courier New" w:eastAsia="Courier New" w:cs="Courier New"/>
          <w:color w:val="000000"/>
          <w:sz w:val="20"/>
        </w:rPr>
        <w:t xml:space="preserve">                    //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pick = strategy switch</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QuoteStrategy.MinCost =&gt; cands.OrderBy(c =&gt; c.EffectivePrice).ThenBy(c =&gt; c.LeadTimeDays).First(),</w:t>
      </w:r>
    </w:p>
    <w:p>
      <w:pPr>
        <w:pStyle w:val="CodeBlock"/>
      </w:pPr>
      <w:r>
        <w:rPr>
          <w:rFonts w:ascii="Courier New" w:hAnsi="Courier New" w:eastAsia="Courier New" w:cs="Courier New"/>
          <w:color w:val="000000"/>
          <w:sz w:val="20"/>
        </w:rPr>
        <w:t xml:space="preserve">            QuoteStrategy.MinLeadTime =&gt; cands.OrderBy(c =&gt; c.LeadTimeDays).ThenBy(c =&gt; c.EffectivePrice).First(),</w:t>
      </w:r>
    </w:p>
    <w:p>
      <w:pPr>
        <w:pStyle w:val="CodeBlock"/>
      </w:pPr>
      <w:r>
        <w:rPr>
          <w:rFonts w:ascii="Courier New" w:hAnsi="Courier New" w:eastAsia="Courier New" w:cs="Courier New"/>
          <w:color w:val="000000"/>
          <w:sz w:val="20"/>
        </w:rPr>
        <w:t xml:space="preserve">            _ =&gt; SelectBalanced(cands, wPrice, wLead)</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 …</w:t>
      </w:r>
    </w:p>
    <w:p>
      <w:pPr>
        <w:pStyle w:val="CodeBlock"/>
      </w:pPr>
      <w:r>
        <w:rPr>
          <w:rFonts w:ascii="Courier New" w:hAnsi="Courier New" w:eastAsia="Courier New" w:cs="Courier New"/>
          <w:color w:val="000000"/>
          <w:sz w:val="20"/>
        </w:rPr>
        <w:t xml:space="preserve">    private static double BalancedScore(Candidate c, IReadOnlyList&lt;Candidate&gt; cands, double wPrice, double wLead)</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sum = wPrice + wLead;</w:t>
      </w:r>
    </w:p>
    <w:p>
      <w:pPr>
        <w:pStyle w:val="CodeBlock"/>
      </w:pPr>
      <w:r>
        <w:rPr>
          <w:rFonts w:ascii="Courier New" w:hAnsi="Courier New" w:eastAsia="Courier New" w:cs="Courier New"/>
          <w:color w:val="000000"/>
          <w:sz w:val="20"/>
        </w:rPr>
        <w:t xml:space="preserve">        if (sum &lt;= 0) { wPrice = wLead = 0.5; sum = 1; }</w:t>
      </w:r>
    </w:p>
    <w:p>
      <w:pPr>
        <w:pStyle w:val="CodeBlock"/>
      </w:pPr>
      <w:r>
        <w:rPr>
          <w:rFonts w:ascii="Courier New" w:hAnsi="Courier New" w:eastAsia="Courier New" w:cs="Courier New"/>
          <w:color w:val="000000"/>
          <w:sz w:val="20"/>
        </w:rPr>
        <w:t xml:space="preserve">        wPrice /= sum; wLead /= sum;</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decimal minP = cands.Min(x =&gt; x.EffectivePrice), maxP = cands.Max(x =&gt; x.EffectivePrice);</w:t>
      </w:r>
    </w:p>
    <w:p>
      <w:pPr>
        <w:pStyle w:val="CodeBlock"/>
      </w:pPr>
      <w:r>
        <w:rPr>
          <w:rFonts w:ascii="Courier New" w:hAnsi="Courier New" w:eastAsia="Courier New" w:cs="Courier New"/>
          <w:color w:val="000000"/>
          <w:sz w:val="20"/>
        </w:rPr>
        <w:t xml:space="preserve">        int minL = cands.Min(x =&gt; x.LeadTimeDays), maxL = cands.Max(x =&gt; x.LeadTimeDays);</w:t>
      </w:r>
    </w:p>
    <w:p>
      <w:pPr>
        <w:pStyle w:val="CodeBlock"/>
      </w:pPr>
      <w:r>
        <w:rPr>
          <w:rFonts w:ascii="Courier New" w:hAnsi="Courier New" w:eastAsia="Courier New" w:cs="Courier New"/>
          <w:color w:val="000000"/>
          <w:sz w:val="20"/>
        </w:rPr>
        <w:t xml:space="preserve">        double pSpan = (double)(maxP - minP), lSpan = maxL - minL;</w:t>
      </w:r>
    </w:p>
    <w:p>
      <w:pPr>
        <w:pStyle w:val="CodeBlock"/>
      </w:pPr>
      <w:r>
        <w:rPr>
          <w:rFonts w:ascii="Courier New" w:hAnsi="Courier New" w:eastAsia="Courier New" w:cs="Courier New"/>
          <w:color w:val="000000"/>
          <w:sz w:val="20"/>
        </w:rPr>
        <w:t xml:space="preserve">        double nP = pSpan &gt; 0 ? (double)(c.EffectivePrice - minP) / pSpan : 0;</w:t>
      </w:r>
    </w:p>
    <w:p>
      <w:pPr>
        <w:pStyle w:val="CodeBlock"/>
      </w:pPr>
      <w:r>
        <w:rPr>
          <w:rFonts w:ascii="Courier New" w:hAnsi="Courier New" w:eastAsia="Courier New" w:cs="Courier New"/>
          <w:color w:val="000000"/>
          <w:sz w:val="20"/>
        </w:rPr>
        <w:t xml:space="preserve">        double nL = lSpan &gt; 0 ? (c.LeadTimeDays - minL) / lSpan : 0;</w:t>
      </w:r>
    </w:p>
    <w:p>
      <w:pPr>
        <w:pStyle w:val="CodeBlock"/>
      </w:pPr>
      <w:r>
        <w:rPr>
          <w:rFonts w:ascii="Courier New" w:hAnsi="Courier New" w:eastAsia="Courier New" w:cs="Courier New"/>
          <w:color w:val="000000"/>
          <w:sz w:val="20"/>
        </w:rPr>
        <w:t xml:space="preserve">        return wPrice * nP + wLead * nL;</w:t>
      </w:r>
    </w:p>
    <w:p>
      <w:pPr>
        <w:pStyle w:val="CodeBlock"/>
      </w:pPr>
      <w:r>
        <w:rPr>
          <w:rFonts w:ascii="Courier New" w:hAnsi="Courier New" w:eastAsia="Courier New" w:cs="Courier New"/>
          <w:color w:val="000000"/>
          <w:sz w:val="20"/>
        </w:rPr>
        <w:t xml:space="preserve">    }</w:t>
      </w:r>
    </w:p>
    <w:p>
      <w:r>
        <w:rPr>
          <w:rFonts w:ascii="Times New Roman" w:hAnsi="Times New Roman" w:eastAsia="Times New Roman" w:cs="Times New Roman"/>
          <w:b w:val="0"/>
          <w:color w:val="000000"/>
          <w:sz w:val="28"/>
        </w:rPr>
        <w:t xml:space="preserve">Четвёртая стратегия не подменяет три обязательные, а отвечает на другой вопрос: какой оффер свежий, с остатком и разумной ценой, если дешёвая запись в прайсе устарела. Как видно из листинга 6, веса фиксированы и в сумме дают единицу (сходство 0,28, свежесть 0,22, остаток 0,18, цена 0,20, срок 0,12), а свежесть имеет полураспад 45 дней: </w:t>
      </w:r>
      <w:r>
        <w:rPr>
          <w:rFonts w:ascii="Courier New" w:hAnsi="Courier New" w:eastAsia="Courier New" w:cs="Courier New"/>
          <w:b w:val="0"/>
          <w:color w:val="000000"/>
          <w:sz w:val="26"/>
        </w:rPr>
        <w:t>fresh = exp(−ln(2) × ageDays / 45)</w:t>
      </w:r>
      <w:r>
        <w:rPr>
          <w:rFonts w:ascii="Times New Roman" w:hAnsi="Times New Roman" w:eastAsia="Times New Roman" w:cs="Times New Roman"/>
          <w:b w:val="0"/>
          <w:color w:val="000000"/>
          <w:sz w:val="28"/>
        </w:rPr>
        <w:t xml:space="preserve">. Дешёвая, но старая и отсутствующая на складе запись может уступить свежему предложению. Причину выбора генератор записывает в </w:t>
      </w:r>
      <w:r>
        <w:rPr>
          <w:rFonts w:ascii="Courier New" w:hAnsi="Courier New" w:eastAsia="Courier New" w:cs="Courier New"/>
          <w:b w:val="0"/>
          <w:color w:val="000000"/>
          <w:sz w:val="26"/>
        </w:rPr>
        <w:t>SelectionReason</w:t>
      </w:r>
      <w:r>
        <w:rPr>
          <w:rFonts w:ascii="Times New Roman" w:hAnsi="Times New Roman" w:eastAsia="Times New Roman" w:cs="Times New Roman"/>
          <w:b w:val="0"/>
          <w:color w:val="000000"/>
          <w:sz w:val="28"/>
        </w:rPr>
        <w:t>, чтобы на экране сравнения было видно не только итог, но и разложение score.</w:t>
      </w:r>
    </w:p>
    <w:p>
      <w:pPr>
        <w:pStyle w:val="GOSTCaption"/>
        <w:keepNext/>
        <w:jc w:val="left"/>
      </w:pPr>
      <w:r>
        <w:rPr>
          <w:rFonts w:ascii="Times New Roman" w:hAnsi="Times New Roman" w:eastAsia="Times New Roman" w:cs="Times New Roman"/>
          <w:b w:val="0"/>
          <w:color w:val="000000"/>
          <w:sz w:val="28"/>
        </w:rPr>
        <w:t>Листинг 6 – Ранжирование оффера по актуальности</w:t>
      </w:r>
    </w:p>
    <w:p>
      <w:pPr>
        <w:pStyle w:val="CodeBlock"/>
      </w:pPr>
      <w:r>
        <w:rPr>
          <w:rFonts w:ascii="Courier New" w:hAnsi="Courier New" w:eastAsia="Courier New" w:cs="Courier New"/>
          <w:color w:val="000000"/>
          <w:sz w:val="20"/>
        </w:rPr>
        <w:t xml:space="preserve">    public const double WMatch = 0.28;</w:t>
      </w:r>
    </w:p>
    <w:p>
      <w:pPr>
        <w:pStyle w:val="CodeBlock"/>
      </w:pPr>
      <w:r>
        <w:rPr>
          <w:rFonts w:ascii="Courier New" w:hAnsi="Courier New" w:eastAsia="Courier New" w:cs="Courier New"/>
          <w:color w:val="000000"/>
          <w:sz w:val="20"/>
        </w:rPr>
        <w:t xml:space="preserve">    public const double WFresh = 0.22;</w:t>
      </w:r>
    </w:p>
    <w:p>
      <w:pPr>
        <w:pStyle w:val="CodeBlock"/>
      </w:pPr>
      <w:r>
        <w:rPr>
          <w:rFonts w:ascii="Courier New" w:hAnsi="Courier New" w:eastAsia="Courier New" w:cs="Courier New"/>
          <w:color w:val="000000"/>
          <w:sz w:val="20"/>
        </w:rPr>
        <w:t xml:space="preserve">    public const double WStock = 0.18;</w:t>
      </w:r>
    </w:p>
    <w:p>
      <w:pPr>
        <w:pStyle w:val="CodeBlock"/>
      </w:pPr>
      <w:r>
        <w:rPr>
          <w:rFonts w:ascii="Courier New" w:hAnsi="Courier New" w:eastAsia="Courier New" w:cs="Courier New"/>
          <w:color w:val="000000"/>
          <w:sz w:val="20"/>
        </w:rPr>
        <w:t xml:space="preserve">    public const double WPrice = 0.20;</w:t>
      </w:r>
    </w:p>
    <w:p>
      <w:pPr>
        <w:pStyle w:val="CodeBlock"/>
      </w:pPr>
      <w:r>
        <w:rPr>
          <w:rFonts w:ascii="Courier New" w:hAnsi="Courier New" w:eastAsia="Courier New" w:cs="Courier New"/>
          <w:color w:val="000000"/>
          <w:sz w:val="20"/>
        </w:rPr>
        <w:t xml:space="preserve">    public const double WLead = 0.12;</w:t>
      </w:r>
    </w:p>
    <w:p>
      <w:pPr>
        <w:pStyle w:val="CodeBlock"/>
      </w:pPr>
      <w:r>
        <w:rPr>
          <w:rFonts w:ascii="Courier New" w:hAnsi="Courier New" w:eastAsia="Courier New" w:cs="Courier New"/>
          <w:color w:val="000000"/>
          <w:sz w:val="20"/>
        </w:rPr>
        <w:t xml:space="preserve">    public static readonly TimeSpan FreshHalfLife = TimeSpan.FromDays(45);</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priceAdv = pSpan &gt; 0 ? 1.0 - (double)(o.EffectivePrice - minP) / pSpan : 1.0;</w:t>
      </w:r>
    </w:p>
    <w:p>
      <w:pPr>
        <w:pStyle w:val="CodeBlock"/>
      </w:pPr>
      <w:r>
        <w:rPr>
          <w:rFonts w:ascii="Courier New" w:hAnsi="Courier New" w:eastAsia="Courier New" w:cs="Courier New"/>
          <w:color w:val="000000"/>
          <w:sz w:val="20"/>
        </w:rPr>
        <w:t xml:space="preserve">        var leadAdv = lSpan &gt; 0 ? 1.0 - (o.LeadTimeDays - minL) / lSpan : 1.0;</w:t>
      </w:r>
    </w:p>
    <w:p>
      <w:pPr>
        <w:pStyle w:val="CodeBlock"/>
      </w:pPr>
      <w:r>
        <w:rPr>
          <w:rFonts w:ascii="Courier New" w:hAnsi="Courier New" w:eastAsia="Courier New" w:cs="Courier New"/>
          <w:color w:val="000000"/>
          <w:sz w:val="20"/>
        </w:rPr>
        <w:t xml:space="preserve">        var ageDays = Math.Max(0, (nowUtc - o.LastPriceAtUtc).TotalDays);</w:t>
      </w:r>
    </w:p>
    <w:p>
      <w:pPr>
        <w:pStyle w:val="CodeBlock"/>
      </w:pPr>
      <w:r>
        <w:rPr>
          <w:rFonts w:ascii="Courier New" w:hAnsi="Courier New" w:eastAsia="Courier New" w:cs="Courier New"/>
          <w:color w:val="000000"/>
          <w:sz w:val="20"/>
        </w:rPr>
        <w:t xml:space="preserve">        var freshness = Math.Exp(-Math.Log(2) * ageDays / FreshHalfLife.TotalDays);</w:t>
      </w:r>
    </w:p>
    <w:p>
      <w:pPr>
        <w:pStyle w:val="CodeBlock"/>
      </w:pPr>
      <w:r>
        <w:rPr>
          <w:rFonts w:ascii="Courier New" w:hAnsi="Courier New" w:eastAsia="Courier New" w:cs="Courier New"/>
          <w:color w:val="000000"/>
          <w:sz w:val="20"/>
        </w:rPr>
        <w:t xml:space="preserve">        var stockCov = quantity &lt;= 0 ? 1 : Math.Clamp(o.StockQuantity / (double)quantity, 0, 1);</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score = WMatch * matchProbability</w:t>
      </w:r>
    </w:p>
    <w:p>
      <w:pPr>
        <w:pStyle w:val="CodeBlock"/>
      </w:pPr>
      <w:r>
        <w:rPr>
          <w:rFonts w:ascii="Courier New" w:hAnsi="Courier New" w:eastAsia="Courier New" w:cs="Courier New"/>
          <w:color w:val="000000"/>
          <w:sz w:val="20"/>
        </w:rPr>
        <w:t xml:space="preserve">                    + WFresh * freshness</w:t>
      </w:r>
    </w:p>
    <w:p>
      <w:pPr>
        <w:pStyle w:val="CodeBlock"/>
      </w:pPr>
      <w:r>
        <w:rPr>
          <w:rFonts w:ascii="Courier New" w:hAnsi="Courier New" w:eastAsia="Courier New" w:cs="Courier New"/>
          <w:color w:val="000000"/>
          <w:sz w:val="20"/>
        </w:rPr>
        <w:t xml:space="preserve">                    + WStock * stockCov</w:t>
      </w:r>
    </w:p>
    <w:p>
      <w:pPr>
        <w:pStyle w:val="CodeBlock"/>
      </w:pPr>
      <w:r>
        <w:rPr>
          <w:rFonts w:ascii="Courier New" w:hAnsi="Courier New" w:eastAsia="Courier New" w:cs="Courier New"/>
          <w:color w:val="000000"/>
          <w:sz w:val="20"/>
        </w:rPr>
        <w:t xml:space="preserve">                    + WPrice * priceAdv</w:t>
      </w:r>
    </w:p>
    <w:p>
      <w:pPr>
        <w:pStyle w:val="CodeBlock"/>
      </w:pPr>
      <w:r>
        <w:rPr>
          <w:rFonts w:ascii="Courier New" w:hAnsi="Courier New" w:eastAsia="Courier New" w:cs="Courier New"/>
          <w:color w:val="000000"/>
          <w:sz w:val="20"/>
        </w:rPr>
        <w:t xml:space="preserve">                    + WLead * leadAdv;</w:t>
      </w:r>
    </w:p>
    <w:p>
      <w:r>
        <w:rPr>
          <w:rFonts w:ascii="Courier New" w:hAnsi="Courier New" w:eastAsia="Courier New" w:cs="Courier New"/>
          <w:b w:val="0"/>
          <w:color w:val="000000"/>
          <w:sz w:val="26"/>
        </w:rPr>
        <w:t>GenerateAllAsync</w:t>
      </w:r>
      <w:r>
        <w:rPr>
          <w:rFonts w:ascii="Times New Roman" w:hAnsi="Times New Roman" w:eastAsia="Times New Roman" w:cs="Times New Roman"/>
          <w:b w:val="0"/>
          <w:color w:val="000000"/>
          <w:sz w:val="28"/>
        </w:rPr>
        <w:t xml:space="preserve"> считает четыре стратегии подряд на одних и тех же входах, чтобы экран сравнения не смешивал разные снимки каталога, а экспорт в Excel и PDF выполняется ClosedXML и QuestPDF (A4, альбом) [26, 28]. Генератор переиспользуется при создании согласования и счёта, чтобы интерфейс, маржа и снимок счёта не расходились; если прайс изменится после согласования, шапка счёта остаётся авторитетной, а строки могут разойтись с себестоимостью. Это сознательный компромисс: пересчитывать снимок при каждой смене прайса значило бы менять уже согласованную сумму. Полный текст класса, из которого взяты листинги 5 и 6, приведён в приложении А.</w:t>
      </w:r>
    </w:p>
    <w:p>
      <w:pPr>
        <w:pStyle w:val="Heading2"/>
      </w:pPr>
      <w:r>
        <w:rPr>
          <w:rFonts w:ascii="Times New Roman" w:hAnsi="Times New Roman" w:eastAsia="Times New Roman" w:cs="Times New Roman"/>
          <w:b/>
          <w:color w:val="000000"/>
          <w:sz w:val="28"/>
        </w:rPr>
        <w:t>5.5 Согласование, счёт, заказ и приёмка</w:t>
      </w:r>
    </w:p>
    <w:p>
      <w:r>
        <w:rPr>
          <w:rFonts w:ascii="Times New Roman" w:hAnsi="Times New Roman" w:eastAsia="Times New Roman" w:cs="Times New Roman"/>
          <w:b w:val="0"/>
          <w:color w:val="000000"/>
          <w:sz w:val="28"/>
        </w:rPr>
        <w:t xml:space="preserve">Согласование создаётся из спецификации и выбранной стратегии КП, чтобы коммерческий блок видел ту же себестоимость, что и руководитель проекта на экране сравнения. Операция наценки считает продажную цену и маржу доменными методами </w:t>
      </w:r>
      <w:r>
        <w:rPr>
          <w:rFonts w:ascii="Courier New" w:hAnsi="Courier New" w:eastAsia="Courier New" w:cs="Courier New"/>
          <w:b w:val="0"/>
          <w:color w:val="000000"/>
          <w:sz w:val="26"/>
        </w:rPr>
        <w:t>Approval.CalcSellPrice</w:t>
      </w:r>
      <w:r>
        <w:rPr>
          <w:rFonts w:ascii="Times New Roman" w:hAnsi="Times New Roman" w:eastAsia="Times New Roman" w:cs="Times New Roman"/>
          <w:b w:val="0"/>
          <w:color w:val="000000"/>
          <w:sz w:val="28"/>
        </w:rPr>
        <w:t xml:space="preserve"> и </w:t>
      </w:r>
      <w:r>
        <w:rPr>
          <w:rFonts w:ascii="Courier New" w:hAnsi="Courier New" w:eastAsia="Courier New" w:cs="Courier New"/>
          <w:b w:val="0"/>
          <w:color w:val="000000"/>
          <w:sz w:val="26"/>
        </w:rPr>
        <w:t>CalcMarginPercent</w:t>
      </w:r>
      <w:r>
        <w:rPr>
          <w:rFonts w:ascii="Times New Roman" w:hAnsi="Times New Roman" w:eastAsia="Times New Roman" w:cs="Times New Roman"/>
          <w:b w:val="0"/>
          <w:color w:val="000000"/>
          <w:sz w:val="28"/>
        </w:rPr>
        <w:t xml:space="preserve">: цена клиенту равна себестоимости, умноженной на </w:t>
      </w:r>
      <w:r>
        <w:rPr>
          <w:rFonts w:ascii="Courier New" w:hAnsi="Courier New" w:eastAsia="Courier New" w:cs="Courier New"/>
          <w:b w:val="0"/>
          <w:color w:val="000000"/>
          <w:sz w:val="26"/>
        </w:rPr>
        <w:t>(1 + наценка / 100)</w:t>
      </w:r>
      <w:r>
        <w:rPr>
          <w:rFonts w:ascii="Times New Roman" w:hAnsi="Times New Roman" w:eastAsia="Times New Roman" w:cs="Times New Roman"/>
          <w:b w:val="0"/>
          <w:color w:val="000000"/>
          <w:sz w:val="28"/>
        </w:rPr>
        <w:t xml:space="preserve">, маржа равна </w:t>
      </w:r>
      <w:r>
        <w:rPr>
          <w:rFonts w:ascii="Courier New" w:hAnsi="Courier New" w:eastAsia="Courier New" w:cs="Courier New"/>
          <w:b w:val="0"/>
          <w:color w:val="000000"/>
          <w:sz w:val="26"/>
        </w:rPr>
        <w:t>(цена − себестоимость) / цена × 100</w:t>
      </w:r>
      <w:r>
        <w:rPr>
          <w:rFonts w:ascii="Times New Roman" w:hAnsi="Times New Roman" w:eastAsia="Times New Roman" w:cs="Times New Roman"/>
          <w:b w:val="0"/>
          <w:color w:val="000000"/>
          <w:sz w:val="28"/>
        </w:rPr>
        <w:t xml:space="preserve">. Формулы живут в сущности, а не в контроллере, чтобы HTTP-слой не стал вторым местом, где можно ошибиться знаком [11]. Решение по политике </w:t>
      </w:r>
      <w:r>
        <w:rPr>
          <w:rFonts w:ascii="Courier New" w:hAnsi="Courier New" w:eastAsia="Courier New" w:cs="Courier New"/>
          <w:b w:val="0"/>
          <w:color w:val="000000"/>
          <w:sz w:val="26"/>
        </w:rPr>
        <w:t>approve</w:t>
      </w:r>
      <w:r>
        <w:rPr>
          <w:rFonts w:ascii="Times New Roman" w:hAnsi="Times New Roman" w:eastAsia="Times New Roman" w:cs="Times New Roman"/>
          <w:b w:val="0"/>
          <w:color w:val="000000"/>
          <w:sz w:val="28"/>
        </w:rPr>
        <w:t xml:space="preserve"> при </w:t>
      </w:r>
      <w:r>
        <w:rPr>
          <w:rFonts w:ascii="Courier New" w:hAnsi="Courier New" w:eastAsia="Courier New" w:cs="Courier New"/>
          <w:b w:val="0"/>
          <w:color w:val="000000"/>
          <w:sz w:val="26"/>
        </w:rPr>
        <w:t>approved: true</w:t>
      </w:r>
      <w:r>
        <w:rPr>
          <w:rFonts w:ascii="Times New Roman" w:hAnsi="Times New Roman" w:eastAsia="Times New Roman" w:cs="Times New Roman"/>
          <w:b w:val="0"/>
          <w:color w:val="000000"/>
          <w:sz w:val="28"/>
        </w:rPr>
        <w:t xml:space="preserve"> сразу создаёт счёт с автором «Система (авто)». Согласование и счёт пишутся двумя сохранениями: сначала фиксируется решение, затем вызывается создание счёта. Повторный POST счёта идемпотентен по </w:t>
      </w:r>
      <w:r>
        <w:rPr>
          <w:rFonts w:ascii="Courier New" w:hAnsi="Courier New" w:eastAsia="Courier New" w:cs="Courier New"/>
          <w:b w:val="0"/>
          <w:color w:val="000000"/>
          <w:sz w:val="26"/>
        </w:rPr>
        <w:t>ApprovalId</w:t>
      </w:r>
      <w:r>
        <w:rPr>
          <w:rFonts w:ascii="Times New Roman" w:hAnsi="Times New Roman" w:eastAsia="Times New Roman" w:cs="Times New Roman"/>
          <w:b w:val="0"/>
          <w:color w:val="000000"/>
          <w:sz w:val="28"/>
        </w:rPr>
        <w:t xml:space="preserve"> и возвращает уже существующий документ, а </w:t>
      </w:r>
      <w:r>
        <w:rPr>
          <w:rFonts w:ascii="Courier New" w:hAnsi="Courier New" w:eastAsia="Courier New" w:cs="Courier New"/>
          <w:b w:val="0"/>
          <w:color w:val="000000"/>
          <w:sz w:val="26"/>
        </w:rPr>
        <w:t>resubmit</w:t>
      </w:r>
      <w:r>
        <w:rPr>
          <w:rFonts w:ascii="Times New Roman" w:hAnsi="Times New Roman" w:eastAsia="Times New Roman" w:cs="Times New Roman"/>
          <w:b w:val="0"/>
          <w:color w:val="000000"/>
          <w:sz w:val="28"/>
        </w:rPr>
        <w:t xml:space="preserve"> доступен только для отклонённого согласования, причём комментарий предыдущего отказа не стирается.</w:t>
      </w:r>
    </w:p>
    <w:p>
      <w:r>
        <w:rPr>
          <w:rFonts w:ascii="Times New Roman" w:hAnsi="Times New Roman" w:eastAsia="Times New Roman" w:cs="Times New Roman"/>
          <w:b w:val="0"/>
          <w:color w:val="000000"/>
          <w:sz w:val="28"/>
        </w:rPr>
        <w:t xml:space="preserve">Номер счёта имеет вид </w:t>
      </w:r>
      <w:r>
        <w:rPr>
          <w:rFonts w:ascii="Courier New" w:hAnsi="Courier New" w:eastAsia="Courier New" w:cs="Courier New"/>
          <w:b w:val="0"/>
          <w:color w:val="000000"/>
          <w:sz w:val="26"/>
        </w:rPr>
        <w:t>NOC-год-NNN</w:t>
      </w:r>
      <w:r>
        <w:rPr>
          <w:rFonts w:ascii="Times New Roman" w:hAnsi="Times New Roman" w:eastAsia="Times New Roman" w:cs="Times New Roman"/>
          <w:b w:val="0"/>
          <w:color w:val="000000"/>
          <w:sz w:val="28"/>
        </w:rPr>
        <w:t xml:space="preserve"> и выдаётся последовательно по префиксу текущего года, а строки счёта являются снимком согласованного варианта КП, потому что смена прайса не должна переписывать уже выставленную сумму. Вложения подчинены политике бухгалтерии и ограничены по размеру, чтобы журнал документов не превратился в файловое хранилище произвольных вложений. Переход статуса разрешён только на следующий шаг линейной цепочки; «Отменён» допустим из любого не финального состояния. Правило роли и правило линейности разведены специально, что видно в листинге 7. </w:t>
      </w:r>
      <w:r>
        <w:rPr>
          <w:rFonts w:ascii="Courier New" w:hAnsi="Courier New" w:eastAsia="Courier New" w:cs="Courier New"/>
          <w:b w:val="0"/>
          <w:color w:val="000000"/>
          <w:sz w:val="26"/>
        </w:rPr>
        <w:t>ActorMaySet</w:t>
      </w:r>
      <w:r>
        <w:rPr>
          <w:rFonts w:ascii="Times New Roman" w:hAnsi="Times New Roman" w:eastAsia="Times New Roman" w:cs="Times New Roman"/>
          <w:b w:val="0"/>
          <w:color w:val="000000"/>
          <w:sz w:val="28"/>
        </w:rPr>
        <w:t xml:space="preserve"> отвечает на вопрос «кто имеет право поставить эту стадию»: «Согласован» ставит коммерческий блок (</w:t>
      </w:r>
      <w:r>
        <w:rPr>
          <w:rFonts w:ascii="Courier New" w:hAnsi="Courier New" w:eastAsia="Courier New" w:cs="Courier New"/>
          <w:b w:val="0"/>
          <w:color w:val="000000"/>
          <w:sz w:val="26"/>
        </w:rPr>
        <w:t>CanApprove</w:t>
      </w:r>
      <w:r>
        <w:rPr>
          <w:rFonts w:ascii="Times New Roman" w:hAnsi="Times New Roman" w:eastAsia="Times New Roman" w:cs="Times New Roman"/>
          <w:b w:val="0"/>
          <w:color w:val="000000"/>
          <w:sz w:val="28"/>
        </w:rPr>
        <w:t>), последующие включая отмену выставляет бухгалтерия (</w:t>
      </w:r>
      <w:r>
        <w:rPr>
          <w:rFonts w:ascii="Courier New" w:hAnsi="Courier New" w:eastAsia="Courier New" w:cs="Courier New"/>
          <w:b w:val="0"/>
          <w:color w:val="000000"/>
          <w:sz w:val="26"/>
        </w:rPr>
        <w:t>CanPostPayment</w:t>
      </w:r>
      <w:r>
        <w:rPr>
          <w:rFonts w:ascii="Times New Roman" w:hAnsi="Times New Roman" w:eastAsia="Times New Roman" w:cs="Times New Roman"/>
          <w:b w:val="0"/>
          <w:color w:val="000000"/>
          <w:sz w:val="28"/>
        </w:rPr>
        <w:t xml:space="preserve">), системный актор склада не ограничивается. </w:t>
      </w:r>
      <w:r>
        <w:rPr>
          <w:rFonts w:ascii="Courier New" w:hAnsi="Courier New" w:eastAsia="Courier New" w:cs="Courier New"/>
          <w:b w:val="0"/>
          <w:color w:val="000000"/>
          <w:sz w:val="26"/>
        </w:rPr>
        <w:t>CanTransitionTo</w:t>
      </w:r>
      <w:r>
        <w:rPr>
          <w:rFonts w:ascii="Times New Roman" w:hAnsi="Times New Roman" w:eastAsia="Times New Roman" w:cs="Times New Roman"/>
          <w:b w:val="0"/>
          <w:color w:val="000000"/>
          <w:sz w:val="28"/>
        </w:rPr>
        <w:t xml:space="preserve"> отвечает на другой вопрос, допустим ли шаг из текущего состояния, а отказ по роли даёт HTTP 403 и недопустимый переход даёт 409, чтобы клиент не путал «нет права» и «нельзя перепрыгнуть стадию».</w:t>
      </w:r>
    </w:p>
    <w:p>
      <w:pPr>
        <w:pStyle w:val="GOSTCaption"/>
        <w:keepNext/>
        <w:jc w:val="left"/>
      </w:pPr>
      <w:r>
        <w:rPr>
          <w:rFonts w:ascii="Times New Roman" w:hAnsi="Times New Roman" w:eastAsia="Times New Roman" w:cs="Times New Roman"/>
          <w:b w:val="0"/>
          <w:color w:val="000000"/>
          <w:sz w:val="28"/>
        </w:rPr>
        <w:t>Листинг 7 – Допустимый переход стадии счёта и проверка роли</w:t>
      </w:r>
    </w:p>
    <w:p>
      <w:pPr>
        <w:pStyle w:val="CodeBlock"/>
      </w:pPr>
      <w:r>
        <w:rPr>
          <w:rFonts w:ascii="Courier New" w:hAnsi="Courier New" w:eastAsia="Courier New" w:cs="Courier New"/>
          <w:color w:val="000000"/>
          <w:sz w:val="20"/>
        </w:rPr>
        <w:t xml:space="preserve">    public bool CanTransitionTo(InvoiceStatus target)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if (target == InvoiceStatus.Отменён)</w:t>
      </w:r>
    </w:p>
    <w:p>
      <w:pPr>
        <w:pStyle w:val="CodeBlock"/>
      </w:pPr>
      <w:r>
        <w:rPr>
          <w:rFonts w:ascii="Courier New" w:hAnsi="Courier New" w:eastAsia="Courier New" w:cs="Courier New"/>
          <w:color w:val="000000"/>
          <w:sz w:val="20"/>
        </w:rPr>
        <w:t xml:space="preserve">            return Status != InvoiceStatus.Отменён &amp;&amp; Status != InvoiceStatus.ОтраженоВ1С;</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ci = Array.IndexOf(LinearFlow, Status);</w:t>
      </w:r>
    </w:p>
    <w:p>
      <w:pPr>
        <w:pStyle w:val="CodeBlock"/>
      </w:pPr>
      <w:r>
        <w:rPr>
          <w:rFonts w:ascii="Courier New" w:hAnsi="Courier New" w:eastAsia="Courier New" w:cs="Courier New"/>
          <w:color w:val="000000"/>
          <w:sz w:val="20"/>
        </w:rPr>
        <w:t xml:space="preserve">        var ti = Array.IndexOf(LinearFlow, target);</w:t>
      </w:r>
    </w:p>
    <w:p>
      <w:pPr>
        <w:pStyle w:val="CodeBlock"/>
      </w:pPr>
      <w:r>
        <w:rPr>
          <w:rFonts w:ascii="Courier New" w:hAnsi="Courier New" w:eastAsia="Courier New" w:cs="Courier New"/>
          <w:color w:val="000000"/>
          <w:sz w:val="20"/>
        </w:rPr>
        <w:t xml:space="preserve">        return ci &gt;= 0 &amp;&amp; ti == ci + 1;   // строго следующая стадия</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public static bool ActorMaySet(InvoiceStatus target, InvoiceStatusActor actor)</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if (actor.IsSystem) return true;</w:t>
      </w:r>
    </w:p>
    <w:p>
      <w:pPr>
        <w:pStyle w:val="CodeBlock"/>
      </w:pPr>
      <w:r>
        <w:rPr>
          <w:rFonts w:ascii="Courier New" w:hAnsi="Courier New" w:eastAsia="Courier New" w:cs="Courier New"/>
          <w:color w:val="000000"/>
          <w:sz w:val="20"/>
        </w:rPr>
        <w:t xml:space="preserve">        if (target == InvoiceStatus.Согласован) return actor.CanApprove;</w:t>
      </w:r>
    </w:p>
    <w:p>
      <w:pPr>
        <w:pStyle w:val="CodeBlock"/>
      </w:pPr>
      <w:r>
        <w:rPr>
          <w:rFonts w:ascii="Courier New" w:hAnsi="Courier New" w:eastAsia="Courier New" w:cs="Courier New"/>
          <w:color w:val="000000"/>
          <w:sz w:val="20"/>
        </w:rPr>
        <w:t xml:space="preserve">        return actor.CanPostPayment;</w:t>
      </w:r>
    </w:p>
    <w:p>
      <w:pPr>
        <w:pStyle w:val="CodeBlock"/>
      </w:pPr>
      <w:r>
        <w:rPr>
          <w:rFonts w:ascii="Courier New" w:hAnsi="Courier New" w:eastAsia="Courier New" w:cs="Courier New"/>
          <w:color w:val="000000"/>
          <w:sz w:val="20"/>
        </w:rPr>
        <w:t xml:space="preserve">    }</w:t>
      </w:r>
    </w:p>
    <w:p>
      <w:r>
        <w:rPr>
          <w:rFonts w:ascii="Times New Roman" w:hAnsi="Times New Roman" w:eastAsia="Times New Roman" w:cs="Times New Roman"/>
          <w:b w:val="0"/>
          <w:color w:val="000000"/>
          <w:sz w:val="28"/>
        </w:rPr>
        <w:t xml:space="preserve">Заказ создаётся из стратегии КП, копирует строки и в той же операции уменьшает </w:t>
      </w:r>
      <w:r>
        <w:rPr>
          <w:rFonts w:ascii="Courier New" w:hAnsi="Courier New" w:eastAsia="Courier New" w:cs="Courier New"/>
          <w:b w:val="0"/>
          <w:color w:val="000000"/>
          <w:sz w:val="26"/>
        </w:rPr>
        <w:t>StockQuantity</w:t>
      </w:r>
      <w:r>
        <w:rPr>
          <w:rFonts w:ascii="Times New Roman" w:hAnsi="Times New Roman" w:eastAsia="Times New Roman" w:cs="Times New Roman"/>
          <w:b w:val="0"/>
          <w:color w:val="000000"/>
          <w:sz w:val="28"/>
        </w:rPr>
        <w:t>, потому что ТЗ связывает выбор варианта с резервом, а не с отдельным шагом «подтвердил поставщик». Остаток обрезается нулём (</w:t>
      </w:r>
      <w:r>
        <w:rPr>
          <w:rFonts w:ascii="Courier New" w:hAnsi="Courier New" w:eastAsia="Courier New" w:cs="Courier New"/>
          <w:b w:val="0"/>
          <w:color w:val="000000"/>
          <w:sz w:val="26"/>
        </w:rPr>
        <w:t>Math.Max(0, …)</w:t>
      </w:r>
      <w:r>
        <w:rPr>
          <w:rFonts w:ascii="Times New Roman" w:hAnsi="Times New Roman" w:eastAsia="Times New Roman" w:cs="Times New Roman"/>
          <w:b w:val="0"/>
          <w:color w:val="000000"/>
          <w:sz w:val="28"/>
        </w:rPr>
        <w:t xml:space="preserve">), поэтому отрицательное значение в витрину не попадает, хотя заказ при нулевом покрытии всё равно создаётся. Отмена идемпотентна: если статус уже </w:t>
      </w:r>
      <w:r>
        <w:rPr>
          <w:rFonts w:ascii="Courier New" w:hAnsi="Courier New" w:eastAsia="Courier New" w:cs="Courier New"/>
          <w:b w:val="0"/>
          <w:color w:val="000000"/>
          <w:sz w:val="26"/>
        </w:rPr>
        <w:t>Cancelled</w:t>
      </w:r>
      <w:r>
        <w:rPr>
          <w:rFonts w:ascii="Times New Roman" w:hAnsi="Times New Roman" w:eastAsia="Times New Roman" w:cs="Times New Roman"/>
          <w:b w:val="0"/>
          <w:color w:val="000000"/>
          <w:sz w:val="28"/>
        </w:rPr>
        <w:t xml:space="preserve">, резерв не возвращается второй раз, потому что повтор текущей стадии выходит до корректировки склада. Резерв на стадии </w:t>
      </w:r>
      <w:r>
        <w:rPr>
          <w:rFonts w:ascii="Courier New" w:hAnsi="Courier New" w:eastAsia="Courier New" w:cs="Courier New"/>
          <w:b w:val="0"/>
          <w:color w:val="000000"/>
          <w:sz w:val="26"/>
        </w:rPr>
        <w:t>Draft</w:t>
      </w:r>
      <w:r>
        <w:rPr>
          <w:rFonts w:ascii="Times New Roman" w:hAnsi="Times New Roman" w:eastAsia="Times New Roman" w:cs="Times New Roman"/>
          <w:b w:val="0"/>
          <w:color w:val="000000"/>
          <w:sz w:val="28"/>
        </w:rPr>
        <w:t xml:space="preserve"> упрощает учебный стенд: промышленный контур мог бы держать мягкую бронь до </w:t>
      </w:r>
      <w:r>
        <w:rPr>
          <w:rFonts w:ascii="Courier New" w:hAnsi="Courier New" w:eastAsia="Courier New" w:cs="Courier New"/>
          <w:b w:val="0"/>
          <w:color w:val="000000"/>
          <w:sz w:val="26"/>
        </w:rPr>
        <w:t>Placed</w:t>
      </w:r>
      <w:r>
        <w:rPr>
          <w:rFonts w:ascii="Times New Roman" w:hAnsi="Times New Roman" w:eastAsia="Times New Roman" w:cs="Times New Roman"/>
          <w:b w:val="0"/>
          <w:color w:val="000000"/>
          <w:sz w:val="28"/>
        </w:rPr>
        <w:t>, но тогда отмена черновика требовала бы отдельного события склада.</w:t>
      </w:r>
    </w:p>
    <w:p>
      <w:r>
        <w:rPr>
          <w:rFonts w:ascii="Times New Roman" w:hAnsi="Times New Roman" w:eastAsia="Times New Roman" w:cs="Times New Roman"/>
          <w:b w:val="0"/>
          <w:color w:val="000000"/>
          <w:sz w:val="28"/>
        </w:rPr>
        <w:t xml:space="preserve">Приёмка копирует строки заказа, после чего пользователь вводит факт, а проведение вызывает </w:t>
      </w:r>
      <w:r>
        <w:rPr>
          <w:rFonts w:ascii="Courier New" w:hAnsi="Courier New" w:eastAsia="Courier New" w:cs="Courier New"/>
          <w:b w:val="0"/>
          <w:color w:val="000000"/>
          <w:sz w:val="26"/>
        </w:rPr>
        <w:t>IWarehouseGateway</w:t>
      </w:r>
      <w:r>
        <w:rPr>
          <w:rFonts w:ascii="Times New Roman" w:hAnsi="Times New Roman" w:eastAsia="Times New Roman" w:cs="Times New Roman"/>
          <w:b w:val="0"/>
          <w:color w:val="000000"/>
          <w:sz w:val="28"/>
        </w:rPr>
        <w:t xml:space="preserve"> и </w:t>
      </w:r>
      <w:r>
        <w:rPr>
          <w:rFonts w:ascii="Courier New" w:hAnsi="Courier New" w:eastAsia="Courier New" w:cs="Courier New"/>
          <w:b w:val="0"/>
          <w:color w:val="000000"/>
          <w:sz w:val="26"/>
        </w:rPr>
        <w:t>IAccountingGateway</w:t>
      </w:r>
      <w:r>
        <w:rPr>
          <w:rFonts w:ascii="Times New Roman" w:hAnsi="Times New Roman" w:eastAsia="Times New Roman" w:cs="Times New Roman"/>
          <w:b w:val="0"/>
          <w:color w:val="000000"/>
          <w:sz w:val="28"/>
        </w:rPr>
        <w:t xml:space="preserve">. Идентификатор спецификации читается до вызова шлюзов, чтобы падение HTTP не оставило внешние системы с проведённой приёмкой без события. Стендовые адаптеры не обмениваются с реальными 1С/WMS и пишут собственные спаны </w:t>
      </w:r>
      <w:r>
        <w:rPr>
          <w:rFonts w:ascii="Courier New" w:hAnsi="Courier New" w:eastAsia="Courier New" w:cs="Courier New"/>
          <w:b w:val="0"/>
          <w:color w:val="000000"/>
          <w:sz w:val="26"/>
        </w:rPr>
        <w:t>integration.wms.receipt</w:t>
      </w:r>
      <w:r>
        <w:rPr>
          <w:rFonts w:ascii="Times New Roman" w:hAnsi="Times New Roman" w:eastAsia="Times New Roman" w:cs="Times New Roman"/>
          <w:b w:val="0"/>
          <w:color w:val="000000"/>
          <w:sz w:val="28"/>
        </w:rPr>
        <w:t xml:space="preserve"> и </w:t>
      </w:r>
      <w:r>
        <w:rPr>
          <w:rFonts w:ascii="Courier New" w:hAnsi="Courier New" w:eastAsia="Courier New" w:cs="Courier New"/>
          <w:b w:val="0"/>
          <w:color w:val="000000"/>
          <w:sz w:val="26"/>
        </w:rPr>
        <w:t>integration.1c.post</w:t>
      </w:r>
      <w:r>
        <w:rPr>
          <w:rFonts w:ascii="Times New Roman" w:hAnsi="Times New Roman" w:eastAsia="Times New Roman" w:cs="Times New Roman"/>
          <w:b w:val="0"/>
          <w:color w:val="000000"/>
          <w:sz w:val="28"/>
        </w:rPr>
        <w:t xml:space="preserve">. Вынесенный Logistics публикует </w:t>
      </w:r>
      <w:r>
        <w:rPr>
          <w:rFonts w:ascii="Courier New" w:hAnsi="Courier New" w:eastAsia="Courier New" w:cs="Courier New"/>
          <w:b w:val="0"/>
          <w:color w:val="000000"/>
          <w:sz w:val="26"/>
        </w:rPr>
        <w:t>GoodsReceiptCompleted</w:t>
      </w:r>
      <w:r>
        <w:rPr>
          <w:rFonts w:ascii="Times New Roman" w:hAnsi="Times New Roman" w:eastAsia="Times New Roman" w:cs="Times New Roman"/>
          <w:b w:val="0"/>
          <w:color w:val="000000"/>
          <w:sz w:val="28"/>
        </w:rPr>
        <w:t>; Commercial идемпотентно доводит счёт до «ПришёлНаСклад» и «ОтраженоВ1С».</w:t>
      </w:r>
    </w:p>
    <w:p>
      <w:pPr>
        <w:pStyle w:val="Heading2"/>
      </w:pPr>
      <w:r>
        <w:rPr>
          <w:rFonts w:ascii="Times New Roman" w:hAnsi="Times New Roman" w:eastAsia="Times New Roman" w:cs="Times New Roman"/>
          <w:b/>
          <w:color w:val="000000"/>
          <w:sz w:val="28"/>
        </w:rPr>
        <w:t>5.6 Безопасность и наблюдаемость</w:t>
      </w:r>
    </w:p>
    <w:p>
      <w:r>
        <w:rPr>
          <w:rFonts w:ascii="Times New Roman" w:hAnsi="Times New Roman" w:eastAsia="Times New Roman" w:cs="Times New Roman"/>
          <w:b w:val="0"/>
          <w:color w:val="000000"/>
          <w:sz w:val="28"/>
        </w:rPr>
        <w:t xml:space="preserve">Политики авторизации заданы явно в каждом хосте, который принимает JWT, потому что вынесенный сервис не должен полагаться на то, что шлюз уже проверил роль. Скрытие пунктов меню в SPA не заменяет серверную проверку: клиент может спрятать кнопку, сервер всё равно отвергнет чужую роль. Соответствие политик ролям и типичным операциям сведено в таблицу 30, чтобы было видно, какие операции закрыты одной политикой, а какие требуют дополнительного правила в домене. Политика </w:t>
      </w:r>
      <w:r>
        <w:rPr>
          <w:rFonts w:ascii="Courier New" w:hAnsi="Courier New" w:eastAsia="Courier New" w:cs="Courier New"/>
          <w:b w:val="0"/>
          <w:color w:val="000000"/>
          <w:sz w:val="26"/>
        </w:rPr>
        <w:t>setInvoiceStatus</w:t>
      </w:r>
      <w:r>
        <w:rPr>
          <w:rFonts w:ascii="Times New Roman" w:hAnsi="Times New Roman" w:eastAsia="Times New Roman" w:cs="Times New Roman"/>
          <w:b w:val="0"/>
          <w:color w:val="000000"/>
          <w:sz w:val="28"/>
        </w:rPr>
        <w:t xml:space="preserve"> выдана и коммерческому блоку, и бухгалтерии, а тонкое разграничение стадий оставлено домену (листинг 7), чтобы не плодить отдельную политику на каждую ступень цепочки.</w:t>
      </w:r>
    </w:p>
    <w:p>
      <w:pPr>
        <w:pStyle w:val="GOSTCaption"/>
        <w:keepNext/>
        <w:jc w:val="left"/>
      </w:pPr>
      <w:r>
        <w:rPr>
          <w:rFonts w:ascii="Times New Roman" w:hAnsi="Times New Roman" w:eastAsia="Times New Roman" w:cs="Times New Roman"/>
          <w:b w:val="0"/>
          <w:color w:val="000000"/>
          <w:sz w:val="28"/>
        </w:rPr>
        <w:t>Таблица 30 – Политики авторизации</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val="true"/>
          <w:tblHeader w:val="true"/>
        </w:trPr>
        <w:tc>
          <w:tcPr>
            <w:tcW w:type="dxa" w:w="3834"/>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Политика</w:t>
            </w:r>
          </w:p>
        </w:tc>
        <w:tc>
          <w:tcPr>
            <w:tcW w:type="dxa" w:w="2696"/>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Роли</w:t>
            </w:r>
          </w:p>
        </w:tc>
        <w:tc>
          <w:tcPr>
            <w:tcW w:type="dxa" w:w="2825"/>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Примеры операций</w:t>
            </w:r>
          </w:p>
        </w:tc>
      </w:tr>
      <w:tr>
        <w:trPr>
          <w:cantSplit w:val="true"/>
        </w:trPr>
        <w:tc>
          <w:tcPr>
            <w:tcW w:type="dxa" w:w="3834"/>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read</w:t>
            </w:r>
          </w:p>
        </w:tc>
        <w:tc>
          <w:tcPr>
            <w:tcW w:type="dxa" w:w="269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шесть ролей</w:t>
            </w:r>
          </w:p>
        </w:tc>
        <w:tc>
          <w:tcPr>
            <w:tcW w:type="dxa" w:w="282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GET, поиск и генерация КП</w:t>
            </w:r>
          </w:p>
        </w:tc>
      </w:tr>
      <w:tr>
        <w:trPr>
          <w:cantSplit w:val="true"/>
        </w:trPr>
        <w:tc>
          <w:tcPr>
            <w:tcW w:type="dxa" w:w="3834"/>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write</w:t>
            </w:r>
          </w:p>
        </w:tc>
        <w:tc>
          <w:tcPr>
            <w:tcW w:type="dxa" w:w="269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manager, admin</w:t>
            </w:r>
          </w:p>
        </w:tc>
        <w:tc>
          <w:tcPr>
            <w:tcW w:type="dxa" w:w="282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каталог, прайсы, заявки, заказ</w:t>
            </w:r>
          </w:p>
        </w:tc>
      </w:tr>
      <w:tr>
        <w:trPr>
          <w:cantSplit w:val="true"/>
        </w:trPr>
        <w:tc>
          <w:tcPr>
            <w:tcW w:type="dxa" w:w="3834"/>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approve</w:t>
            </w:r>
          </w:p>
        </w:tc>
        <w:tc>
          <w:tcPr>
            <w:tcW w:type="dxa" w:w="269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commercial, admin</w:t>
            </w:r>
          </w:p>
        </w:tc>
        <w:tc>
          <w:tcPr>
            <w:tcW w:type="dxa" w:w="282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решение по КП</w:t>
            </w:r>
          </w:p>
        </w:tc>
      </w:tr>
      <w:tr>
        <w:trPr>
          <w:cantSplit w:val="true"/>
        </w:trPr>
        <w:tc>
          <w:tcPr>
            <w:tcW w:type="dxa" w:w="3834"/>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postPayment</w:t>
            </w:r>
          </w:p>
        </w:tc>
        <w:tc>
          <w:tcPr>
            <w:tcW w:type="dxa" w:w="269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accounting, admin</w:t>
            </w:r>
          </w:p>
        </w:tc>
        <w:tc>
          <w:tcPr>
            <w:tcW w:type="dxa" w:w="282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документы счёта</w:t>
            </w:r>
          </w:p>
        </w:tc>
      </w:tr>
      <w:tr>
        <w:trPr>
          <w:cantSplit w:val="true"/>
        </w:trPr>
        <w:tc>
          <w:tcPr>
            <w:tcW w:type="dxa" w:w="3834"/>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setInvoiceStatus</w:t>
            </w:r>
          </w:p>
        </w:tc>
        <w:tc>
          <w:tcPr>
            <w:tcW w:type="dxa" w:w="269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commercial, accounting, admin</w:t>
            </w:r>
          </w:p>
        </w:tc>
        <w:tc>
          <w:tcPr>
            <w:tcW w:type="dxa" w:w="282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смена стадии счёта</w:t>
            </w:r>
          </w:p>
        </w:tc>
      </w:tr>
      <w:tr>
        <w:trPr>
          <w:cantSplit w:val="true"/>
        </w:trPr>
        <w:tc>
          <w:tcPr>
            <w:tcW w:type="dxa" w:w="3834"/>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receive</w:t>
            </w:r>
          </w:p>
        </w:tc>
        <w:tc>
          <w:tcPr>
            <w:tcW w:type="dxa" w:w="269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warehouse, admin</w:t>
            </w:r>
          </w:p>
        </w:tc>
        <w:tc>
          <w:tcPr>
            <w:tcW w:type="dxa" w:w="282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приёмка</w:t>
            </w:r>
          </w:p>
        </w:tc>
      </w:tr>
      <w:tr>
        <w:trPr>
          <w:cantSplit w:val="true"/>
        </w:trPr>
        <w:tc>
          <w:tcPr>
            <w:tcW w:type="dxa" w:w="3834"/>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admin</w:t>
            </w:r>
          </w:p>
        </w:tc>
        <w:tc>
          <w:tcPr>
            <w:tcW w:type="dxa" w:w="269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admin</w:t>
            </w:r>
          </w:p>
        </w:tc>
        <w:tc>
          <w:tcPr>
            <w:tcW w:type="dxa" w:w="282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аудит, seed, reset, reindex</w:t>
            </w:r>
          </w:p>
        </w:tc>
      </w:tr>
    </w:tbl>
    <w:p>
      <w:pPr>
        <w:spacing w:after="0"/>
      </w:pPr>
    </w:p>
    <w:p>
      <w:r>
        <w:rPr>
          <w:rFonts w:ascii="Courier New" w:hAnsi="Courier New" w:eastAsia="Courier New" w:cs="Courier New"/>
          <w:b w:val="0"/>
          <w:color w:val="000000"/>
          <w:sz w:val="26"/>
        </w:rPr>
        <w:t>AuditMiddleware</w:t>
      </w:r>
      <w:r>
        <w:rPr>
          <w:rFonts w:ascii="Times New Roman" w:hAnsi="Times New Roman" w:eastAsia="Times New Roman" w:cs="Times New Roman"/>
          <w:b w:val="0"/>
          <w:color w:val="000000"/>
          <w:sz w:val="28"/>
        </w:rPr>
        <w:t xml:space="preserve"> фиксирует аутентифицированные POST, PUT, DELETE и PATCH после обработки запроса и глотает собственные сбои, чтобы журнал не ломал основную операцию. Этого недостаточно для ответа на вопрос «что именно изменилось»: middleware знает метод, путь и код ответа, но не значения полей. Перехватчик EF </w:t>
      </w:r>
      <w:r>
        <w:rPr>
          <w:rFonts w:ascii="Courier New" w:hAnsi="Courier New" w:eastAsia="Courier New" w:cs="Courier New"/>
          <w:b w:val="0"/>
          <w:color w:val="000000"/>
          <w:sz w:val="26"/>
        </w:rPr>
        <w:t>AuditSaveChangesInterceptor</w:t>
      </w:r>
      <w:r>
        <w:rPr>
          <w:rFonts w:ascii="Times New Roman" w:hAnsi="Times New Roman" w:eastAsia="Times New Roman" w:cs="Times New Roman"/>
          <w:b w:val="0"/>
          <w:color w:val="000000"/>
          <w:sz w:val="28"/>
        </w:rPr>
        <w:t xml:space="preserve"> дополнительно пишет «было → стало» для Discount, Order, Invoice, Approval, GoodsReceipt и PriceListItem. В листинге 8 видно, почему массовый импорт не зашумляет журнал: новые офферы (</w:t>
      </w:r>
      <w:r>
        <w:rPr>
          <w:rFonts w:ascii="Courier New" w:hAnsi="Courier New" w:eastAsia="Courier New" w:cs="Courier New"/>
          <w:b w:val="0"/>
          <w:color w:val="000000"/>
          <w:sz w:val="26"/>
        </w:rPr>
        <w:t>Added</w:t>
      </w:r>
      <w:r>
        <w:rPr>
          <w:rFonts w:ascii="Times New Roman" w:hAnsi="Times New Roman" w:eastAsia="Times New Roman" w:cs="Times New Roman"/>
          <w:b w:val="0"/>
          <w:color w:val="000000"/>
          <w:sz w:val="28"/>
        </w:rPr>
        <w:t xml:space="preserve"> + </w:t>
      </w:r>
      <w:r>
        <w:rPr>
          <w:rFonts w:ascii="Courier New" w:hAnsi="Courier New" w:eastAsia="Courier New" w:cs="Courier New"/>
          <w:b w:val="0"/>
          <w:color w:val="000000"/>
          <w:sz w:val="26"/>
        </w:rPr>
        <w:t>PriceListItem</w:t>
      </w:r>
      <w:r>
        <w:rPr>
          <w:rFonts w:ascii="Times New Roman" w:hAnsi="Times New Roman" w:eastAsia="Times New Roman" w:cs="Times New Roman"/>
          <w:b w:val="0"/>
          <w:color w:val="000000"/>
          <w:sz w:val="28"/>
        </w:rPr>
        <w:t>) пропускаются, их цену фиксирует история цен, а в аудит попадают только изменения существующих офферов. Бинарные свойства не сериализуются, ретенция журнала составляет 1095 дней, а полный текст перехватчика приведён в приложении Б.</w:t>
      </w:r>
    </w:p>
    <w:p>
      <w:pPr>
        <w:pStyle w:val="GOSTCaption"/>
        <w:keepNext/>
        <w:jc w:val="left"/>
      </w:pPr>
      <w:r>
        <w:rPr>
          <w:rFonts w:ascii="Times New Roman" w:hAnsi="Times New Roman" w:eastAsia="Times New Roman" w:cs="Times New Roman"/>
          <w:b w:val="0"/>
          <w:color w:val="000000"/>
          <w:sz w:val="28"/>
        </w:rPr>
        <w:t>Листинг 8 – Перехватчик аудита «было → стало»</w:t>
      </w:r>
    </w:p>
    <w:p>
      <w:pPr>
        <w:pStyle w:val="CodeBlock"/>
      </w:pPr>
      <w:r>
        <w:rPr>
          <w:rFonts w:ascii="Courier New" w:hAnsi="Courier New" w:eastAsia="Courier New" w:cs="Courier New"/>
          <w:color w:val="000000"/>
          <w:sz w:val="20"/>
        </w:rPr>
        <w:t xml:space="preserve">        var changes = db.ChangeTracker.Entries()</w:t>
      </w:r>
    </w:p>
    <w:p>
      <w:pPr>
        <w:pStyle w:val="CodeBlock"/>
      </w:pPr>
      <w:r>
        <w:rPr>
          <w:rFonts w:ascii="Courier New" w:hAnsi="Courier New" w:eastAsia="Courier New" w:cs="Courier New"/>
          <w:color w:val="000000"/>
          <w:sz w:val="20"/>
        </w:rPr>
        <w:t xml:space="preserve">            .Where(e =&gt; AuditedEntities.Contains(e.Metadata.ClrType.Name)</w:t>
      </w:r>
    </w:p>
    <w:p>
      <w:pPr>
        <w:pStyle w:val="CodeBlock"/>
      </w:pPr>
      <w:r>
        <w:rPr>
          <w:rFonts w:ascii="Courier New" w:hAnsi="Courier New" w:eastAsia="Courier New" w:cs="Courier New"/>
          <w:color w:val="000000"/>
          <w:sz w:val="20"/>
        </w:rPr>
        <w:t xml:space="preserve">                        &amp;&amp; e.State is EntityState.Added or EntityState.Modified or EntityState.Deleted</w:t>
      </w:r>
    </w:p>
    <w:p>
      <w:pPr>
        <w:pStyle w:val="CodeBlock"/>
      </w:pPr>
      <w:r>
        <w:rPr>
          <w:rFonts w:ascii="Courier New" w:hAnsi="Courier New" w:eastAsia="Courier New" w:cs="Courier New"/>
          <w:color w:val="000000"/>
          <w:sz w:val="20"/>
        </w:rPr>
        <w:t xml:space="preserve">                        // …</w:t>
      </w:r>
    </w:p>
    <w:p>
      <w:pPr>
        <w:pStyle w:val="CodeBlock"/>
      </w:pPr>
      <w:r>
        <w:rPr>
          <w:rFonts w:ascii="Courier New" w:hAnsi="Courier New" w:eastAsia="Courier New" w:cs="Courier New"/>
          <w:color w:val="000000"/>
          <w:sz w:val="20"/>
        </w:rPr>
        <w:t xml:space="preserve">                        &amp;&amp; !(e.State == EntityState.Added &amp;&amp; e.Metadata.ClrType.Name == "PriceListItem"))</w:t>
      </w:r>
    </w:p>
    <w:p>
      <w:pPr>
        <w:pStyle w:val="CodeBlock"/>
      </w:pPr>
      <w:r>
        <w:rPr>
          <w:rFonts w:ascii="Courier New" w:hAnsi="Courier New" w:eastAsia="Courier New" w:cs="Courier New"/>
          <w:color w:val="000000"/>
          <w:sz w:val="20"/>
        </w:rPr>
        <w:t xml:space="preserve">            .SelectMany(e =&gt; ChangedProperties(e).Select(p =&gt; new AuditChange(</w:t>
      </w:r>
    </w:p>
    <w:p>
      <w:pPr>
        <w:pStyle w:val="CodeBlock"/>
      </w:pPr>
      <w:r>
        <w:rPr>
          <w:rFonts w:ascii="Courier New" w:hAnsi="Courier New" w:eastAsia="Courier New" w:cs="Courier New"/>
          <w:color w:val="000000"/>
          <w:sz w:val="20"/>
        </w:rPr>
        <w:t xml:space="preserve">                e.Metadata.ClrType.Name,</w:t>
      </w:r>
    </w:p>
    <w:p>
      <w:pPr>
        <w:pStyle w:val="CodeBlock"/>
      </w:pPr>
      <w:r>
        <w:rPr>
          <w:rFonts w:ascii="Courier New" w:hAnsi="Courier New" w:eastAsia="Courier New" w:cs="Courier New"/>
          <w:color w:val="000000"/>
          <w:sz w:val="20"/>
        </w:rPr>
        <w:t xml:space="preserve">                EntityId(e),</w:t>
      </w:r>
    </w:p>
    <w:p>
      <w:pPr>
        <w:pStyle w:val="CodeBlock"/>
      </w:pPr>
      <w:r>
        <w:rPr>
          <w:rFonts w:ascii="Courier New" w:hAnsi="Courier New" w:eastAsia="Courier New" w:cs="Courier New"/>
          <w:color w:val="000000"/>
          <w:sz w:val="20"/>
        </w:rPr>
        <w:t xml:space="preserve">                p.Metadata.Name,</w:t>
      </w:r>
    </w:p>
    <w:p>
      <w:pPr>
        <w:pStyle w:val="CodeBlock"/>
      </w:pPr>
      <w:r>
        <w:rPr>
          <w:rFonts w:ascii="Courier New" w:hAnsi="Courier New" w:eastAsia="Courier New" w:cs="Courier New"/>
          <w:color w:val="000000"/>
          <w:sz w:val="20"/>
        </w:rPr>
        <w:t xml:space="preserve">                e.State == EntityState.Added ? null : FormatValue(p.OriginalValue),</w:t>
      </w:r>
    </w:p>
    <w:p>
      <w:pPr>
        <w:pStyle w:val="CodeBlock"/>
      </w:pPr>
      <w:r>
        <w:rPr>
          <w:rFonts w:ascii="Courier New" w:hAnsi="Courier New" w:eastAsia="Courier New" w:cs="Courier New"/>
          <w:color w:val="000000"/>
          <w:sz w:val="20"/>
        </w:rPr>
        <w:t xml:space="preserve">                e.State == EntityState.Deleted ? null : FormatValue(p.CurrentValue))))</w:t>
      </w:r>
    </w:p>
    <w:p>
      <w:pPr>
        <w:pStyle w:val="CodeBlock"/>
      </w:pPr>
      <w:r>
        <w:rPr>
          <w:rFonts w:ascii="Courier New" w:hAnsi="Courier New" w:eastAsia="Courier New" w:cs="Courier New"/>
          <w:color w:val="000000"/>
          <w:sz w:val="20"/>
        </w:rPr>
        <w:t xml:space="preserve">            .ToList();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if (changes.Count == 0)</w:t>
      </w:r>
    </w:p>
    <w:p>
      <w:pPr>
        <w:pStyle w:val="CodeBlock"/>
      </w:pPr>
      <w:r>
        <w:rPr>
          <w:rFonts w:ascii="Courier New" w:hAnsi="Courier New" w:eastAsia="Courier New" w:cs="Courier New"/>
          <w:color w:val="000000"/>
          <w:sz w:val="20"/>
        </w:rPr>
        <w:t xml:space="preserve">            return;</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db.Set&lt;AuditEntry&gt;().Add(new AuditEntry</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UserName = request.UserName,</w:t>
      </w:r>
    </w:p>
    <w:p>
      <w:pPr>
        <w:pStyle w:val="CodeBlock"/>
      </w:pPr>
      <w:r>
        <w:rPr>
          <w:rFonts w:ascii="Courier New" w:hAnsi="Courier New" w:eastAsia="Courier New" w:cs="Courier New"/>
          <w:color w:val="000000"/>
          <w:sz w:val="20"/>
        </w:rPr>
        <w:t xml:space="preserve">            Action = request.Action,</w:t>
      </w:r>
    </w:p>
    <w:p>
      <w:pPr>
        <w:pStyle w:val="CodeBlock"/>
      </w:pPr>
      <w:r>
        <w:rPr>
          <w:rFonts w:ascii="Courier New" w:hAnsi="Courier New" w:eastAsia="Courier New" w:cs="Courier New"/>
          <w:color w:val="000000"/>
          <w:sz w:val="20"/>
        </w:rPr>
        <w:t xml:space="preserve">            Path = request.Path,</w:t>
      </w:r>
    </w:p>
    <w:p>
      <w:pPr>
        <w:pStyle w:val="CodeBlock"/>
      </w:pPr>
      <w:r>
        <w:rPr>
          <w:rFonts w:ascii="Courier New" w:hAnsi="Courier New" w:eastAsia="Courier New" w:cs="Courier New"/>
          <w:color w:val="000000"/>
          <w:sz w:val="20"/>
        </w:rPr>
        <w:t xml:space="preserve">            StatusCode = 200,</w:t>
      </w:r>
    </w:p>
    <w:p>
      <w:pPr>
        <w:pStyle w:val="CodeBlock"/>
      </w:pPr>
      <w:r>
        <w:rPr>
          <w:rFonts w:ascii="Courier New" w:hAnsi="Courier New" w:eastAsia="Courier New" w:cs="Courier New"/>
          <w:color w:val="000000"/>
          <w:sz w:val="20"/>
        </w:rPr>
        <w:t xml:space="preserve">            OccurredAtUtc = request.OccurredAtUtc,</w:t>
      </w:r>
    </w:p>
    <w:p>
      <w:pPr>
        <w:pStyle w:val="CodeBlock"/>
      </w:pPr>
      <w:r>
        <w:rPr>
          <w:rFonts w:ascii="Courier New" w:hAnsi="Courier New" w:eastAsia="Courier New" w:cs="Courier New"/>
          <w:color w:val="000000"/>
          <w:sz w:val="20"/>
        </w:rPr>
        <w:t xml:space="preserve">            ChangesJson = JsonSerializer.Serialize(changes, JsonOptions)</w:t>
      </w:r>
    </w:p>
    <w:p>
      <w:pPr>
        <w:pStyle w:val="CodeBlock"/>
      </w:pPr>
      <w:r>
        <w:rPr>
          <w:rFonts w:ascii="Courier New" w:hAnsi="Courier New" w:eastAsia="Courier New" w:cs="Courier New"/>
          <w:color w:val="000000"/>
          <w:sz w:val="20"/>
        </w:rPr>
        <w:t xml:space="preserve">        });</w:t>
      </w:r>
    </w:p>
    <w:p>
      <w:r>
        <w:rPr>
          <w:rFonts w:ascii="Times New Roman" w:hAnsi="Times New Roman" w:eastAsia="Times New Roman" w:cs="Times New Roman"/>
          <w:b w:val="0"/>
          <w:color w:val="000000"/>
          <w:sz w:val="28"/>
        </w:rPr>
        <w:t xml:space="preserve">Наблюдаемость построена на Serilog и OpenTelemetry, чтобы один </w:t>
      </w:r>
      <w:r>
        <w:rPr>
          <w:rFonts w:ascii="Courier New" w:hAnsi="Courier New" w:eastAsia="Courier New" w:cs="Courier New"/>
          <w:b w:val="0"/>
          <w:color w:val="000000"/>
          <w:sz w:val="26"/>
        </w:rPr>
        <w:t>TraceId</w:t>
      </w:r>
      <w:r>
        <w:rPr>
          <w:rFonts w:ascii="Times New Roman" w:hAnsi="Times New Roman" w:eastAsia="Times New Roman" w:cs="Times New Roman"/>
          <w:b w:val="0"/>
          <w:color w:val="000000"/>
          <w:sz w:val="28"/>
        </w:rPr>
        <w:t xml:space="preserve"> связывал HTTP-запрос, запись в PostgreSQL и публикацию в JetStream [23]. Трассируются ASP.NET Core, HttpClient, EF Core и NATS.Net, а собственные спаны названы </w:t>
      </w:r>
      <w:r>
        <w:rPr>
          <w:rFonts w:ascii="Courier New" w:hAnsi="Courier New" w:eastAsia="Courier New" w:cs="Courier New"/>
          <w:b w:val="0"/>
          <w:color w:val="000000"/>
          <w:sz w:val="26"/>
        </w:rPr>
        <w:t>quote.generate</w:t>
      </w:r>
      <w:r>
        <w:rPr>
          <w:rFonts w:ascii="Times New Roman" w:hAnsi="Times New Roman" w:eastAsia="Times New Roman" w:cs="Times New Roman"/>
          <w:b w:val="0"/>
          <w:color w:val="000000"/>
          <w:sz w:val="28"/>
        </w:rPr>
        <w:t xml:space="preserve">, </w:t>
      </w:r>
      <w:r>
        <w:rPr>
          <w:rFonts w:ascii="Courier New" w:hAnsi="Courier New" w:eastAsia="Courier New" w:cs="Courier New"/>
          <w:b w:val="0"/>
          <w:color w:val="000000"/>
          <w:sz w:val="26"/>
        </w:rPr>
        <w:t>index.product</w:t>
      </w:r>
      <w:r>
        <w:rPr>
          <w:rFonts w:ascii="Times New Roman" w:hAnsi="Times New Roman" w:eastAsia="Times New Roman" w:cs="Times New Roman"/>
          <w:b w:val="0"/>
          <w:color w:val="000000"/>
          <w:sz w:val="28"/>
        </w:rPr>
        <w:t xml:space="preserve">, </w:t>
      </w:r>
      <w:r>
        <w:rPr>
          <w:rFonts w:ascii="Courier New" w:hAnsi="Courier New" w:eastAsia="Courier New" w:cs="Courier New"/>
          <w:b w:val="0"/>
          <w:color w:val="000000"/>
          <w:sz w:val="26"/>
        </w:rPr>
        <w:t>integration.1c.post</w:t>
      </w:r>
      <w:r>
        <w:rPr>
          <w:rFonts w:ascii="Times New Roman" w:hAnsi="Times New Roman" w:eastAsia="Times New Roman" w:cs="Times New Roman"/>
          <w:b w:val="0"/>
          <w:color w:val="000000"/>
          <w:sz w:val="28"/>
        </w:rPr>
        <w:t xml:space="preserve">, </w:t>
      </w:r>
      <w:r>
        <w:rPr>
          <w:rFonts w:ascii="Courier New" w:hAnsi="Courier New" w:eastAsia="Courier New" w:cs="Courier New"/>
          <w:b w:val="0"/>
          <w:color w:val="000000"/>
          <w:sz w:val="26"/>
        </w:rPr>
        <w:t>integration.wms.receipt</w:t>
      </w:r>
      <w:r>
        <w:rPr>
          <w:rFonts w:ascii="Times New Roman" w:hAnsi="Times New Roman" w:eastAsia="Times New Roman" w:cs="Times New Roman"/>
          <w:b w:val="0"/>
          <w:color w:val="000000"/>
          <w:sz w:val="28"/>
        </w:rPr>
        <w:t xml:space="preserve"> и </w:t>
      </w:r>
      <w:r>
        <w:rPr>
          <w:rFonts w:ascii="Courier New" w:hAnsi="Courier New" w:eastAsia="Courier New" w:cs="Courier New"/>
          <w:b w:val="0"/>
          <w:color w:val="000000"/>
          <w:sz w:val="26"/>
        </w:rPr>
        <w:t>integration.email.send</w:t>
      </w:r>
      <w:r>
        <w:rPr>
          <w:rFonts w:ascii="Times New Roman" w:hAnsi="Times New Roman" w:eastAsia="Times New Roman" w:cs="Times New Roman"/>
          <w:b w:val="0"/>
          <w:color w:val="000000"/>
          <w:sz w:val="28"/>
        </w:rPr>
        <w:t xml:space="preserve">, потому что автоинструментация не видит прикладной смысл этих операций. Контекст проходит через NATS к Worker, поскольку без источника </w:t>
      </w:r>
      <w:r>
        <w:rPr>
          <w:rFonts w:ascii="Courier New" w:hAnsi="Courier New" w:eastAsia="Courier New" w:cs="Courier New"/>
          <w:b w:val="0"/>
          <w:color w:val="000000"/>
          <w:sz w:val="26"/>
        </w:rPr>
        <w:t>NATS.Net</w:t>
      </w:r>
      <w:r>
        <w:rPr>
          <w:rFonts w:ascii="Times New Roman" w:hAnsi="Times New Roman" w:eastAsia="Times New Roman" w:cs="Times New Roman"/>
          <w:b w:val="0"/>
          <w:color w:val="000000"/>
          <w:sz w:val="28"/>
        </w:rPr>
        <w:t xml:space="preserve"> трасса обрывалась бы на границе API и индексатора. Grafana LGTM на порту 3000 принимает OTLP и показывает эту цепочку без отдельного Jaeger.</w:t>
      </w:r>
    </w:p>
    <w:p>
      <w:pPr>
        <w:pStyle w:val="Heading2"/>
      </w:pPr>
      <w:r>
        <w:rPr>
          <w:rFonts w:ascii="Times New Roman" w:hAnsi="Times New Roman" w:eastAsia="Times New Roman" w:cs="Times New Roman"/>
          <w:b/>
          <w:color w:val="000000"/>
          <w:sz w:val="28"/>
        </w:rPr>
        <w:t>5.7 Интерфейс, уведомления и развёртывание</w:t>
      </w:r>
    </w:p>
    <w:p>
      <w:r>
        <w:rPr>
          <w:rFonts w:ascii="Times New Roman" w:hAnsi="Times New Roman" w:eastAsia="Times New Roman" w:cs="Times New Roman"/>
          <w:b w:val="0"/>
          <w:color w:val="000000"/>
          <w:sz w:val="28"/>
        </w:rPr>
        <w:t xml:space="preserve">Клиентское приложение собрано на React 19 и TypeScript, потому что рабочий кабинет должен оставаться типизированным SPA, а не набором серверных страниц [24]. Сборку даёт Vite, маршрутизацию React Router, кэш запросов TanStack Query, вход </w:t>
      </w:r>
      <w:r>
        <w:rPr>
          <w:rFonts w:ascii="Courier New" w:hAnsi="Courier New" w:eastAsia="Courier New" w:cs="Courier New"/>
          <w:b w:val="0"/>
          <w:color w:val="000000"/>
          <w:sz w:val="26"/>
        </w:rPr>
        <w:t>react-oidc-context</w:t>
      </w:r>
      <w:r>
        <w:rPr>
          <w:rFonts w:ascii="Times New Roman" w:hAnsi="Times New Roman" w:eastAsia="Times New Roman" w:cs="Times New Roman"/>
          <w:b w:val="0"/>
          <w:color w:val="000000"/>
          <w:sz w:val="28"/>
        </w:rPr>
        <w:t>; типизированный клиент передаёт access token в заголовке к шлюзу. Уведомления идут через колокольчик с опросом счётчика каждые 30 с (</w:t>
      </w:r>
      <w:r>
        <w:rPr>
          <w:rFonts w:ascii="Courier New" w:hAnsi="Courier New" w:eastAsia="Courier New" w:cs="Courier New"/>
          <w:b w:val="0"/>
          <w:color w:val="000000"/>
          <w:sz w:val="26"/>
        </w:rPr>
        <w:t>refetchInterval: 30_000</w:t>
      </w:r>
      <w:r>
        <w:rPr>
          <w:rFonts w:ascii="Times New Roman" w:hAnsi="Times New Roman" w:eastAsia="Times New Roman" w:cs="Times New Roman"/>
          <w:b w:val="0"/>
          <w:color w:val="000000"/>
          <w:sz w:val="28"/>
        </w:rPr>
        <w:t>) и через SMTP, а на стенде письма принимает MailHog, потому что корпоративный SMTP в учебном контуре недоступен. Корпоративный мессенджер не подключён и в ТЗ не требовался как обязательный канал.</w:t>
      </w:r>
    </w:p>
    <w:p>
      <w:r>
        <w:rPr>
          <w:rFonts w:ascii="Times New Roman" w:hAnsi="Times New Roman" w:eastAsia="Times New Roman" w:cs="Times New Roman"/>
          <w:b w:val="0"/>
          <w:color w:val="000000"/>
          <w:sz w:val="28"/>
        </w:rPr>
        <w:t>Контейнеры стенда и порты хоста сведены в таблицу 31, чтобы по одному взгляду было ясно, какой процесс слушает снаружи Compose. Matching вынесен на 5174, Retail на 5176: оба получают трафик в Docker через шлюз, хотя в ранней раскладке раздела их не выделяли отдельной строкой. Секреты стенда заданы значениями по умолчанию для локального запуска, потому что учебный контур не ходит во внешние облака. Compose не обеспечивает высокую доступность [25]: отказ узла или потеря тома на учебном стенде автоматически не отрабатывается.</w:t>
      </w:r>
    </w:p>
    <w:p>
      <w:pPr>
        <w:pStyle w:val="GOSTCaption"/>
        <w:keepNext/>
        <w:jc w:val="left"/>
      </w:pPr>
      <w:r>
        <w:rPr>
          <w:rFonts w:ascii="Times New Roman" w:hAnsi="Times New Roman" w:eastAsia="Times New Roman" w:cs="Times New Roman"/>
          <w:b w:val="0"/>
          <w:color w:val="000000"/>
          <w:sz w:val="28"/>
        </w:rPr>
        <w:t>Таблица 31 – Контейнеры стенда</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val="true"/>
          <w:tblHeader w:val="true"/>
        </w:trPr>
        <w:tc>
          <w:tcPr>
            <w:tcW w:type="dxa" w:w="3689"/>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Компонент</w:t>
            </w:r>
          </w:p>
        </w:tc>
        <w:tc>
          <w:tcPr>
            <w:tcW w:type="dxa" w:w="3689"/>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Функция</w:t>
            </w:r>
          </w:p>
        </w:tc>
        <w:tc>
          <w:tcPr>
            <w:tcW w:type="dxa" w:w="1977"/>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Порт хоста</w:t>
            </w:r>
          </w:p>
        </w:tc>
      </w:tr>
      <w:tr>
        <w:trPr>
          <w:cantSplit w:val="true"/>
        </w:trPr>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PostgreSQL</w:t>
            </w:r>
          </w:p>
        </w:tc>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данные и схемы сервисов</w:t>
            </w:r>
          </w:p>
        </w:tc>
        <w:tc>
          <w:tcPr>
            <w:tcW w:type="dxa" w:w="19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5433</w:t>
            </w:r>
          </w:p>
        </w:tc>
      </w:tr>
      <w:tr>
        <w:trPr>
          <w:cantSplit w:val="true"/>
        </w:trPr>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NATS JetStream</w:t>
            </w:r>
          </w:p>
        </w:tc>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события</w:t>
            </w:r>
          </w:p>
        </w:tc>
        <w:tc>
          <w:tcPr>
            <w:tcW w:type="dxa" w:w="19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4222</w:t>
            </w:r>
          </w:p>
        </w:tc>
      </w:tr>
      <w:tr>
        <w:trPr>
          <w:cantSplit w:val="true"/>
        </w:trPr>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Meilisearch</w:t>
            </w:r>
          </w:p>
        </w:tc>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индекс</w:t>
            </w:r>
          </w:p>
        </w:tc>
        <w:tc>
          <w:tcPr>
            <w:tcW w:type="dxa" w:w="19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7700</w:t>
            </w:r>
          </w:p>
        </w:tc>
      </w:tr>
      <w:tr>
        <w:trPr>
          <w:cantSplit w:val="true"/>
        </w:trPr>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Keycloak</w:t>
            </w:r>
          </w:p>
        </w:tc>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OIDC</w:t>
            </w:r>
          </w:p>
        </w:tc>
        <w:tc>
          <w:tcPr>
            <w:tcW w:type="dxa" w:w="19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8088</w:t>
            </w:r>
          </w:p>
        </w:tc>
      </w:tr>
      <w:tr>
        <w:trPr>
          <w:cantSplit w:val="true"/>
        </w:trPr>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Grafana LGTM</w:t>
            </w:r>
          </w:p>
        </w:tc>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трассы, логи, метрики</w:t>
            </w:r>
          </w:p>
        </w:tc>
        <w:tc>
          <w:tcPr>
            <w:tcW w:type="dxa" w:w="19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3000</w:t>
            </w:r>
          </w:p>
        </w:tc>
      </w:tr>
      <w:tr>
        <w:trPr>
          <w:cantSplit w:val="true"/>
        </w:trPr>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Gateway</w:t>
            </w:r>
          </w:p>
        </w:tc>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единый </w:t>
            </w:r>
            <w:r>
              <w:rPr>
                <w:rFonts w:ascii="Courier New" w:hAnsi="Courier New" w:eastAsia="Courier New" w:cs="Courier New"/>
                <w:b w:val="0"/>
                <w:color w:val="000000"/>
                <w:sz w:val="22"/>
              </w:rPr>
              <w:t>/api</w:t>
            </w:r>
          </w:p>
        </w:tc>
        <w:tc>
          <w:tcPr>
            <w:tcW w:type="dxa" w:w="19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5160</w:t>
            </w:r>
          </w:p>
        </w:tc>
      </w:tr>
      <w:tr>
        <w:trPr>
          <w:cantSplit w:val="true"/>
        </w:trPr>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Api</w:t>
            </w:r>
          </w:p>
        </w:tc>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монолит, catch-all</w:t>
            </w:r>
          </w:p>
        </w:tc>
        <w:tc>
          <w:tcPr>
            <w:tcW w:type="dxa" w:w="19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5165</w:t>
            </w:r>
          </w:p>
        </w:tc>
      </w:tr>
      <w:tr>
        <w:trPr>
          <w:cantSplit w:val="true"/>
        </w:trPr>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Auth</w:t>
            </w:r>
          </w:p>
        </w:tc>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вход, пользователи</w:t>
            </w:r>
          </w:p>
        </w:tc>
        <w:tc>
          <w:tcPr>
            <w:tcW w:type="dxa" w:w="19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5167</w:t>
            </w:r>
          </w:p>
        </w:tc>
      </w:tr>
      <w:tr>
        <w:trPr>
          <w:cantSplit w:val="true"/>
        </w:trPr>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Catalog</w:t>
            </w:r>
          </w:p>
        </w:tc>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каталог</w:t>
            </w:r>
          </w:p>
        </w:tc>
        <w:tc>
          <w:tcPr>
            <w:tcW w:type="dxa" w:w="19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5161</w:t>
            </w:r>
          </w:p>
        </w:tc>
      </w:tr>
      <w:tr>
        <w:trPr>
          <w:cantSplit w:val="true"/>
        </w:trPr>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Quoting</w:t>
            </w:r>
          </w:p>
        </w:tc>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спецификации и КП</w:t>
            </w:r>
          </w:p>
        </w:tc>
        <w:tc>
          <w:tcPr>
            <w:tcW w:type="dxa" w:w="19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5162</w:t>
            </w:r>
          </w:p>
        </w:tc>
      </w:tr>
      <w:tr>
        <w:trPr>
          <w:cantSplit w:val="true"/>
        </w:trPr>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Commercial</w:t>
            </w:r>
          </w:p>
        </w:tc>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согласования и счета</w:t>
            </w:r>
          </w:p>
        </w:tc>
        <w:tc>
          <w:tcPr>
            <w:tcW w:type="dxa" w:w="19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5163</w:t>
            </w:r>
          </w:p>
        </w:tc>
      </w:tr>
      <w:tr>
        <w:trPr>
          <w:cantSplit w:val="true"/>
        </w:trPr>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Ordering</w:t>
            </w:r>
          </w:p>
        </w:tc>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заказы</w:t>
            </w:r>
          </w:p>
        </w:tc>
        <w:tc>
          <w:tcPr>
            <w:tcW w:type="dxa" w:w="19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5164</w:t>
            </w:r>
          </w:p>
        </w:tc>
      </w:tr>
      <w:tr>
        <w:trPr>
          <w:cantSplit w:val="true"/>
        </w:trPr>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Logistics</w:t>
            </w:r>
          </w:p>
        </w:tc>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приёмка</w:t>
            </w:r>
          </w:p>
        </w:tc>
        <w:tc>
          <w:tcPr>
            <w:tcW w:type="dxa" w:w="19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5166</w:t>
            </w:r>
          </w:p>
        </w:tc>
      </w:tr>
      <w:tr>
        <w:trPr>
          <w:cantSplit w:val="true"/>
        </w:trPr>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Matching</w:t>
            </w:r>
          </w:p>
        </w:tc>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сопоставление спецификации</w:t>
            </w:r>
          </w:p>
        </w:tc>
        <w:tc>
          <w:tcPr>
            <w:tcW w:type="dxa" w:w="19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5174</w:t>
            </w:r>
          </w:p>
        </w:tc>
      </w:tr>
      <w:tr>
        <w:trPr>
          <w:cantSplit w:val="true"/>
        </w:trPr>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Notifications</w:t>
            </w:r>
          </w:p>
        </w:tc>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колокольчик и SMTP</w:t>
            </w:r>
          </w:p>
        </w:tc>
        <w:tc>
          <w:tcPr>
            <w:tcW w:type="dxa" w:w="19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5175</w:t>
            </w:r>
          </w:p>
        </w:tc>
      </w:tr>
      <w:tr>
        <w:trPr>
          <w:cantSplit w:val="true"/>
        </w:trPr>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Retail</w:t>
            </w:r>
          </w:p>
        </w:tc>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розничные витрины</w:t>
            </w:r>
          </w:p>
        </w:tc>
        <w:tc>
          <w:tcPr>
            <w:tcW w:type="dxa" w:w="19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5176</w:t>
            </w:r>
          </w:p>
        </w:tc>
      </w:tr>
      <w:tr>
        <w:trPr>
          <w:cantSplit w:val="true"/>
        </w:trPr>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MailHog</w:t>
            </w:r>
          </w:p>
        </w:tc>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SMTP-ловушка</w:t>
            </w:r>
          </w:p>
        </w:tc>
        <w:tc>
          <w:tcPr>
            <w:tcW w:type="dxa" w:w="19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1025 / UI 8025</w:t>
            </w:r>
          </w:p>
        </w:tc>
      </w:tr>
      <w:tr>
        <w:trPr>
          <w:cantSplit w:val="true"/>
        </w:trPr>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Frontend</w:t>
            </w:r>
          </w:p>
        </w:tc>
        <w:tc>
          <w:tcPr>
            <w:tcW w:type="dxa" w:w="368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SPA</w:t>
            </w:r>
          </w:p>
        </w:tc>
        <w:tc>
          <w:tcPr>
            <w:tcW w:type="dxa" w:w="1977"/>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5173</w:t>
            </w:r>
          </w:p>
        </w:tc>
      </w:tr>
    </w:tbl>
    <w:p>
      <w:pPr>
        <w:spacing w:after="0"/>
      </w:pPr>
    </w:p>
    <w:p>
      <w:pPr>
        <w:pStyle w:val="Heading2"/>
      </w:pPr>
      <w:r>
        <w:rPr>
          <w:rFonts w:ascii="Times New Roman" w:hAnsi="Times New Roman" w:eastAsia="Times New Roman" w:cs="Times New Roman"/>
          <w:b/>
          <w:color w:val="000000"/>
          <w:sz w:val="28"/>
        </w:rPr>
        <w:t>5.8 Соответствие техническому заданию</w:t>
      </w:r>
    </w:p>
    <w:p>
      <w:r>
        <w:rPr>
          <w:rFonts w:ascii="Times New Roman" w:hAnsi="Times New Roman" w:eastAsia="Times New Roman" w:cs="Times New Roman"/>
          <w:b w:val="0"/>
          <w:color w:val="000000"/>
          <w:sz w:val="28"/>
        </w:rPr>
        <w:t>Статус «готово» означает backend и живой экран с основным поведением, совпадающим с формулировкой ТЗ с учётом осознанных упрощений модели. «Частично» значит, что основной сценарий есть, но нет отдельных шагов, полей или каналов, которые ТЗ описывает рядом с ядром. «Мок» означает контракт без внешней системы: шлюз вызывается, обмен с 1С или WMS на стенде не идёт. Покрытие сценариев UC-01–UC-10 сведено в таблицу 32: частичные UC-07, UC-08 и UC-10 не отменяют закрытый MVP, потому что обязательный минимум §14 проверяется наличием процесса, а не полнотой корпоративной обвязки.</w:t>
      </w:r>
    </w:p>
    <w:p>
      <w:pPr>
        <w:pStyle w:val="GOSTCaption"/>
        <w:keepNext/>
        <w:jc w:val="left"/>
      </w:pPr>
      <w:r>
        <w:rPr>
          <w:rFonts w:ascii="Times New Roman" w:hAnsi="Times New Roman" w:eastAsia="Times New Roman" w:cs="Times New Roman"/>
          <w:b w:val="0"/>
          <w:color w:val="000000"/>
          <w:sz w:val="28"/>
        </w:rPr>
        <w:t>Таблица 32 – Покрытие сценариев UC-01–UC-10</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cantSplit w:val="true"/>
          <w:tblHeader w:val="true"/>
        </w:trPr>
        <w:tc>
          <w:tcPr>
            <w:tcW w:type="dxa" w:w="1384"/>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ID</w:t>
            </w:r>
          </w:p>
        </w:tc>
        <w:tc>
          <w:tcPr>
            <w:tcW w:type="dxa" w:w="2052"/>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Требование ТЗ</w:t>
            </w:r>
          </w:p>
        </w:tc>
        <w:tc>
          <w:tcPr>
            <w:tcW w:type="dxa" w:w="3675"/>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Реализация</w:t>
            </w:r>
          </w:p>
        </w:tc>
        <w:tc>
          <w:tcPr>
            <w:tcW w:type="dxa" w:w="2243"/>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Статус</w:t>
            </w:r>
          </w:p>
        </w:tc>
      </w:tr>
      <w:tr>
        <w:trPr>
          <w:cantSplit w:val="true"/>
        </w:trPr>
        <w:tc>
          <w:tcPr>
            <w:tcW w:type="dxa" w:w="138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UC-01</w:t>
            </w:r>
          </w:p>
        </w:tc>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загрузка прайса</w:t>
            </w:r>
          </w:p>
        </w:tc>
        <w:tc>
          <w:tcPr>
            <w:tcW w:type="dxa" w:w="3675"/>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/prices</w:t>
            </w:r>
            <w:r>
              <w:rPr>
                <w:rFonts w:ascii="Times New Roman" w:hAnsi="Times New Roman" w:eastAsia="Times New Roman" w:cs="Times New Roman"/>
                <w:b w:val="0"/>
                <w:color w:val="000000"/>
                <w:sz w:val="24"/>
              </w:rPr>
              <w:t xml:space="preserve">, </w:t>
            </w:r>
            <w:r>
              <w:rPr>
                <w:rFonts w:ascii="Courier New" w:hAnsi="Courier New" w:eastAsia="Courier New" w:cs="Courier New"/>
                <w:b w:val="0"/>
                <w:color w:val="000000"/>
                <w:sz w:val="22"/>
              </w:rPr>
              <w:t>POST /api/pricelist/import</w:t>
            </w:r>
          </w:p>
        </w:tc>
        <w:tc>
          <w:tcPr>
            <w:tcW w:type="dxa" w:w="224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готово</w:t>
            </w:r>
          </w:p>
        </w:tc>
      </w:tr>
      <w:tr>
        <w:trPr>
          <w:cantSplit w:val="true"/>
        </w:trPr>
        <w:tc>
          <w:tcPr>
            <w:tcW w:type="dxa" w:w="138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UC-02</w:t>
            </w:r>
          </w:p>
        </w:tc>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перечень проекта</w:t>
            </w:r>
          </w:p>
        </w:tc>
        <w:tc>
          <w:tcPr>
            <w:tcW w:type="dxa" w:w="367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спецификации и </w:t>
            </w:r>
            <w:r>
              <w:rPr>
                <w:rFonts w:ascii="Courier New" w:hAnsi="Courier New" w:eastAsia="Courier New" w:cs="Courier New"/>
                <w:b w:val="0"/>
                <w:color w:val="000000"/>
                <w:sz w:val="22"/>
              </w:rPr>
              <w:t>/quote</w:t>
            </w:r>
          </w:p>
        </w:tc>
        <w:tc>
          <w:tcPr>
            <w:tcW w:type="dxa" w:w="224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готово</w:t>
            </w:r>
          </w:p>
        </w:tc>
      </w:tr>
      <w:tr>
        <w:trPr>
          <w:cantSplit w:val="true"/>
        </w:trPr>
        <w:tc>
          <w:tcPr>
            <w:tcW w:type="dxa" w:w="138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UC-03</w:t>
            </w:r>
          </w:p>
        </w:tc>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скидки</w:t>
            </w:r>
          </w:p>
        </w:tc>
        <w:tc>
          <w:tcPr>
            <w:tcW w:type="dxa" w:w="3675"/>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/discounts</w:t>
            </w:r>
          </w:p>
        </w:tc>
        <w:tc>
          <w:tcPr>
            <w:tcW w:type="dxa" w:w="224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готово</w:t>
            </w:r>
          </w:p>
        </w:tc>
      </w:tr>
      <w:tr>
        <w:trPr>
          <w:cantSplit w:val="true"/>
        </w:trPr>
        <w:tc>
          <w:tcPr>
            <w:tcW w:type="dxa" w:w="138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UC-04</w:t>
            </w:r>
          </w:p>
        </w:tc>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выбор КП и резерв</w:t>
            </w:r>
          </w:p>
        </w:tc>
        <w:tc>
          <w:tcPr>
            <w:tcW w:type="dxa" w:w="367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сравнение, заказ</w:t>
            </w:r>
          </w:p>
        </w:tc>
        <w:tc>
          <w:tcPr>
            <w:tcW w:type="dxa" w:w="224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готово</w:t>
            </w:r>
          </w:p>
        </w:tc>
      </w:tr>
      <w:tr>
        <w:trPr>
          <w:cantSplit w:val="true"/>
        </w:trPr>
        <w:tc>
          <w:tcPr>
            <w:tcW w:type="dxa" w:w="138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UC-05</w:t>
            </w:r>
          </w:p>
        </w:tc>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передача в КБ</w:t>
            </w:r>
          </w:p>
        </w:tc>
        <w:tc>
          <w:tcPr>
            <w:tcW w:type="dxa" w:w="3675"/>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/approval</w:t>
            </w:r>
          </w:p>
        </w:tc>
        <w:tc>
          <w:tcPr>
            <w:tcW w:type="dxa" w:w="224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готово</w:t>
            </w:r>
          </w:p>
        </w:tc>
      </w:tr>
      <w:tr>
        <w:trPr>
          <w:cantSplit w:val="true"/>
        </w:trPr>
        <w:tc>
          <w:tcPr>
            <w:tcW w:type="dxa" w:w="138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UC-06</w:t>
            </w:r>
          </w:p>
        </w:tc>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согласование</w:t>
            </w:r>
          </w:p>
        </w:tc>
        <w:tc>
          <w:tcPr>
            <w:tcW w:type="dxa" w:w="3675"/>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POST /api/approvals/{id}/decision</w:t>
            </w:r>
          </w:p>
        </w:tc>
        <w:tc>
          <w:tcPr>
            <w:tcW w:type="dxa" w:w="224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готово</w:t>
            </w:r>
          </w:p>
        </w:tc>
      </w:tr>
      <w:tr>
        <w:trPr>
          <w:cantSplit w:val="true"/>
        </w:trPr>
        <w:tc>
          <w:tcPr>
            <w:tcW w:type="dxa" w:w="138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UC-07</w:t>
            </w:r>
          </w:p>
        </w:tc>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запись NOC</w:t>
            </w:r>
          </w:p>
        </w:tc>
        <w:tc>
          <w:tcPr>
            <w:tcW w:type="dxa" w:w="367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автосчёт</w:t>
            </w:r>
          </w:p>
        </w:tc>
        <w:tc>
          <w:tcPr>
            <w:tcW w:type="dxa" w:w="224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частично: нет круга согласователей</w:t>
            </w:r>
          </w:p>
        </w:tc>
      </w:tr>
      <w:tr>
        <w:trPr>
          <w:cantSplit w:val="true"/>
        </w:trPr>
        <w:tc>
          <w:tcPr>
            <w:tcW w:type="dxa" w:w="138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UC-08</w:t>
            </w:r>
          </w:p>
        </w:tc>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оплата</w:t>
            </w:r>
          </w:p>
        </w:tc>
        <w:tc>
          <w:tcPr>
            <w:tcW w:type="dxa" w:w="367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стадии и вложения</w:t>
            </w:r>
          </w:p>
        </w:tc>
        <w:tc>
          <w:tcPr>
            <w:tcW w:type="dxa" w:w="224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частично: нет проверки договора</w:t>
            </w:r>
          </w:p>
        </w:tc>
      </w:tr>
      <w:tr>
        <w:trPr>
          <w:cantSplit w:val="true"/>
        </w:trPr>
        <w:tc>
          <w:tcPr>
            <w:tcW w:type="dxa" w:w="138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UC-09</w:t>
            </w:r>
          </w:p>
        </w:tc>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приёмка</w:t>
            </w:r>
          </w:p>
        </w:tc>
        <w:tc>
          <w:tcPr>
            <w:tcW w:type="dxa" w:w="3675"/>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/warehouse</w:t>
            </w:r>
          </w:p>
        </w:tc>
        <w:tc>
          <w:tcPr>
            <w:tcW w:type="dxa" w:w="224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готово через шлюзы</w:t>
            </w:r>
          </w:p>
        </w:tc>
      </w:tr>
      <w:tr>
        <w:trPr>
          <w:cantSplit w:val="true"/>
        </w:trPr>
        <w:tc>
          <w:tcPr>
            <w:tcW w:type="dxa" w:w="138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UC-10</w:t>
            </w:r>
          </w:p>
        </w:tc>
        <w:tc>
          <w:tcPr>
            <w:tcW w:type="dxa" w:w="205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аналитика</w:t>
            </w:r>
          </w:p>
        </w:tc>
        <w:tc>
          <w:tcPr>
            <w:tcW w:type="dxa" w:w="3675"/>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/analytics</w:t>
            </w:r>
          </w:p>
        </w:tc>
        <w:tc>
          <w:tcPr>
            <w:tcW w:type="dxa" w:w="2243"/>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частично: нет периода, фильтров, экспорта</w:t>
            </w:r>
          </w:p>
        </w:tc>
      </w:tr>
    </w:tbl>
    <w:p>
      <w:pPr>
        <w:spacing w:after="0"/>
      </w:pPr>
    </w:p>
    <w:p>
      <w:r>
        <w:rPr>
          <w:rFonts w:ascii="Times New Roman" w:hAnsi="Times New Roman" w:eastAsia="Times New Roman" w:cs="Times New Roman"/>
          <w:b w:val="0"/>
          <w:color w:val="000000"/>
          <w:sz w:val="28"/>
        </w:rPr>
        <w:t>Обязательный MVP §14 закрыт на 11 из 11 функций, поэтому частичные строки таблицы 32 не означают, что сквозной процесс от Excel до приёмки отсутствует. Из желательных реализованы нечёткий поиск, аналоги и журнал; прямые API NOC и 1С заменены внутренним модулем и шлюзом, что совпадает с границей решения из раздела 3. Отдельный круг согласователей NOC, проверка договора и конструктор аналитических отчётов сознательно оставлены за пределами курсовой версии. Живой прогон этих сценариев разобран в разделе 6, а не повторяется здесь списком эндпоинтов.</w:t>
      </w:r>
    </w:p>
    <w:p>
      <w:pPr>
        <w:pStyle w:val="Heading1"/>
        <w:jc w:val="left"/>
      </w:pPr>
      <w:r>
        <w:rPr>
          <w:rFonts w:ascii="Times New Roman" w:hAnsi="Times New Roman" w:eastAsia="Times New Roman" w:cs="Times New Roman"/>
          <w:b/>
          <w:color w:val="000000"/>
          <w:sz w:val="28"/>
        </w:rPr>
        <w:t>6 ФУНКЦИОНАЛЬНОЕ ТЕСТИРОВАНИЕ РЕШЕНИЯ</w:t>
      </w:r>
    </w:p>
    <w:p>
      <w:r>
        <w:rPr>
          <w:rFonts w:ascii="Times New Roman" w:hAnsi="Times New Roman" w:eastAsia="Times New Roman" w:cs="Times New Roman"/>
          <w:b w:val="0"/>
          <w:color w:val="000000"/>
          <w:sz w:val="28"/>
        </w:rPr>
        <w:t xml:space="preserve">Проверка учебной версии опирается на три согласованных слоя, потому что ни один из них в одиночку не закрывает сквозной процесс ТЗ. Модульные тесты прикладной логики гоняются xUnit на EF Core InMemory и подтверждают доменные правила: переходы статусов, идемпотентность счёта, расчёт эффективной цены, отказ в отрицательном остатке. Ночной HTTP-прогон Docker-стенда 12.09.2026 закрыл 30 из 30 шагов и проверяет уже живой контур: PostgreSQL, NATS, Meilisearch, Keycloak, шлюз YARP и вынесенные сервисы. Протокол этого прогона лежит в </w:t>
      </w:r>
      <w:r>
        <w:rPr>
          <w:rFonts w:ascii="Courier New" w:hAnsi="Courier New" w:eastAsia="Courier New" w:cs="Courier New"/>
          <w:b w:val="0"/>
          <w:color w:val="000000"/>
          <w:sz w:val="26"/>
        </w:rPr>
        <w:t>tests/e2e/e2e_results_2026-09-12.txt</w:t>
      </w:r>
      <w:r>
        <w:rPr>
          <w:rFonts w:ascii="Times New Roman" w:hAnsi="Times New Roman" w:eastAsia="Times New Roman" w:cs="Times New Roman"/>
          <w:b w:val="0"/>
          <w:color w:val="000000"/>
          <w:sz w:val="28"/>
        </w:rPr>
        <w:t xml:space="preserve">. Скрипт </w:t>
      </w:r>
      <w:r>
        <w:rPr>
          <w:rFonts w:ascii="Courier New" w:hAnsi="Courier New" w:eastAsia="Courier New" w:cs="Courier New"/>
          <w:b w:val="0"/>
          <w:color w:val="000000"/>
          <w:sz w:val="26"/>
        </w:rPr>
        <w:t>tests/e2e/verify_services.py</w:t>
      </w:r>
      <w:r>
        <w:rPr>
          <w:rFonts w:ascii="Times New Roman" w:hAnsi="Times New Roman" w:eastAsia="Times New Roman" w:cs="Times New Roman"/>
          <w:b w:val="0"/>
          <w:color w:val="000000"/>
          <w:sz w:val="28"/>
        </w:rPr>
        <w:t xml:space="preserve"> проверяет префиксы вынесенных сервисов и catch-all монолита через шлюз и завершился 15 из 15.</w:t>
      </w:r>
    </w:p>
    <w:p>
      <w:r>
        <w:rPr>
          <w:rFonts w:ascii="Times New Roman" w:hAnsi="Times New Roman" w:eastAsia="Times New Roman" w:cs="Times New Roman"/>
          <w:b w:val="0"/>
          <w:color w:val="000000"/>
          <w:sz w:val="28"/>
        </w:rPr>
        <w:t xml:space="preserve">Актуальный прогон </w:t>
      </w:r>
      <w:r>
        <w:rPr>
          <w:rFonts w:ascii="Courier New" w:hAnsi="Courier New" w:eastAsia="Courier New" w:cs="Courier New"/>
          <w:b w:val="0"/>
          <w:color w:val="000000"/>
          <w:sz w:val="26"/>
        </w:rPr>
        <w:t>dotnet test</w:t>
      </w:r>
      <w:r>
        <w:rPr>
          <w:rFonts w:ascii="Times New Roman" w:hAnsi="Times New Roman" w:eastAsia="Times New Roman" w:cs="Times New Roman"/>
          <w:b w:val="0"/>
          <w:color w:val="000000"/>
          <w:sz w:val="28"/>
        </w:rPr>
        <w:t xml:space="preserve"> даёт 93 теста, из них 92 пройдено и 1 пропущен. Пропущенный кейс касается книги ClosedXML с безымянной картинкой и в памяти не воспроизводится; это ограничение тестового хоста, а не скрытый отказ импорта. InMemory не заменяет PostgreSQL, поэтому выводы о транзакциях, Outbox и поиске опираются на живой стенд: модульный слой не видит JetStream и не доказывает, что только что импортированный SKU находится через индекс. Функциональные тест-кейсы ниже составлены по шаблону методички; рядом с каждым приведены фактические результаты. Сценарии выбраны так, чтобы покрыть причинно-следственную цепочку раздела 1, а не случайный набор эндпоинтов: вход Excel, сравнимые КП, маршрут цены, роли счёта, снимок и аудит, остаток, поиск после импорта, однократная приёмка.</w:t>
      </w:r>
    </w:p>
    <w:p>
      <w:r>
        <w:rPr>
          <w:rFonts w:ascii="Times New Roman" w:hAnsi="Times New Roman" w:eastAsia="Times New Roman" w:cs="Times New Roman"/>
          <w:b w:val="0"/>
          <w:color w:val="000000"/>
          <w:sz w:val="28"/>
        </w:rPr>
        <w:t>Подтверждением считается не «экран открылся», а наблюдаемый контракт: код HTTP, тело сводки, идемпотентность повторного вызова, отказ 403 по роли и 409 по недопустимому переходу. Скриншоты фиксируют, что тот же результат виден оператору, но не заменяют протокол HTTP.</w:t>
      </w:r>
    </w:p>
    <w:p>
      <w:pPr>
        <w:pStyle w:val="Heading2"/>
      </w:pPr>
      <w:r>
        <w:rPr>
          <w:rFonts w:ascii="Times New Roman" w:hAnsi="Times New Roman" w:eastAsia="Times New Roman" w:cs="Times New Roman"/>
          <w:b/>
          <w:color w:val="000000"/>
          <w:sz w:val="28"/>
        </w:rPr>
        <w:t>6.1 Тест «Импорт прайса и диагностика»</w:t>
      </w:r>
    </w:p>
    <w:p>
      <w:r>
        <w:rPr>
          <w:rFonts w:ascii="Times New Roman" w:hAnsi="Times New Roman" w:eastAsia="Times New Roman" w:cs="Times New Roman"/>
          <w:b w:val="0"/>
          <w:color w:val="000000"/>
          <w:sz w:val="28"/>
        </w:rPr>
        <w:t>Импорт должен пережить и корректный Excel, и повреждённый файл, не превращая второе в необработанный HTTP 500. Этот сценарий закрывает риск «нестандартная структура Excel» из таблицы 19: если диагностика не работает, РП перестанет загружать файлы и вернётся к ручным книгам. Модульные тесты проверяют разбор колонок на фикстурах, но не доказывают, что живой Catalog за шлюзом архивирует оригинал и отдаёт товар поиску; условия, ожидание и шаги живого кейса сведены в таблицу 33.</w:t>
      </w:r>
    </w:p>
    <w:p>
      <w:pPr>
        <w:pStyle w:val="GOSTCaption"/>
        <w:keepNext/>
        <w:jc w:val="left"/>
      </w:pPr>
      <w:r>
        <w:rPr>
          <w:rFonts w:ascii="Times New Roman" w:hAnsi="Times New Roman" w:eastAsia="Times New Roman" w:cs="Times New Roman"/>
          <w:b w:val="0"/>
          <w:color w:val="000000"/>
          <w:sz w:val="28"/>
        </w:rPr>
        <w:t>Таблица 33 – Тест-кейс импорта</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2132"/>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Поле</w:t>
            </w:r>
          </w:p>
        </w:tc>
        <w:tc>
          <w:tcPr>
            <w:tcW w:type="dxa" w:w="7222"/>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Содержание</w:t>
            </w:r>
          </w:p>
        </w:tc>
      </w:tr>
      <w:tr>
        <w:trPr>
          <w:cantSplit w:val="true"/>
        </w:trPr>
        <w:tc>
          <w:tcPr>
            <w:tcW w:type="dxa" w:w="213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Набор входных данных</w:t>
            </w:r>
          </w:p>
        </w:tc>
        <w:tc>
          <w:tcPr>
            <w:tcW w:type="dxa" w:w="722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файл Excel с товарами на втором листе; отдельно — повреждённый файл; поставщик существует; токен роли </w:t>
            </w:r>
            <w:r>
              <w:rPr>
                <w:rFonts w:ascii="Courier New" w:hAnsi="Courier New" w:eastAsia="Courier New" w:cs="Courier New"/>
                <w:b w:val="0"/>
                <w:color w:val="000000"/>
                <w:sz w:val="22"/>
              </w:rPr>
              <w:t>manager</w:t>
            </w:r>
          </w:p>
        </w:tc>
      </w:tr>
      <w:tr>
        <w:trPr>
          <w:cantSplit w:val="true"/>
        </w:trPr>
        <w:tc>
          <w:tcPr>
            <w:tcW w:type="dxa" w:w="213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Ожидаемые результаты</w:t>
            </w:r>
          </w:p>
        </w:tc>
        <w:tc>
          <w:tcPr>
            <w:tcW w:type="dxa" w:w="722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HTTP 200, созданы товары, ошибки пусты для корректного файла; для повреждённого — HTTP 200 и сообщение «Структура файла не распознана», не HTTP 500</w:t>
            </w:r>
          </w:p>
        </w:tc>
      </w:tr>
      <w:tr>
        <w:trPr>
          <w:cantSplit w:val="true"/>
        </w:trPr>
        <w:tc>
          <w:tcPr>
            <w:tcW w:type="dxa" w:w="2132"/>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Выполняемые действия</w:t>
            </w:r>
          </w:p>
        </w:tc>
        <w:tc>
          <w:tcPr>
            <w:tcW w:type="dxa" w:w="7222"/>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POST /api/pricelist/import?vendorId=...</w:t>
            </w:r>
            <w:r>
              <w:rPr>
                <w:rFonts w:ascii="Times New Roman" w:hAnsi="Times New Roman" w:eastAsia="Times New Roman" w:cs="Times New Roman"/>
                <w:b w:val="0"/>
                <w:color w:val="000000"/>
                <w:sz w:val="24"/>
              </w:rPr>
              <w:t xml:space="preserve"> с multipart-файлом; затем </w:t>
            </w:r>
            <w:r>
              <w:rPr>
                <w:rFonts w:ascii="Courier New" w:hAnsi="Courier New" w:eastAsia="Courier New" w:cs="Courier New"/>
                <w:b w:val="0"/>
                <w:color w:val="000000"/>
                <w:sz w:val="22"/>
              </w:rPr>
              <w:t>GET /api/products?search=</w:t>
            </w:r>
          </w:p>
        </w:tc>
      </w:tr>
    </w:tbl>
    <w:p>
      <w:pPr>
        <w:spacing w:after="0"/>
      </w:pPr>
    </w:p>
    <w:p>
      <w:r>
        <w:rPr>
          <w:rFonts w:ascii="Times New Roman" w:hAnsi="Times New Roman" w:eastAsia="Times New Roman" w:cs="Times New Roman"/>
          <w:b w:val="0"/>
          <w:color w:val="000000"/>
          <w:sz w:val="28"/>
        </w:rPr>
        <w:t xml:space="preserve">Результат прогона 12.09.2026: корректный файл дал </w:t>
      </w:r>
      <w:r>
        <w:rPr>
          <w:rFonts w:ascii="Courier New" w:hAnsi="Courier New" w:eastAsia="Courier New" w:cs="Courier New"/>
          <w:b w:val="0"/>
          <w:color w:val="000000"/>
          <w:sz w:val="26"/>
        </w:rPr>
        <w:t>rows=2</w:t>
      </w:r>
      <w:r>
        <w:rPr>
          <w:rFonts w:ascii="Times New Roman" w:hAnsi="Times New Roman" w:eastAsia="Times New Roman" w:cs="Times New Roman"/>
          <w:b w:val="0"/>
          <w:color w:val="000000"/>
          <w:sz w:val="28"/>
        </w:rPr>
        <w:t xml:space="preserve">, </w:t>
      </w:r>
      <w:r>
        <w:rPr>
          <w:rFonts w:ascii="Courier New" w:hAnsi="Courier New" w:eastAsia="Courier New" w:cs="Courier New"/>
          <w:b w:val="0"/>
          <w:color w:val="000000"/>
          <w:sz w:val="26"/>
        </w:rPr>
        <w:t>created=2</w:t>
      </w:r>
      <w:r>
        <w:rPr>
          <w:rFonts w:ascii="Times New Roman" w:hAnsi="Times New Roman" w:eastAsia="Times New Roman" w:cs="Times New Roman"/>
          <w:b w:val="0"/>
          <w:color w:val="000000"/>
          <w:sz w:val="28"/>
        </w:rPr>
        <w:t xml:space="preserve">, </w:t>
      </w:r>
      <w:r>
        <w:rPr>
          <w:rFonts w:ascii="Courier New" w:hAnsi="Courier New" w:eastAsia="Courier New" w:cs="Courier New"/>
          <w:b w:val="0"/>
          <w:color w:val="000000"/>
          <w:sz w:val="26"/>
        </w:rPr>
        <w:t>errors=[]</w:t>
      </w:r>
      <w:r>
        <w:rPr>
          <w:rFonts w:ascii="Times New Roman" w:hAnsi="Times New Roman" w:eastAsia="Times New Roman" w:cs="Times New Roman"/>
          <w:b w:val="0"/>
          <w:color w:val="000000"/>
          <w:sz w:val="28"/>
        </w:rPr>
        <w:t xml:space="preserve">; повреждённый дал </w:t>
      </w:r>
      <w:r>
        <w:rPr>
          <w:rFonts w:ascii="Courier New" w:hAnsi="Courier New" w:eastAsia="Courier New" w:cs="Courier New"/>
          <w:b w:val="0"/>
          <w:color w:val="000000"/>
          <w:sz w:val="26"/>
        </w:rPr>
        <w:t>rowsProcessed=0</w:t>
      </w:r>
      <w:r>
        <w:rPr>
          <w:rFonts w:ascii="Times New Roman" w:hAnsi="Times New Roman" w:eastAsia="Times New Roman" w:cs="Times New Roman"/>
          <w:b w:val="0"/>
          <w:color w:val="000000"/>
          <w:sz w:val="28"/>
        </w:rPr>
        <w:t xml:space="preserve"> и ошибку о повреждённых данных. После импорта товар находится поиском API, что уже выходит за пределы InMemory и подтверждает связку записи каталога с выдачей. Контрольный промышленный файл EKF (20 884 строки) в отдельном прогоне создал 20 780 товаров и отклонил 92 строки «Цена по запросу». Экран импорта и архива, на котором этот сценарий виден оператору, показан на рисунке 27.</w:t>
      </w:r>
    </w:p>
    <w:p>
      <w:pPr>
        <w:keepNext/>
        <w:spacing w:line="240" w:lineRule="auto" w:before="240" w:after="0"/>
        <w:ind w:firstLine="0"/>
        <w:jc w:val="center"/>
      </w:pPr>
      <w:r>
        <w:drawing>
          <wp:inline xmlns:a="http://schemas.openxmlformats.org/drawingml/2006/main" xmlns:pic="http://schemas.openxmlformats.org/drawingml/2006/picture">
            <wp:extent cx="5760000" cy="5802581"/>
            <wp:docPr id="27" name="Picture 27"/>
            <wp:cNvGraphicFramePr>
              <a:graphicFrameLocks noChangeAspect="1"/>
            </wp:cNvGraphicFramePr>
            <a:graphic>
              <a:graphicData uri="http://schemas.openxmlformats.org/drawingml/2006/picture">
                <pic:pic>
                  <pic:nvPicPr>
                    <pic:cNvPr id="0" name="ris-10-prices.png"/>
                    <pic:cNvPicPr/>
                  </pic:nvPicPr>
                  <pic:blipFill>
                    <a:blip r:embed="rId29"/>
                    <a:stretch>
                      <a:fillRect/>
                    </a:stretch>
                  </pic:blipFill>
                  <pic:spPr>
                    <a:xfrm>
                      <a:off x="0" y="0"/>
                      <a:ext cx="5760000" cy="5802581"/>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27 – Результат: экран импорта и архива прайс-листов</w:t>
      </w:r>
    </w:p>
    <w:p>
      <w:pPr>
        <w:pStyle w:val="Heading2"/>
      </w:pPr>
      <w:r>
        <w:rPr>
          <w:rFonts w:ascii="Times New Roman" w:hAnsi="Times New Roman" w:eastAsia="Times New Roman" w:cs="Times New Roman"/>
          <w:b/>
          <w:color w:val="000000"/>
          <w:sz w:val="28"/>
        </w:rPr>
        <w:t>6.2 Тест «Формирование вариантов КП»</w:t>
      </w:r>
    </w:p>
    <w:p>
      <w:r>
        <w:rPr>
          <w:rFonts w:ascii="Times New Roman" w:hAnsi="Times New Roman" w:eastAsia="Times New Roman" w:cs="Times New Roman"/>
          <w:b w:val="0"/>
          <w:color w:val="000000"/>
          <w:sz w:val="28"/>
        </w:rPr>
        <w:t>Три обязательные стратегии КП должны давать различимые итоги на одной спецификации, иначе сравнение на экране бессмысленно и система снова предлагает «один вариант», как в AS IS. Сценарий закрывает БТ-3: формальные правила цены, срока и баланса должны расходиться там, где расходятся офферы, а не маскироваться одинаковой суммой. Генератор проверяется и модульными тестами на фиксированных офферах; живой прогон добавляет то, что InMemory не видит, а именно чтение офферов и скидок уже вынесенного каталога через HTTP. Условия этого кейса, включая контрольные артикулы, сведены в таблицу 34.</w:t>
      </w:r>
    </w:p>
    <w:p>
      <w:pPr>
        <w:pStyle w:val="GOSTCaption"/>
        <w:keepNext/>
        <w:jc w:val="left"/>
      </w:pPr>
      <w:r>
        <w:rPr>
          <w:rFonts w:ascii="Times New Roman" w:hAnsi="Times New Roman" w:eastAsia="Times New Roman" w:cs="Times New Roman"/>
          <w:b w:val="0"/>
          <w:color w:val="000000"/>
          <w:sz w:val="28"/>
        </w:rPr>
        <w:t>Таблица 34 – Тест-кейс генерации КП</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2409"/>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Поле</w:t>
            </w:r>
          </w:p>
        </w:tc>
        <w:tc>
          <w:tcPr>
            <w:tcW w:type="dxa" w:w="6945"/>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Содержание</w:t>
            </w:r>
          </w:p>
        </w:tc>
      </w:tr>
      <w:tr>
        <w:trPr>
          <w:cantSplit w:val="true"/>
        </w:trPr>
        <w:tc>
          <w:tcPr>
            <w:tcW w:type="dxa" w:w="240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Набор входных данных</w:t>
            </w:r>
          </w:p>
        </w:tc>
        <w:tc>
          <w:tcPr>
            <w:tcW w:type="dxa" w:w="694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спецификация из трёх позиций с артикулами </w:t>
            </w:r>
            <w:r>
              <w:rPr>
                <w:rFonts w:ascii="Courier New" w:hAnsi="Courier New" w:eastAsia="Courier New" w:cs="Courier New"/>
                <w:b w:val="0"/>
                <w:color w:val="000000"/>
                <w:sz w:val="22"/>
              </w:rPr>
              <w:t>10226</w:t>
            </w:r>
            <w:r>
              <w:rPr>
                <w:rFonts w:ascii="Times New Roman" w:hAnsi="Times New Roman" w:eastAsia="Times New Roman" w:cs="Times New Roman"/>
                <w:b w:val="0"/>
                <w:color w:val="000000"/>
                <w:sz w:val="24"/>
              </w:rPr>
              <w:t xml:space="preserve">, </w:t>
            </w:r>
            <w:r>
              <w:rPr>
                <w:rFonts w:ascii="Courier New" w:hAnsi="Courier New" w:eastAsia="Courier New" w:cs="Courier New"/>
                <w:b w:val="0"/>
                <w:color w:val="000000"/>
                <w:sz w:val="22"/>
              </w:rPr>
              <w:t>10265</w:t>
            </w:r>
            <w:r>
              <w:rPr>
                <w:rFonts w:ascii="Times New Roman" w:hAnsi="Times New Roman" w:eastAsia="Times New Roman" w:cs="Times New Roman"/>
                <w:b w:val="0"/>
                <w:color w:val="000000"/>
                <w:sz w:val="24"/>
              </w:rPr>
              <w:t xml:space="preserve">, </w:t>
            </w:r>
            <w:r>
              <w:rPr>
                <w:rFonts w:ascii="Courier New" w:hAnsi="Courier New" w:eastAsia="Courier New" w:cs="Courier New"/>
                <w:b w:val="0"/>
                <w:color w:val="000000"/>
                <w:sz w:val="22"/>
              </w:rPr>
              <w:t>10273</w:t>
            </w:r>
            <w:r>
              <w:rPr>
                <w:rFonts w:ascii="Times New Roman" w:hAnsi="Times New Roman" w:eastAsia="Times New Roman" w:cs="Times New Roman"/>
                <w:b w:val="0"/>
                <w:color w:val="000000"/>
                <w:sz w:val="24"/>
              </w:rPr>
              <w:t xml:space="preserve">; токен </w:t>
            </w:r>
            <w:r>
              <w:rPr>
                <w:rFonts w:ascii="Courier New" w:hAnsi="Courier New" w:eastAsia="Courier New" w:cs="Courier New"/>
                <w:b w:val="0"/>
                <w:color w:val="000000"/>
                <w:sz w:val="22"/>
              </w:rPr>
              <w:t>manager</w:t>
            </w:r>
          </w:p>
        </w:tc>
      </w:tr>
      <w:tr>
        <w:trPr>
          <w:cantSplit w:val="true"/>
        </w:trPr>
        <w:tc>
          <w:tcPr>
            <w:tcW w:type="dxa" w:w="240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Ожидаемые результаты</w:t>
            </w:r>
          </w:p>
        </w:tc>
        <w:tc>
          <w:tcPr>
            <w:tcW w:type="dxa" w:w="694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четыре стратегии возвращают суммы; среди MinCost, MinLeadTime и Balanced не меньше двух различных итогов (фактически три)</w:t>
            </w:r>
          </w:p>
        </w:tc>
      </w:tr>
      <w:tr>
        <w:trPr>
          <w:cantSplit w:val="true"/>
        </w:trPr>
        <w:tc>
          <w:tcPr>
            <w:tcW w:type="dxa" w:w="240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Выполняемые действия</w:t>
            </w:r>
          </w:p>
        </w:tc>
        <w:tc>
          <w:tcPr>
            <w:tcW w:type="dxa" w:w="694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создать спецификацию с позициями; вызвать генерацию КП по стратегиям</w:t>
            </w:r>
          </w:p>
        </w:tc>
      </w:tr>
    </w:tbl>
    <w:p>
      <w:pPr>
        <w:spacing w:after="0"/>
      </w:pPr>
    </w:p>
    <w:p>
      <w:r>
        <w:rPr>
          <w:rFonts w:ascii="Times New Roman" w:hAnsi="Times New Roman" w:eastAsia="Times New Roman" w:cs="Times New Roman"/>
          <w:b w:val="0"/>
          <w:color w:val="000000"/>
          <w:sz w:val="28"/>
        </w:rPr>
        <w:t xml:space="preserve">Результат: spec </w:t>
      </w:r>
      <w:r>
        <w:rPr>
          <w:rFonts w:ascii="Courier New" w:hAnsi="Courier New" w:eastAsia="Courier New" w:cs="Courier New"/>
          <w:b w:val="0"/>
          <w:color w:val="000000"/>
          <w:sz w:val="26"/>
        </w:rPr>
        <w:t>a145318f-...</w:t>
      </w:r>
      <w:r>
        <w:rPr>
          <w:rFonts w:ascii="Times New Roman" w:hAnsi="Times New Roman" w:eastAsia="Times New Roman" w:cs="Times New Roman"/>
          <w:b w:val="0"/>
          <w:color w:val="000000"/>
          <w:sz w:val="28"/>
        </w:rPr>
        <w:t>, стратегии MinCost = 1273,9; MinLeadTime = 11490,0; Balanced = 1433,9; MlRelevance = 1433,9, и уникальных сумм среди трёх обязательных стратегий получилось 3. Экран сравнения четырёх стратегий на этой спецификации показан на рисунке 28; суммы и сроки на снимке взяты от текущих офферов и не копируют протокол прогона. Расхождение снимка и протокола ожидаемо, потому что каталог живой, а критерий кейса проверяет различимость правил, а не вечную константу суммы.</w:t>
      </w:r>
    </w:p>
    <w:p>
      <w:pPr>
        <w:keepNext/>
        <w:spacing w:line="240" w:lineRule="auto" w:before="240" w:after="0"/>
        <w:ind w:firstLine="0"/>
        <w:jc w:val="center"/>
      </w:pPr>
      <w:r>
        <w:drawing>
          <wp:inline xmlns:a="http://schemas.openxmlformats.org/drawingml/2006/main" xmlns:pic="http://schemas.openxmlformats.org/drawingml/2006/picture">
            <wp:extent cx="5760000" cy="3541935"/>
            <wp:docPr id="28" name="Picture 28"/>
            <wp:cNvGraphicFramePr>
              <a:graphicFrameLocks noChangeAspect="1"/>
            </wp:cNvGraphicFramePr>
            <a:graphic>
              <a:graphicData uri="http://schemas.openxmlformats.org/drawingml/2006/picture">
                <pic:pic>
                  <pic:nvPicPr>
                    <pic:cNvPr id="0" name="ris-12-quotes.png"/>
                    <pic:cNvPicPr/>
                  </pic:nvPicPr>
                  <pic:blipFill>
                    <a:blip r:embed="rId31"/>
                    <a:stretch>
                      <a:fillRect/>
                    </a:stretch>
                  </pic:blipFill>
                  <pic:spPr>
                    <a:xfrm>
                      <a:off x="0" y="0"/>
                      <a:ext cx="5760000" cy="3541935"/>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28 – Результат: сравнение вариантов КП</w:t>
      </w:r>
    </w:p>
    <w:p>
      <w:pPr>
        <w:pStyle w:val="Heading2"/>
      </w:pPr>
      <w:r>
        <w:rPr>
          <w:rFonts w:ascii="Times New Roman" w:hAnsi="Times New Roman" w:eastAsia="Times New Roman" w:cs="Times New Roman"/>
          <w:b/>
          <w:color w:val="000000"/>
          <w:sz w:val="28"/>
        </w:rPr>
        <w:t>6.3 Тест «Согласование и автосоздание счёта»</w:t>
      </w:r>
    </w:p>
    <w:p>
      <w:r>
        <w:rPr>
          <w:rFonts w:ascii="Times New Roman" w:hAnsi="Times New Roman" w:eastAsia="Times New Roman" w:cs="Times New Roman"/>
          <w:b w:val="0"/>
          <w:color w:val="000000"/>
          <w:sz w:val="28"/>
        </w:rPr>
        <w:t>Утверждение КП должно породить счёт без второго ручного ввода сумм. Сценарий закрывает БТ-4 и БТ-5: коммерческий блок фиксирует решение, а согласованная стоимость сразу становится документом NOC, который нельзя «набрать заново» с другой цифрой. Модульные тесты проверяют идемпотентность повторного POST на InMemory; живой прогон подтверждает, что автосоздание срабатывает на вынесенном Commercial за шлюзом и что автор счёта действительно «Система (авто)». Условия этого кейса, включая наценку и ожидаемый номер счёта, сведены в таблицу 35.</w:t>
      </w:r>
    </w:p>
    <w:p>
      <w:pPr>
        <w:pStyle w:val="GOSTCaption"/>
        <w:keepNext/>
        <w:jc w:val="left"/>
      </w:pPr>
      <w:r>
        <w:rPr>
          <w:rFonts w:ascii="Times New Roman" w:hAnsi="Times New Roman" w:eastAsia="Times New Roman" w:cs="Times New Roman"/>
          <w:b w:val="0"/>
          <w:color w:val="000000"/>
          <w:sz w:val="28"/>
        </w:rPr>
        <w:t>Таблица 35 – Тест-кейс согласования</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2094"/>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Поле</w:t>
            </w:r>
          </w:p>
        </w:tc>
        <w:tc>
          <w:tcPr>
            <w:tcW w:type="dxa" w:w="7261"/>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Содержание</w:t>
            </w:r>
          </w:p>
        </w:tc>
      </w:tr>
      <w:tr>
        <w:trPr>
          <w:cantSplit w:val="true"/>
        </w:trPr>
        <w:tc>
          <w:tcPr>
            <w:tcW w:type="dxa" w:w="209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Набор входных данных</w:t>
            </w:r>
          </w:p>
        </w:tc>
        <w:tc>
          <w:tcPr>
            <w:tcW w:type="dxa" w:w="726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спецификация и стратегия Balanced (себестоимость 1433,9); наценка, дающая цену продажи 1605,968; токен </w:t>
            </w:r>
            <w:r>
              <w:rPr>
                <w:rFonts w:ascii="Courier New" w:hAnsi="Courier New" w:eastAsia="Courier New" w:cs="Courier New"/>
                <w:b w:val="0"/>
                <w:color w:val="000000"/>
                <w:sz w:val="22"/>
              </w:rPr>
              <w:t>commercial</w:t>
            </w:r>
          </w:p>
        </w:tc>
      </w:tr>
      <w:tr>
        <w:trPr>
          <w:cantSplit w:val="true"/>
        </w:trPr>
        <w:tc>
          <w:tcPr>
            <w:tcW w:type="dxa" w:w="209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Ожидаемые результаты</w:t>
            </w:r>
          </w:p>
        </w:tc>
        <w:tc>
          <w:tcPr>
            <w:tcW w:type="dxa" w:w="726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решение </w:t>
            </w:r>
            <w:r>
              <w:rPr>
                <w:rFonts w:ascii="Courier New" w:hAnsi="Courier New" w:eastAsia="Courier New" w:cs="Courier New"/>
                <w:b w:val="0"/>
                <w:color w:val="000000"/>
                <w:sz w:val="22"/>
              </w:rPr>
              <w:t>approved=true</w:t>
            </w:r>
            <w:r>
              <w:rPr>
                <w:rFonts w:ascii="Times New Roman" w:hAnsi="Times New Roman" w:eastAsia="Times New Roman" w:cs="Times New Roman"/>
                <w:b w:val="0"/>
                <w:color w:val="000000"/>
                <w:sz w:val="24"/>
              </w:rPr>
              <w:t xml:space="preserve"> даёт HTTP 204; создаётся счёт </w:t>
            </w:r>
            <w:r>
              <w:rPr>
                <w:rFonts w:ascii="Courier New" w:hAnsi="Courier New" w:eastAsia="Courier New" w:cs="Courier New"/>
                <w:b w:val="0"/>
                <w:color w:val="000000"/>
                <w:sz w:val="22"/>
              </w:rPr>
              <w:t>NOC-2026-001</w:t>
            </w:r>
            <w:r>
              <w:rPr>
                <w:rFonts w:ascii="Times New Roman" w:hAnsi="Times New Roman" w:eastAsia="Times New Roman" w:cs="Times New Roman"/>
                <w:b w:val="0"/>
                <w:color w:val="000000"/>
                <w:sz w:val="24"/>
              </w:rPr>
              <w:t xml:space="preserve"> с автором «Система (авто)»; повторный POST счёта возвращает тот же идентификатор</w:t>
            </w:r>
          </w:p>
        </w:tc>
      </w:tr>
      <w:tr>
        <w:trPr>
          <w:cantSplit w:val="true"/>
        </w:trPr>
        <w:tc>
          <w:tcPr>
            <w:tcW w:type="dxa" w:w="209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Выполняемые действия</w:t>
            </w:r>
          </w:p>
        </w:tc>
        <w:tc>
          <w:tcPr>
            <w:tcW w:type="dxa" w:w="7261"/>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POST /api/approvals</w:t>
            </w:r>
            <w:r>
              <w:rPr>
                <w:rFonts w:ascii="Times New Roman" w:hAnsi="Times New Roman" w:eastAsia="Times New Roman" w:cs="Times New Roman"/>
                <w:b w:val="0"/>
                <w:color w:val="000000"/>
                <w:sz w:val="24"/>
              </w:rPr>
              <w:t xml:space="preserve">; расчёт маржи; </w:t>
            </w:r>
            <w:r>
              <w:rPr>
                <w:rFonts w:ascii="Courier New" w:hAnsi="Courier New" w:eastAsia="Courier New" w:cs="Courier New"/>
                <w:b w:val="0"/>
                <w:color w:val="000000"/>
                <w:sz w:val="22"/>
              </w:rPr>
              <w:t>POST /api/approvals/{id}/decision</w:t>
            </w:r>
            <w:r>
              <w:rPr>
                <w:rFonts w:ascii="Times New Roman" w:hAnsi="Times New Roman" w:eastAsia="Times New Roman" w:cs="Times New Roman"/>
                <w:b w:val="0"/>
                <w:color w:val="000000"/>
                <w:sz w:val="24"/>
              </w:rPr>
              <w:t xml:space="preserve">; </w:t>
            </w:r>
            <w:r>
              <w:rPr>
                <w:rFonts w:ascii="Courier New" w:hAnsi="Courier New" w:eastAsia="Courier New" w:cs="Courier New"/>
                <w:b w:val="0"/>
                <w:color w:val="000000"/>
                <w:sz w:val="22"/>
              </w:rPr>
              <w:t>POST /api/invoices</w:t>
            </w:r>
            <w:r>
              <w:rPr>
                <w:rFonts w:ascii="Times New Roman" w:hAnsi="Times New Roman" w:eastAsia="Times New Roman" w:cs="Times New Roman"/>
                <w:b w:val="0"/>
                <w:color w:val="000000"/>
                <w:sz w:val="24"/>
              </w:rPr>
              <w:t xml:space="preserve"> повторно</w:t>
            </w:r>
          </w:p>
        </w:tc>
      </w:tr>
    </w:tbl>
    <w:p>
      <w:pPr>
        <w:spacing w:after="0"/>
      </w:pPr>
    </w:p>
    <w:p>
      <w:r>
        <w:rPr>
          <w:rFonts w:ascii="Times New Roman" w:hAnsi="Times New Roman" w:eastAsia="Times New Roman" w:cs="Times New Roman"/>
          <w:b w:val="0"/>
          <w:color w:val="000000"/>
          <w:sz w:val="28"/>
        </w:rPr>
        <w:t xml:space="preserve">Результат: approval </w:t>
      </w:r>
      <w:r>
        <w:rPr>
          <w:rFonts w:ascii="Courier New" w:hAnsi="Courier New" w:eastAsia="Courier New" w:cs="Courier New"/>
          <w:b w:val="0"/>
          <w:color w:val="000000"/>
          <w:sz w:val="26"/>
        </w:rPr>
        <w:t>8a2d3dec-...</w:t>
      </w:r>
      <w:r>
        <w:rPr>
          <w:rFonts w:ascii="Times New Roman" w:hAnsi="Times New Roman" w:eastAsia="Times New Roman" w:cs="Times New Roman"/>
          <w:b w:val="0"/>
          <w:color w:val="000000"/>
          <w:sz w:val="28"/>
        </w:rPr>
        <w:t xml:space="preserve">, invoice </w:t>
      </w:r>
      <w:r>
        <w:rPr>
          <w:rFonts w:ascii="Courier New" w:hAnsi="Courier New" w:eastAsia="Courier New" w:cs="Courier New"/>
          <w:b w:val="0"/>
          <w:color w:val="000000"/>
          <w:sz w:val="26"/>
        </w:rPr>
        <w:t>e6ab1f74-...</w:t>
      </w:r>
      <w:r>
        <w:rPr>
          <w:rFonts w:ascii="Times New Roman" w:hAnsi="Times New Roman" w:eastAsia="Times New Roman" w:cs="Times New Roman"/>
          <w:b w:val="0"/>
          <w:color w:val="000000"/>
          <w:sz w:val="28"/>
        </w:rPr>
        <w:t xml:space="preserve">, номер </w:t>
      </w:r>
      <w:r>
        <w:rPr>
          <w:rFonts w:ascii="Courier New" w:hAnsi="Courier New" w:eastAsia="Courier New" w:cs="Courier New"/>
          <w:b w:val="0"/>
          <w:color w:val="000000"/>
          <w:sz w:val="26"/>
        </w:rPr>
        <w:t>NOC-2026-001</w:t>
      </w:r>
      <w:r>
        <w:rPr>
          <w:rFonts w:ascii="Times New Roman" w:hAnsi="Times New Roman" w:eastAsia="Times New Roman" w:cs="Times New Roman"/>
          <w:b w:val="0"/>
          <w:color w:val="000000"/>
          <w:sz w:val="28"/>
        </w:rPr>
        <w:t>; повторный POST идемпотентен и вернул тот же идентификатор. Экран согласования показан на рисунке 29, карточка созданного счёта на рисунке 30. Для приёмки MVP этого достаточно: второй ручной ввод сумм в NOC, из-за которого в AS IS расходились документы, на стенде не требуется.</w:t>
      </w:r>
    </w:p>
    <w:p>
      <w:pPr>
        <w:keepNext/>
        <w:spacing w:line="240" w:lineRule="auto" w:before="240" w:after="0"/>
        <w:ind w:firstLine="0"/>
        <w:jc w:val="center"/>
      </w:pPr>
      <w:r>
        <w:drawing>
          <wp:inline xmlns:a="http://schemas.openxmlformats.org/drawingml/2006/main" xmlns:pic="http://schemas.openxmlformats.org/drawingml/2006/picture">
            <wp:extent cx="5760000" cy="4850323"/>
            <wp:docPr id="29" name="Picture 29"/>
            <wp:cNvGraphicFramePr>
              <a:graphicFrameLocks noChangeAspect="1"/>
            </wp:cNvGraphicFramePr>
            <a:graphic>
              <a:graphicData uri="http://schemas.openxmlformats.org/drawingml/2006/picture">
                <pic:pic>
                  <pic:nvPicPr>
                    <pic:cNvPr id="0" name="ris-13-approval.png"/>
                    <pic:cNvPicPr/>
                  </pic:nvPicPr>
                  <pic:blipFill>
                    <a:blip r:embed="rId32"/>
                    <a:stretch>
                      <a:fillRect/>
                    </a:stretch>
                  </pic:blipFill>
                  <pic:spPr>
                    <a:xfrm>
                      <a:off x="0" y="0"/>
                      <a:ext cx="5760000" cy="4850323"/>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29 – Результат: экран согласования</w:t>
      </w:r>
    </w:p>
    <w:p>
      <w:pPr>
        <w:keepNext/>
        <w:spacing w:line="240" w:lineRule="auto" w:before="240" w:after="0"/>
        <w:ind w:firstLine="0"/>
        <w:jc w:val="center"/>
      </w:pPr>
      <w:r>
        <w:drawing>
          <wp:inline xmlns:a="http://schemas.openxmlformats.org/drawingml/2006/main" xmlns:pic="http://schemas.openxmlformats.org/drawingml/2006/picture">
            <wp:extent cx="5760000" cy="4060645"/>
            <wp:docPr id="30" name="Picture 30"/>
            <wp:cNvGraphicFramePr>
              <a:graphicFrameLocks noChangeAspect="1"/>
            </wp:cNvGraphicFramePr>
            <a:graphic>
              <a:graphicData uri="http://schemas.openxmlformats.org/drawingml/2006/picture">
                <pic:pic>
                  <pic:nvPicPr>
                    <pic:cNvPr id="0" name="ris-14-invoice.png"/>
                    <pic:cNvPicPr/>
                  </pic:nvPicPr>
                  <pic:blipFill>
                    <a:blip r:embed="rId33"/>
                    <a:stretch>
                      <a:fillRect/>
                    </a:stretch>
                  </pic:blipFill>
                  <pic:spPr>
                    <a:xfrm>
                      <a:off x="0" y="0"/>
                      <a:ext cx="5760000" cy="4060645"/>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30 – Результат: счёт NOC</w:t>
      </w:r>
    </w:p>
    <w:p>
      <w:pPr>
        <w:pStyle w:val="Heading2"/>
      </w:pPr>
      <w:r>
        <w:rPr>
          <w:rFonts w:ascii="Times New Roman" w:hAnsi="Times New Roman" w:eastAsia="Times New Roman" w:cs="Times New Roman"/>
          <w:b/>
          <w:color w:val="000000"/>
          <w:sz w:val="28"/>
        </w:rPr>
        <w:t>6.4 Тест «Ролевые границы стадий счёта»</w:t>
      </w:r>
    </w:p>
    <w:p>
      <w:r>
        <w:rPr>
          <w:rFonts w:ascii="Times New Roman" w:hAnsi="Times New Roman" w:eastAsia="Times New Roman" w:cs="Times New Roman"/>
          <w:b w:val="0"/>
          <w:color w:val="000000"/>
          <w:sz w:val="28"/>
        </w:rPr>
        <w:t>Бухгалтерия не должна ставить стадию «Согласован», а коммерческий блок не должен двигать счёт дальше этой точки. Сценарий закрывает БТ-7 и риск пропуска стадий: если статус можно переставить любой ролью, линейный автомат счёта становится декорацией. Клиентское меню роли здесь недостаточное подтверждение, потому что скрытый пункт SPA не мешает вызвать REST напрямую; последовательность ролей и ожидаемые коды сведены в таблицу 36.</w:t>
      </w:r>
    </w:p>
    <w:p>
      <w:pPr>
        <w:pStyle w:val="GOSTCaption"/>
        <w:keepNext/>
        <w:jc w:val="left"/>
      </w:pPr>
      <w:r>
        <w:rPr>
          <w:rFonts w:ascii="Times New Roman" w:hAnsi="Times New Roman" w:eastAsia="Times New Roman" w:cs="Times New Roman"/>
          <w:b w:val="0"/>
          <w:color w:val="000000"/>
          <w:sz w:val="28"/>
        </w:rPr>
        <w:t>Таблица 36 – Тест-кейс ролей счёта</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2306"/>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Поле</w:t>
            </w:r>
          </w:p>
        </w:tc>
        <w:tc>
          <w:tcPr>
            <w:tcW w:type="dxa" w:w="7048"/>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Содержание</w:t>
            </w:r>
          </w:p>
        </w:tc>
      </w:tr>
      <w:tr>
        <w:trPr>
          <w:cantSplit w:val="true"/>
        </w:trPr>
        <w:tc>
          <w:tcPr>
            <w:tcW w:type="dxa" w:w="230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Набор входных данных</w:t>
            </w:r>
          </w:p>
        </w:tc>
        <w:tc>
          <w:tcPr>
            <w:tcW w:type="dxa" w:w="704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существующий счёт в статусе «Создан»; токены </w:t>
            </w:r>
            <w:r>
              <w:rPr>
                <w:rFonts w:ascii="Courier New" w:hAnsi="Courier New" w:eastAsia="Courier New" w:cs="Courier New"/>
                <w:b w:val="0"/>
                <w:color w:val="000000"/>
                <w:sz w:val="22"/>
              </w:rPr>
              <w:t>accounting</w:t>
            </w:r>
            <w:r>
              <w:rPr>
                <w:rFonts w:ascii="Times New Roman" w:hAnsi="Times New Roman" w:eastAsia="Times New Roman" w:cs="Times New Roman"/>
                <w:b w:val="0"/>
                <w:color w:val="000000"/>
                <w:sz w:val="24"/>
              </w:rPr>
              <w:t xml:space="preserve"> и </w:t>
            </w:r>
            <w:r>
              <w:rPr>
                <w:rFonts w:ascii="Courier New" w:hAnsi="Courier New" w:eastAsia="Courier New" w:cs="Courier New"/>
                <w:b w:val="0"/>
                <w:color w:val="000000"/>
                <w:sz w:val="22"/>
              </w:rPr>
              <w:t>commercial</w:t>
            </w:r>
          </w:p>
        </w:tc>
      </w:tr>
      <w:tr>
        <w:trPr>
          <w:cantSplit w:val="true"/>
        </w:trPr>
        <w:tc>
          <w:tcPr>
            <w:tcW w:type="dxa" w:w="230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Ожидаемые результаты</w:t>
            </w:r>
          </w:p>
        </w:tc>
        <w:tc>
          <w:tcPr>
            <w:tcW w:type="dxa" w:w="704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бухгалтерия не ставит «Согласован» (403); КБ ставит «Согласован» (204); КБ не ставит следующую стадию (403); бухгалтерия ставит «ОжиданиеОплаты»; прыжок через стадию даёт 409</w:t>
            </w:r>
          </w:p>
        </w:tc>
      </w:tr>
      <w:tr>
        <w:trPr>
          <w:cantSplit w:val="true"/>
        </w:trPr>
        <w:tc>
          <w:tcPr>
            <w:tcW w:type="dxa" w:w="230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Выполняемые действия</w:t>
            </w:r>
          </w:p>
        </w:tc>
        <w:tc>
          <w:tcPr>
            <w:tcW w:type="dxa" w:w="704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последовательность </w:t>
            </w:r>
            <w:r>
              <w:rPr>
                <w:rFonts w:ascii="Courier New" w:hAnsi="Courier New" w:eastAsia="Courier New" w:cs="Courier New"/>
                <w:b w:val="0"/>
                <w:color w:val="000000"/>
                <w:sz w:val="22"/>
              </w:rPr>
              <w:t>PUT</w:t>
            </w:r>
            <w:r>
              <w:rPr>
                <w:rFonts w:ascii="Times New Roman" w:hAnsi="Times New Roman" w:eastAsia="Times New Roman" w:cs="Times New Roman"/>
                <w:b w:val="0"/>
                <w:color w:val="000000"/>
                <w:sz w:val="24"/>
              </w:rPr>
              <w:t xml:space="preserve"> статуса счёта разными ролями</w:t>
            </w:r>
          </w:p>
        </w:tc>
      </w:tr>
    </w:tbl>
    <w:p>
      <w:pPr>
        <w:spacing w:after="0"/>
      </w:pPr>
    </w:p>
    <w:p>
      <w:r>
        <w:rPr>
          <w:rFonts w:ascii="Times New Roman" w:hAnsi="Times New Roman" w:eastAsia="Times New Roman" w:cs="Times New Roman"/>
          <w:b w:val="0"/>
          <w:color w:val="000000"/>
          <w:sz w:val="28"/>
        </w:rPr>
        <w:t xml:space="preserve">Результат совпал с ожидаемым: 403 / 204 / 403 / 204 / 409 / 204 на шаге «ЧастичнаяОплата». Прыжок «ОжиданиеОплаты» → «Оплачено» отвергнут кодом 409, и правило линейности тем самым подтверждено. Живой прогон здесь дополняет модульные тесты тем, что политики Keycloak и ASP.NET срабатывают на реальных JWT, а не только доменный метод </w:t>
      </w:r>
      <w:r>
        <w:rPr>
          <w:rFonts w:ascii="Courier New" w:hAnsi="Courier New" w:eastAsia="Courier New" w:cs="Courier New"/>
          <w:b w:val="0"/>
          <w:color w:val="000000"/>
          <w:sz w:val="26"/>
        </w:rPr>
        <w:t>ActorMaySet</w:t>
      </w:r>
      <w:r>
        <w:rPr>
          <w:rFonts w:ascii="Times New Roman" w:hAnsi="Times New Roman" w:eastAsia="Times New Roman" w:cs="Times New Roman"/>
          <w:b w:val="0"/>
          <w:color w:val="000000"/>
          <w:sz w:val="28"/>
        </w:rPr>
        <w:t xml:space="preserve"> на объекте в памяти.</w:t>
      </w:r>
    </w:p>
    <w:p>
      <w:pPr>
        <w:pStyle w:val="Heading2"/>
      </w:pPr>
      <w:r>
        <w:rPr>
          <w:rFonts w:ascii="Times New Roman" w:hAnsi="Times New Roman" w:eastAsia="Times New Roman" w:cs="Times New Roman"/>
          <w:b/>
          <w:color w:val="000000"/>
          <w:sz w:val="28"/>
        </w:rPr>
        <w:t>6.5 Тест «Скидка, заказ, аудит»</w:t>
      </w:r>
    </w:p>
    <w:p>
      <w:r>
        <w:rPr>
          <w:rFonts w:ascii="Times New Roman" w:hAnsi="Times New Roman" w:eastAsia="Times New Roman" w:cs="Times New Roman"/>
          <w:b w:val="0"/>
          <w:color w:val="000000"/>
          <w:sz w:val="28"/>
        </w:rPr>
        <w:t xml:space="preserve">Изменение скидки и перевод заказа должны оставить в журнале значения «было → стало», а не только факт вызова. Сценарий закрывает боль потерянного согласования и ручных скидок: если журнал хранит лишь URL, спор о том, какая скидка действовала в момент КП, не разрешается. Модульный слой может проверить запись </w:t>
      </w:r>
      <w:r>
        <w:rPr>
          <w:rFonts w:ascii="Courier New" w:hAnsi="Courier New" w:eastAsia="Courier New" w:cs="Courier New"/>
          <w:b w:val="0"/>
          <w:color w:val="000000"/>
          <w:sz w:val="26"/>
        </w:rPr>
        <w:t>AuditEntry</w:t>
      </w:r>
      <w:r>
        <w:rPr>
          <w:rFonts w:ascii="Times New Roman" w:hAnsi="Times New Roman" w:eastAsia="Times New Roman" w:cs="Times New Roman"/>
          <w:b w:val="0"/>
          <w:color w:val="000000"/>
          <w:sz w:val="28"/>
        </w:rPr>
        <w:t xml:space="preserve"> на InMemory; стенд подтверждает, что middleware аудита работает на живых запросах за шлюзом. Условия кейса со скидкой, заказом и ожидаемыми полями журнала сведены в таблицу 37.</w:t>
      </w:r>
    </w:p>
    <w:p>
      <w:pPr>
        <w:pStyle w:val="GOSTCaption"/>
        <w:keepNext/>
        <w:jc w:val="left"/>
      </w:pPr>
      <w:r>
        <w:rPr>
          <w:rFonts w:ascii="Times New Roman" w:hAnsi="Times New Roman" w:eastAsia="Times New Roman" w:cs="Times New Roman"/>
          <w:b w:val="0"/>
          <w:color w:val="000000"/>
          <w:sz w:val="28"/>
        </w:rPr>
        <w:t>Таблица 37 – Тест-кейс скидки и заказа</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2435"/>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Поле</w:t>
            </w:r>
          </w:p>
        </w:tc>
        <w:tc>
          <w:tcPr>
            <w:tcW w:type="dxa" w:w="6919"/>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Содержание</w:t>
            </w:r>
          </w:p>
        </w:tc>
      </w:tr>
      <w:tr>
        <w:trPr>
          <w:cantSplit w:val="true"/>
        </w:trPr>
        <w:tc>
          <w:tcPr>
            <w:tcW w:type="dxa" w:w="243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Набор входных данных</w:t>
            </w:r>
          </w:p>
        </w:tc>
        <w:tc>
          <w:tcPr>
            <w:tcW w:type="dxa" w:w="691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скидка 5 % поставщику; затем изменение на 8,5 %; заказ из КП</w:t>
            </w:r>
          </w:p>
        </w:tc>
      </w:tr>
      <w:tr>
        <w:trPr>
          <w:cantSplit w:val="true"/>
        </w:trPr>
        <w:tc>
          <w:tcPr>
            <w:tcW w:type="dxa" w:w="243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Ожидаемые результаты</w:t>
            </w:r>
          </w:p>
        </w:tc>
        <w:tc>
          <w:tcPr>
            <w:tcW w:type="dxa" w:w="691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заказ в </w:t>
            </w:r>
            <w:r>
              <w:rPr>
                <w:rFonts w:ascii="Courier New" w:hAnsi="Courier New" w:eastAsia="Courier New" w:cs="Courier New"/>
                <w:b w:val="0"/>
                <w:color w:val="000000"/>
                <w:sz w:val="22"/>
              </w:rPr>
              <w:t>Draft</w:t>
            </w:r>
            <w:r>
              <w:rPr>
                <w:rFonts w:ascii="Times New Roman" w:hAnsi="Times New Roman" w:eastAsia="Times New Roman" w:cs="Times New Roman"/>
                <w:b w:val="0"/>
                <w:color w:val="000000"/>
                <w:sz w:val="24"/>
              </w:rPr>
              <w:t xml:space="preserve">, переход в </w:t>
            </w:r>
            <w:r>
              <w:rPr>
                <w:rFonts w:ascii="Courier New" w:hAnsi="Courier New" w:eastAsia="Courier New" w:cs="Courier New"/>
                <w:b w:val="0"/>
                <w:color w:val="000000"/>
                <w:sz w:val="22"/>
              </w:rPr>
              <w:t>Placed</w:t>
            </w:r>
            <w:r>
              <w:rPr>
                <w:rFonts w:ascii="Times New Roman" w:hAnsi="Times New Roman" w:eastAsia="Times New Roman" w:cs="Times New Roman"/>
                <w:b w:val="0"/>
                <w:color w:val="000000"/>
                <w:sz w:val="24"/>
              </w:rPr>
              <w:t xml:space="preserve">; в аудите есть </w:t>
            </w:r>
            <w:r>
              <w:rPr>
                <w:rFonts w:ascii="Courier New" w:hAnsi="Courier New" w:eastAsia="Courier New" w:cs="Courier New"/>
                <w:b w:val="0"/>
                <w:color w:val="000000"/>
                <w:sz w:val="22"/>
              </w:rPr>
              <w:t>Discount.Percent 5.00→8.5</w:t>
            </w:r>
            <w:r>
              <w:rPr>
                <w:rFonts w:ascii="Times New Roman" w:hAnsi="Times New Roman" w:eastAsia="Times New Roman" w:cs="Times New Roman"/>
                <w:b w:val="0"/>
                <w:color w:val="000000"/>
                <w:sz w:val="24"/>
              </w:rPr>
              <w:t xml:space="preserve"> и </w:t>
            </w:r>
            <w:r>
              <w:rPr>
                <w:rFonts w:ascii="Courier New" w:hAnsi="Courier New" w:eastAsia="Courier New" w:cs="Courier New"/>
                <w:b w:val="0"/>
                <w:color w:val="000000"/>
                <w:sz w:val="22"/>
              </w:rPr>
              <w:t>Order.Status Draft→Placed</w:t>
            </w:r>
          </w:p>
        </w:tc>
      </w:tr>
      <w:tr>
        <w:trPr>
          <w:cantSplit w:val="true"/>
        </w:trPr>
        <w:tc>
          <w:tcPr>
            <w:tcW w:type="dxa" w:w="243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Выполняемые действия</w:t>
            </w:r>
          </w:p>
        </w:tc>
        <w:tc>
          <w:tcPr>
            <w:tcW w:type="dxa" w:w="6919"/>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POST /api/discounts</w:t>
            </w:r>
            <w:r>
              <w:rPr>
                <w:rFonts w:ascii="Times New Roman" w:hAnsi="Times New Roman" w:eastAsia="Times New Roman" w:cs="Times New Roman"/>
                <w:b w:val="0"/>
                <w:color w:val="000000"/>
                <w:sz w:val="24"/>
              </w:rPr>
              <w:t xml:space="preserve">; </w:t>
            </w:r>
            <w:r>
              <w:rPr>
                <w:rFonts w:ascii="Courier New" w:hAnsi="Courier New" w:eastAsia="Courier New" w:cs="Courier New"/>
                <w:b w:val="0"/>
                <w:color w:val="000000"/>
                <w:sz w:val="22"/>
              </w:rPr>
              <w:t>PUT</w:t>
            </w:r>
            <w:r>
              <w:rPr>
                <w:rFonts w:ascii="Times New Roman" w:hAnsi="Times New Roman" w:eastAsia="Times New Roman" w:cs="Times New Roman"/>
                <w:b w:val="0"/>
                <w:color w:val="000000"/>
                <w:sz w:val="24"/>
              </w:rPr>
              <w:t xml:space="preserve"> скидки; </w:t>
            </w:r>
            <w:r>
              <w:rPr>
                <w:rFonts w:ascii="Courier New" w:hAnsi="Courier New" w:eastAsia="Courier New" w:cs="Courier New"/>
                <w:b w:val="0"/>
                <w:color w:val="000000"/>
                <w:sz w:val="22"/>
              </w:rPr>
              <w:t>POST /api/orders/from-quote</w:t>
            </w:r>
            <w:r>
              <w:rPr>
                <w:rFonts w:ascii="Times New Roman" w:hAnsi="Times New Roman" w:eastAsia="Times New Roman" w:cs="Times New Roman"/>
                <w:b w:val="0"/>
                <w:color w:val="000000"/>
                <w:sz w:val="24"/>
              </w:rPr>
              <w:t xml:space="preserve">; смена статуса; </w:t>
            </w:r>
            <w:r>
              <w:rPr>
                <w:rFonts w:ascii="Courier New" w:hAnsi="Courier New" w:eastAsia="Courier New" w:cs="Courier New"/>
                <w:b w:val="0"/>
                <w:color w:val="000000"/>
                <w:sz w:val="22"/>
              </w:rPr>
              <w:t>GET /api/audit</w:t>
            </w:r>
          </w:p>
        </w:tc>
      </w:tr>
    </w:tbl>
    <w:p>
      <w:pPr>
        <w:spacing w:after="0"/>
      </w:pPr>
    </w:p>
    <w:p>
      <w:r>
        <w:rPr>
          <w:rFonts w:ascii="Times New Roman" w:hAnsi="Times New Roman" w:eastAsia="Times New Roman" w:cs="Times New Roman"/>
          <w:b w:val="0"/>
          <w:color w:val="000000"/>
          <w:sz w:val="28"/>
        </w:rPr>
        <w:t xml:space="preserve">Результат: заказ </w:t>
      </w:r>
      <w:r>
        <w:rPr>
          <w:rFonts w:ascii="Courier New" w:hAnsi="Courier New" w:eastAsia="Courier New" w:cs="Courier New"/>
          <w:b w:val="0"/>
          <w:color w:val="000000"/>
          <w:sz w:val="26"/>
        </w:rPr>
        <w:t>6ca999fe-...</w:t>
      </w:r>
      <w:r>
        <w:rPr>
          <w:rFonts w:ascii="Times New Roman" w:hAnsi="Times New Roman" w:eastAsia="Times New Roman" w:cs="Times New Roman"/>
          <w:b w:val="0"/>
          <w:color w:val="000000"/>
          <w:sz w:val="28"/>
        </w:rPr>
        <w:t xml:space="preserve">, в журнале 82 записи, и искомые изменения </w:t>
      </w:r>
      <w:r>
        <w:rPr>
          <w:rFonts w:ascii="Courier New" w:hAnsi="Courier New" w:eastAsia="Courier New" w:cs="Courier New"/>
          <w:b w:val="0"/>
          <w:color w:val="000000"/>
          <w:sz w:val="26"/>
        </w:rPr>
        <w:t>Discount.Percent 5.00→8.5</w:t>
      </w:r>
      <w:r>
        <w:rPr>
          <w:rFonts w:ascii="Times New Roman" w:hAnsi="Times New Roman" w:eastAsia="Times New Roman" w:cs="Times New Roman"/>
          <w:b w:val="0"/>
          <w:color w:val="000000"/>
          <w:sz w:val="28"/>
        </w:rPr>
        <w:t xml:space="preserve"> и </w:t>
      </w:r>
      <w:r>
        <w:rPr>
          <w:rFonts w:ascii="Courier New" w:hAnsi="Courier New" w:eastAsia="Courier New" w:cs="Courier New"/>
          <w:b w:val="0"/>
          <w:color w:val="000000"/>
          <w:sz w:val="26"/>
        </w:rPr>
        <w:t>Order.Status Draft→Placed</w:t>
      </w:r>
      <w:r>
        <w:rPr>
          <w:rFonts w:ascii="Times New Roman" w:hAnsi="Times New Roman" w:eastAsia="Times New Roman" w:cs="Times New Roman"/>
          <w:b w:val="0"/>
          <w:color w:val="000000"/>
          <w:sz w:val="28"/>
        </w:rPr>
        <w:t xml:space="preserve"> найдены. Этого достаточно, чтобы считать аудит не декоративным журналом вызовов, а источником восстановления значений.</w:t>
      </w:r>
    </w:p>
    <w:p>
      <w:pPr>
        <w:pStyle w:val="Heading2"/>
      </w:pPr>
      <w:r>
        <w:rPr>
          <w:rFonts w:ascii="Times New Roman" w:hAnsi="Times New Roman" w:eastAsia="Times New Roman" w:cs="Times New Roman"/>
          <w:b/>
          <w:color w:val="000000"/>
          <w:sz w:val="28"/>
        </w:rPr>
        <w:t>6.6 Тест «Резерв остатка»</w:t>
      </w:r>
    </w:p>
    <w:p>
      <w:r>
        <w:rPr>
          <w:rFonts w:ascii="Times New Roman" w:hAnsi="Times New Roman" w:eastAsia="Times New Roman" w:cs="Times New Roman"/>
          <w:b w:val="0"/>
          <w:color w:val="000000"/>
          <w:sz w:val="28"/>
        </w:rPr>
        <w:t xml:space="preserve">Остаток не должен уходить ниже нуля, а уменьшение, возврат и обнуление должны проходить одним и тем же контрактом. Сценарий закрывает инвариант заказа: резерв при </w:t>
      </w:r>
      <w:r>
        <w:rPr>
          <w:rFonts w:ascii="Courier New" w:hAnsi="Courier New" w:eastAsia="Courier New" w:cs="Courier New"/>
          <w:b w:val="0"/>
          <w:color w:val="000000"/>
          <w:sz w:val="26"/>
        </w:rPr>
        <w:t>Placed</w:t>
      </w:r>
      <w:r>
        <w:rPr>
          <w:rFonts w:ascii="Times New Roman" w:hAnsi="Times New Roman" w:eastAsia="Times New Roman" w:cs="Times New Roman"/>
          <w:b w:val="0"/>
          <w:color w:val="000000"/>
          <w:sz w:val="28"/>
        </w:rPr>
        <w:t xml:space="preserve"> и возврат при отмене обязаны пользоваться одним API, иначе складской остаток разъедется между сервисами. На вынесенном пути Ordering вызывает </w:t>
      </w:r>
      <w:r>
        <w:rPr>
          <w:rFonts w:ascii="Courier New" w:hAnsi="Courier New" w:eastAsia="Courier New" w:cs="Courier New"/>
          <w:b w:val="0"/>
          <w:color w:val="000000"/>
          <w:sz w:val="26"/>
        </w:rPr>
        <w:t>POST /api/catalog/stock/adjust</w:t>
      </w:r>
      <w:r>
        <w:rPr>
          <w:rFonts w:ascii="Times New Roman" w:hAnsi="Times New Roman" w:eastAsia="Times New Roman" w:cs="Times New Roman"/>
          <w:b w:val="0"/>
          <w:color w:val="000000"/>
          <w:sz w:val="28"/>
        </w:rPr>
        <w:t>; живой прогон проверяет этот контракт на Catalog, чего InMemory-монолит не доказывает. Условия кейса с начальным остатком 10 сведены в таблицу 38.</w:t>
      </w:r>
    </w:p>
    <w:p>
      <w:pPr>
        <w:pStyle w:val="GOSTCaption"/>
        <w:keepNext/>
        <w:jc w:val="left"/>
      </w:pPr>
      <w:r>
        <w:rPr>
          <w:rFonts w:ascii="Times New Roman" w:hAnsi="Times New Roman" w:eastAsia="Times New Roman" w:cs="Times New Roman"/>
          <w:b w:val="0"/>
          <w:color w:val="000000"/>
          <w:sz w:val="28"/>
        </w:rPr>
        <w:t xml:space="preserve">Таблица 38 – Тест-кейс </w:t>
      </w:r>
      <w:r>
        <w:rPr>
          <w:rFonts w:ascii="Courier New" w:hAnsi="Courier New" w:eastAsia="Courier New" w:cs="Courier New"/>
          <w:b w:val="0"/>
          <w:color w:val="000000"/>
          <w:sz w:val="26"/>
        </w:rPr>
        <w:t>stock/adjust</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3149"/>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Поле</w:t>
            </w:r>
          </w:p>
        </w:tc>
        <w:tc>
          <w:tcPr>
            <w:tcW w:type="dxa" w:w="6206"/>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Содержание</w:t>
            </w:r>
          </w:p>
        </w:tc>
      </w:tr>
      <w:tr>
        <w:trPr>
          <w:cantSplit w:val="true"/>
        </w:trPr>
        <w:tc>
          <w:tcPr>
            <w:tcW w:type="dxa" w:w="314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Набор входных данных</w:t>
            </w:r>
          </w:p>
        </w:tc>
        <w:tc>
          <w:tcPr>
            <w:tcW w:type="dxa" w:w="620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остаток 10</w:t>
            </w:r>
          </w:p>
        </w:tc>
      </w:tr>
      <w:tr>
        <w:trPr>
          <w:cantSplit w:val="true"/>
        </w:trPr>
        <w:tc>
          <w:tcPr>
            <w:tcW w:type="dxa" w:w="314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Ожидаемые результаты</w:t>
            </w:r>
          </w:p>
        </w:tc>
        <w:tc>
          <w:tcPr>
            <w:tcW w:type="dxa" w:w="620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уменьшение до 7, возврат до 10, обнуление до 0; HTTP 204</w:t>
            </w:r>
          </w:p>
        </w:tc>
      </w:tr>
      <w:tr>
        <w:trPr>
          <w:cantSplit w:val="true"/>
        </w:trPr>
        <w:tc>
          <w:tcPr>
            <w:tcW w:type="dxa" w:w="3149"/>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Выполняемые действия</w:t>
            </w:r>
          </w:p>
        </w:tc>
        <w:tc>
          <w:tcPr>
            <w:tcW w:type="dxa" w:w="6206"/>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три вызова </w:t>
            </w:r>
            <w:r>
              <w:rPr>
                <w:rFonts w:ascii="Courier New" w:hAnsi="Courier New" w:eastAsia="Courier New" w:cs="Courier New"/>
                <w:b w:val="0"/>
                <w:color w:val="000000"/>
                <w:sz w:val="22"/>
              </w:rPr>
              <w:t>POST /api/catalog/stock/adjust</w:t>
            </w:r>
          </w:p>
        </w:tc>
      </w:tr>
    </w:tbl>
    <w:p>
      <w:pPr>
        <w:spacing w:after="0"/>
      </w:pPr>
    </w:p>
    <w:p>
      <w:r>
        <w:rPr>
          <w:rFonts w:ascii="Times New Roman" w:hAnsi="Times New Roman" w:eastAsia="Times New Roman" w:cs="Times New Roman"/>
          <w:b w:val="0"/>
          <w:color w:val="000000"/>
          <w:sz w:val="28"/>
        </w:rPr>
        <w:t>Результат: остаток прошёл 10→7→10→0, все три вызова вернули HTTP 204, отрицательного остатка нет. Подтверждение здесь количественное: конечное значение и код ответа, а не только отсутствие исключения.</w:t>
      </w:r>
    </w:p>
    <w:p>
      <w:pPr>
        <w:pStyle w:val="Heading2"/>
      </w:pPr>
      <w:r>
        <w:rPr>
          <w:rFonts w:ascii="Times New Roman" w:hAnsi="Times New Roman" w:eastAsia="Times New Roman" w:cs="Times New Roman"/>
          <w:b/>
          <w:color w:val="000000"/>
          <w:sz w:val="28"/>
        </w:rPr>
        <w:t>6.7 Тест «Поиск после импорта и письма»</w:t>
      </w:r>
    </w:p>
    <w:p>
      <w:r>
        <w:rPr>
          <w:rFonts w:ascii="Times New Roman" w:hAnsi="Times New Roman" w:eastAsia="Times New Roman" w:cs="Times New Roman"/>
          <w:b w:val="0"/>
          <w:color w:val="000000"/>
          <w:sz w:val="28"/>
        </w:rPr>
        <w:t>Только что импортированный SKU должен находиться через индекс, а диспетчер почты не должен слать дубль при повторном проходе. Сценарий проверяет как раз тот контур, который модульные тесты принципиально не видят: Outbox, JetStream, Worker, Meilisearch и SMTP/MailHog. Если импорт успешен, а поиск пуст, РП получит каталог, которым нельзя пользоваться на экране сопоставления. Условия кейса с только что импортированным SKU и MailHog сведены в таблицу 39.</w:t>
      </w:r>
    </w:p>
    <w:p>
      <w:pPr>
        <w:pStyle w:val="GOSTCaption"/>
        <w:keepNext/>
        <w:jc w:val="left"/>
      </w:pPr>
      <w:r>
        <w:rPr>
          <w:rFonts w:ascii="Times New Roman" w:hAnsi="Times New Roman" w:eastAsia="Times New Roman" w:cs="Times New Roman"/>
          <w:b w:val="0"/>
          <w:color w:val="000000"/>
          <w:sz w:val="28"/>
        </w:rPr>
        <w:t>Таблица 39 – Тест-кейс поиска и SMTP</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2680"/>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Поле</w:t>
            </w:r>
          </w:p>
        </w:tc>
        <w:tc>
          <w:tcPr>
            <w:tcW w:type="dxa" w:w="6674"/>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Содержание</w:t>
            </w:r>
          </w:p>
        </w:tc>
      </w:tr>
      <w:tr>
        <w:trPr>
          <w:cantSplit w:val="true"/>
        </w:trPr>
        <w:tc>
          <w:tcPr>
            <w:tcW w:type="dxa" w:w="268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Набор входных данных</w:t>
            </w:r>
          </w:p>
        </w:tc>
        <w:tc>
          <w:tcPr>
            <w:tcW w:type="dxa" w:w="66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только что импортированный SKU; MailHog на стенде; адреса ролей</w:t>
            </w:r>
          </w:p>
        </w:tc>
      </w:tr>
      <w:tr>
        <w:trPr>
          <w:cantSplit w:val="true"/>
        </w:trPr>
        <w:tc>
          <w:tcPr>
            <w:tcW w:type="dxa" w:w="268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Ожидаемые результаты</w:t>
            </w:r>
          </w:p>
        </w:tc>
        <w:tc>
          <w:tcPr>
            <w:tcW w:type="dxa" w:w="6674"/>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GET /api/search</w:t>
            </w:r>
            <w:r>
              <w:rPr>
                <w:rFonts w:ascii="Times New Roman" w:hAnsi="Times New Roman" w:eastAsia="Times New Roman" w:cs="Times New Roman"/>
                <w:b w:val="0"/>
                <w:color w:val="000000"/>
                <w:sz w:val="24"/>
              </w:rPr>
              <w:t xml:space="preserve"> находит документ; в MailHog есть письма ролям; повтор диспетчера не создаёт дубль</w:t>
            </w:r>
          </w:p>
        </w:tc>
      </w:tr>
      <w:tr>
        <w:trPr>
          <w:cantSplit w:val="true"/>
        </w:trPr>
        <w:tc>
          <w:tcPr>
            <w:tcW w:type="dxa" w:w="268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Выполняемые действия</w:t>
            </w:r>
          </w:p>
        </w:tc>
        <w:tc>
          <w:tcPr>
            <w:tcW w:type="dxa" w:w="66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поиск по API; чтение MailHog; повторный проход диспетчера</w:t>
            </w:r>
          </w:p>
        </w:tc>
      </w:tr>
    </w:tbl>
    <w:p>
      <w:pPr>
        <w:spacing w:after="0"/>
      </w:pPr>
    </w:p>
    <w:p>
      <w:r>
        <w:rPr>
          <w:rFonts w:ascii="Times New Roman" w:hAnsi="Times New Roman" w:eastAsia="Times New Roman" w:cs="Times New Roman"/>
          <w:b w:val="0"/>
          <w:color w:val="000000"/>
          <w:sz w:val="28"/>
        </w:rPr>
        <w:t>Результат: hits поиска = 2, писем 2, повтор дал delta=0. Экран сопоставления спецификации, который опирается на тот же поисковый контур, показан на рисунке 31. Нулевая дельта повторного прохода подтверждает уникальный ключ уведомления, без которого колокольчик и почта размножили бы одно и то же событие.</w:t>
      </w:r>
    </w:p>
    <w:p>
      <w:pPr>
        <w:keepNext/>
        <w:spacing w:line="240" w:lineRule="auto" w:before="240" w:after="0"/>
        <w:ind w:firstLine="0"/>
        <w:jc w:val="center"/>
      </w:pPr>
      <w:r>
        <w:drawing>
          <wp:inline xmlns:a="http://schemas.openxmlformats.org/drawingml/2006/main" xmlns:pic="http://schemas.openxmlformats.org/drawingml/2006/picture">
            <wp:extent cx="5760000" cy="7339355"/>
            <wp:docPr id="31" name="Picture 31"/>
            <wp:cNvGraphicFramePr>
              <a:graphicFrameLocks noChangeAspect="1"/>
            </wp:cNvGraphicFramePr>
            <a:graphic>
              <a:graphicData uri="http://schemas.openxmlformats.org/drawingml/2006/picture">
                <pic:pic>
                  <pic:nvPicPr>
                    <pic:cNvPr id="0" name="ris-11-match.png"/>
                    <pic:cNvPicPr/>
                  </pic:nvPicPr>
                  <pic:blipFill>
                    <a:blip r:embed="rId30"/>
                    <a:stretch>
                      <a:fillRect/>
                    </a:stretch>
                  </pic:blipFill>
                  <pic:spPr>
                    <a:xfrm>
                      <a:off x="0" y="0"/>
                      <a:ext cx="5760000" cy="7339355"/>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31 – Результат: экран сопоставления спецификации</w:t>
      </w:r>
    </w:p>
    <w:p>
      <w:pPr>
        <w:pStyle w:val="Heading2"/>
      </w:pPr>
      <w:r>
        <w:rPr>
          <w:rFonts w:ascii="Times New Roman" w:hAnsi="Times New Roman" w:eastAsia="Times New Roman" w:cs="Times New Roman"/>
          <w:b/>
          <w:color w:val="000000"/>
          <w:sz w:val="28"/>
        </w:rPr>
        <w:t>6.8 Тест «Приёмка на складе»</w:t>
      </w:r>
    </w:p>
    <w:p>
      <w:r>
        <w:rPr>
          <w:rFonts w:ascii="Times New Roman" w:hAnsi="Times New Roman" w:eastAsia="Times New Roman" w:cs="Times New Roman"/>
          <w:b w:val="0"/>
          <w:color w:val="000000"/>
          <w:sz w:val="28"/>
        </w:rPr>
        <w:t>Документ приёмки проводится один раз: повтор должен быть запрещён, расхождение заказано/принято видно, шлюзы возвращают ссылки. Сценарий замыкает БТ-6 и отличает учебный стенд от промышленного контура: шлюзы обязаны ответить по контракту, но это не доказательство обмена с живой 1С. Модульные тесты проверяют инвариант «проведение один раз» на сущности; живой прогон добавляет вызов моков и продвижение связанного счёта. Условия кейса с токеном склада и фактическими количествами сведены в таблицу 40.</w:t>
      </w:r>
    </w:p>
    <w:p>
      <w:pPr>
        <w:pStyle w:val="GOSTCaption"/>
        <w:keepNext/>
        <w:jc w:val="left"/>
      </w:pPr>
      <w:r>
        <w:rPr>
          <w:rFonts w:ascii="Times New Roman" w:hAnsi="Times New Roman" w:eastAsia="Times New Roman" w:cs="Times New Roman"/>
          <w:b w:val="0"/>
          <w:color w:val="000000"/>
          <w:sz w:val="28"/>
        </w:rPr>
        <w:t>Таблица 40 – Тест-кейс приёмки</w:t>
      </w:r>
    </w:p>
    <w:tbl>
      <w:tblPr>
        <w:tblStyle w:val="TableGrid"/>
        <w:tblW w:type="auto" w:w="0"/>
        <w:jc w:val="center"/>
        <w:tblLayout w:type="fixed"/>
        <w:tblLook w:firstColumn="1" w:firstRow="1" w:lastColumn="0" w:lastRow="0" w:noHBand="0" w:noVBand="1" w:val="04A0"/>
      </w:tblPr>
      <w:tblGrid>
        <w:gridCol w:w="4677"/>
        <w:gridCol w:w="4677"/>
      </w:tblGrid>
      <w:tr>
        <w:trPr>
          <w:cantSplit w:val="true"/>
          <w:tblHeader w:val="true"/>
        </w:trPr>
        <w:tc>
          <w:tcPr>
            <w:tcW w:type="dxa" w:w="2674"/>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Поле</w:t>
            </w:r>
          </w:p>
        </w:tc>
        <w:tc>
          <w:tcPr>
            <w:tcW w:type="dxa" w:w="6680"/>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Содержание</w:t>
            </w:r>
          </w:p>
        </w:tc>
      </w:tr>
      <w:tr>
        <w:trPr>
          <w:cantSplit w:val="true"/>
        </w:trPr>
        <w:tc>
          <w:tcPr>
            <w:tcW w:type="dxa" w:w="26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Набор входных данных</w:t>
            </w:r>
          </w:p>
        </w:tc>
        <w:tc>
          <w:tcPr>
            <w:tcW w:type="dxa" w:w="668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заказ в статусе, допускающем приёмку; токен </w:t>
            </w:r>
            <w:r>
              <w:rPr>
                <w:rFonts w:ascii="Courier New" w:hAnsi="Courier New" w:eastAsia="Courier New" w:cs="Courier New"/>
                <w:b w:val="0"/>
                <w:color w:val="000000"/>
                <w:sz w:val="22"/>
              </w:rPr>
              <w:t>warehouse</w:t>
            </w:r>
            <w:r>
              <w:rPr>
                <w:rFonts w:ascii="Times New Roman" w:hAnsi="Times New Roman" w:eastAsia="Times New Roman" w:cs="Times New Roman"/>
                <w:b w:val="0"/>
                <w:color w:val="000000"/>
                <w:sz w:val="24"/>
              </w:rPr>
              <w:t>; количества факт</w:t>
            </w:r>
          </w:p>
        </w:tc>
      </w:tr>
      <w:tr>
        <w:trPr>
          <w:cantSplit w:val="true"/>
        </w:trPr>
        <w:tc>
          <w:tcPr>
            <w:tcW w:type="dxa" w:w="26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Ожидаемые результаты</w:t>
            </w:r>
          </w:p>
        </w:tc>
        <w:tc>
          <w:tcPr>
            <w:tcW w:type="dxa" w:w="668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документ проводится один раз; расхождение видно; шлюзы возвращают ссылки; повторное проведение запрещено</w:t>
            </w:r>
          </w:p>
        </w:tc>
      </w:tr>
      <w:tr>
        <w:trPr>
          <w:cantSplit w:val="true"/>
        </w:trPr>
        <w:tc>
          <w:tcPr>
            <w:tcW w:type="dxa" w:w="2674"/>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Выполняемые действия</w:t>
            </w:r>
          </w:p>
        </w:tc>
        <w:tc>
          <w:tcPr>
            <w:tcW w:type="dxa" w:w="6680"/>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создать приёмку, ввести количества, провести</w:t>
            </w:r>
          </w:p>
        </w:tc>
      </w:tr>
    </w:tbl>
    <w:p>
      <w:pPr>
        <w:spacing w:after="0"/>
      </w:pPr>
    </w:p>
    <w:p>
      <w:r>
        <w:rPr>
          <w:rFonts w:ascii="Times New Roman" w:hAnsi="Times New Roman" w:eastAsia="Times New Roman" w:cs="Times New Roman"/>
          <w:b w:val="0"/>
          <w:color w:val="000000"/>
          <w:sz w:val="28"/>
        </w:rPr>
        <w:t>Результат на стенде подтверждается экраном склада и шлюзами-моками, при этом реальный обмен с 1С/WMS не выполнялся и не заявляется. Экран складской приёмки, на котором оператор видит расхождение заказано/принято, показан на рисунке 32. Для приёмки MVP этого достаточно при условии, что упрощение явно перечислено и не выдаётся за промышленную интеграцию.</w:t>
      </w:r>
    </w:p>
    <w:p>
      <w:pPr>
        <w:keepNext/>
        <w:spacing w:line="240" w:lineRule="auto" w:before="240" w:after="0"/>
        <w:ind w:firstLine="0"/>
        <w:jc w:val="center"/>
      </w:pPr>
      <w:r>
        <w:drawing>
          <wp:inline xmlns:a="http://schemas.openxmlformats.org/drawingml/2006/main" xmlns:pic="http://schemas.openxmlformats.org/drawingml/2006/picture">
            <wp:extent cx="5760000" cy="1978065"/>
            <wp:docPr id="32" name="Picture 32"/>
            <wp:cNvGraphicFramePr>
              <a:graphicFrameLocks noChangeAspect="1"/>
            </wp:cNvGraphicFramePr>
            <a:graphic>
              <a:graphicData uri="http://schemas.openxmlformats.org/drawingml/2006/picture">
                <pic:pic>
                  <pic:nvPicPr>
                    <pic:cNvPr id="0" name="ris-15-warehouse.png"/>
                    <pic:cNvPicPr/>
                  </pic:nvPicPr>
                  <pic:blipFill>
                    <a:blip r:embed="rId34"/>
                    <a:stretch>
                      <a:fillRect/>
                    </a:stretch>
                  </pic:blipFill>
                  <pic:spPr>
                    <a:xfrm>
                      <a:off x="0" y="0"/>
                      <a:ext cx="5760000" cy="1978065"/>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32 – Результат: складская приёмка</w:t>
      </w:r>
    </w:p>
    <w:p>
      <w:pPr>
        <w:pStyle w:val="Heading2"/>
      </w:pPr>
      <w:r>
        <w:rPr>
          <w:rFonts w:ascii="Times New Roman" w:hAnsi="Times New Roman" w:eastAsia="Times New Roman" w:cs="Times New Roman"/>
          <w:b/>
          <w:color w:val="000000"/>
          <w:sz w:val="28"/>
        </w:rPr>
        <w:t>6.9 Сводные результаты</w:t>
      </w:r>
    </w:p>
    <w:p>
      <w:r>
        <w:rPr>
          <w:rFonts w:ascii="Times New Roman" w:hAnsi="Times New Roman" w:eastAsia="Times New Roman" w:cs="Times New Roman"/>
          <w:b w:val="0"/>
          <w:color w:val="000000"/>
          <w:sz w:val="28"/>
        </w:rPr>
        <w:t xml:space="preserve">Зафиксированные прогоны, на которые опирается приёмка учебной версии, сведены в таблицу 41. Скрипт </w:t>
      </w:r>
      <w:r>
        <w:rPr>
          <w:rFonts w:ascii="Courier New" w:hAnsi="Courier New" w:eastAsia="Courier New" w:cs="Courier New"/>
          <w:b w:val="0"/>
          <w:color w:val="000000"/>
          <w:sz w:val="26"/>
        </w:rPr>
        <w:t>tests/e2e/verify_cutover.py</w:t>
      </w:r>
      <w:r>
        <w:rPr>
          <w:rFonts w:ascii="Times New Roman" w:hAnsi="Times New Roman" w:eastAsia="Times New Roman" w:cs="Times New Roman"/>
          <w:b w:val="0"/>
          <w:color w:val="000000"/>
          <w:sz w:val="28"/>
        </w:rPr>
        <w:t xml:space="preserve"> дополнительно сверяет, что списки через шлюз и напрямую из монолита совпадают (10 из 10 проверок); это проверка cutover, а не ещё один функциональный сценарий РП. В сводку вынесен более широкий обход префиксов </w:t>
      </w:r>
      <w:r>
        <w:rPr>
          <w:rFonts w:ascii="Courier New" w:hAnsi="Courier New" w:eastAsia="Courier New" w:cs="Courier New"/>
          <w:b w:val="0"/>
          <w:color w:val="000000"/>
          <w:sz w:val="26"/>
        </w:rPr>
        <w:t>verify_services.py</w:t>
      </w:r>
      <w:r>
        <w:rPr>
          <w:rFonts w:ascii="Times New Roman" w:hAnsi="Times New Roman" w:eastAsia="Times New Roman" w:cs="Times New Roman"/>
          <w:b w:val="0"/>
          <w:color w:val="000000"/>
          <w:sz w:val="28"/>
        </w:rPr>
        <w:t>, потому что он покрывает Matching, Retail и catch-all поиска. Вместе три прогона отвечают на разные вопросы: доменные правила, маршруты шлюза и сквозной HTTP-контур от импорта до склада.</w:t>
      </w:r>
    </w:p>
    <w:p>
      <w:pPr>
        <w:pStyle w:val="GOSTCaption"/>
        <w:keepNext/>
        <w:jc w:val="left"/>
      </w:pPr>
      <w:r>
        <w:rPr>
          <w:rFonts w:ascii="Times New Roman" w:hAnsi="Times New Roman" w:eastAsia="Times New Roman" w:cs="Times New Roman"/>
          <w:b w:val="0"/>
          <w:color w:val="000000"/>
          <w:sz w:val="28"/>
        </w:rPr>
        <w:t>Таблица 41 – Зафиксированные прогоны</w:t>
      </w:r>
    </w:p>
    <w:tbl>
      <w:tblPr>
        <w:tblStyle w:val="TableGrid"/>
        <w:tblW w:type="auto" w:w="0"/>
        <w:jc w:val="center"/>
        <w:tblLayout w:type="fixed"/>
        <w:tblLook w:firstColumn="1" w:firstRow="1" w:lastColumn="0" w:lastRow="0" w:noHBand="0" w:noVBand="1" w:val="04A0"/>
      </w:tblPr>
      <w:tblGrid>
        <w:gridCol w:w="3118"/>
        <w:gridCol w:w="3118"/>
        <w:gridCol w:w="3118"/>
      </w:tblGrid>
      <w:tr>
        <w:trPr>
          <w:cantSplit w:val="true"/>
          <w:tblHeader w:val="true"/>
        </w:trPr>
        <w:tc>
          <w:tcPr>
            <w:tcW w:type="dxa" w:w="1775"/>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Объект</w:t>
            </w:r>
          </w:p>
        </w:tc>
        <w:tc>
          <w:tcPr>
            <w:tcW w:type="dxa" w:w="2548"/>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Результат</w:t>
            </w:r>
          </w:p>
        </w:tc>
        <w:tc>
          <w:tcPr>
            <w:tcW w:type="dxa" w:w="5031"/>
            <w:vAlign w:val="center"/>
            <w:tcMar>
              <w:top w:w="70" w:type="dxa"/>
              <w:start w:w="90" w:type="dxa"/>
              <w:bottom w:w="70" w:type="dxa"/>
              <w:end w:w="90" w:type="dxa"/>
            </w:tcMar>
          </w:tcPr>
          <w:p>
            <w:pPr>
              <w:spacing w:line="240" w:lineRule="auto" w:before="0" w:after="0"/>
              <w:ind w:firstLine="0"/>
              <w:jc w:val="center"/>
            </w:pPr>
            <w:r>
              <w:rPr>
                <w:rFonts w:ascii="Times New Roman" w:hAnsi="Times New Roman" w:eastAsia="Times New Roman" w:cs="Times New Roman"/>
                <w:b/>
                <w:color w:val="000000"/>
                <w:sz w:val="24"/>
              </w:rPr>
              <w:t>Дата / источник</w:t>
            </w:r>
          </w:p>
        </w:tc>
      </w:tr>
      <w:tr>
        <w:trPr>
          <w:cantSplit w:val="true"/>
        </w:trPr>
        <w:tc>
          <w:tcPr>
            <w:tcW w:type="dxa" w:w="177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E2E ночной прогон</w:t>
            </w:r>
          </w:p>
        </w:tc>
        <w:tc>
          <w:tcPr>
            <w:tcW w:type="dxa" w:w="254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30 / 30</w:t>
            </w:r>
          </w:p>
        </w:tc>
        <w:tc>
          <w:tcPr>
            <w:tcW w:type="dxa" w:w="5031"/>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tests/e2e/e2e_results_2026-09-12.txt</w:t>
            </w:r>
          </w:p>
        </w:tc>
      </w:tr>
      <w:tr>
        <w:trPr>
          <w:cantSplit w:val="true"/>
        </w:trPr>
        <w:tc>
          <w:tcPr>
            <w:tcW w:type="dxa" w:w="1775"/>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dotnet test</w:t>
            </w:r>
          </w:p>
        </w:tc>
        <w:tc>
          <w:tcPr>
            <w:tcW w:type="dxa" w:w="254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93 всего, 92 пройдено, 1 пропущен</w:t>
            </w:r>
          </w:p>
        </w:tc>
        <w:tc>
          <w:tcPr>
            <w:tcW w:type="dxa" w:w="5031"/>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tests/ProcurementSystem.Tests</w:t>
            </w:r>
          </w:p>
        </w:tc>
      </w:tr>
      <w:tr>
        <w:trPr>
          <w:cantSplit w:val="true"/>
        </w:trPr>
        <w:tc>
          <w:tcPr>
            <w:tcW w:type="dxa" w:w="177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Префиксы шлюза</w:t>
            </w:r>
          </w:p>
        </w:tc>
        <w:tc>
          <w:tcPr>
            <w:tcW w:type="dxa" w:w="254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15 / 15</w:t>
            </w:r>
          </w:p>
        </w:tc>
        <w:tc>
          <w:tcPr>
            <w:tcW w:type="dxa" w:w="5031"/>
            <w:vAlign w:val="center"/>
            <w:tcMar>
              <w:top w:w="70" w:type="dxa"/>
              <w:start w:w="90" w:type="dxa"/>
              <w:bottom w:w="70" w:type="dxa"/>
              <w:end w:w="90" w:type="dxa"/>
            </w:tcMar>
          </w:tcPr>
          <w:p>
            <w:pPr>
              <w:spacing w:line="240" w:lineRule="auto" w:before="0" w:after="0"/>
              <w:ind w:firstLine="0"/>
              <w:jc w:val="left"/>
            </w:pPr>
            <w:r>
              <w:rPr>
                <w:rFonts w:ascii="Courier New" w:hAnsi="Courier New" w:eastAsia="Courier New" w:cs="Courier New"/>
                <w:b w:val="0"/>
                <w:color w:val="000000"/>
                <w:sz w:val="22"/>
              </w:rPr>
              <w:t>tests/e2e/verify_services.py</w:t>
            </w:r>
          </w:p>
        </w:tc>
      </w:tr>
      <w:tr>
        <w:trPr>
          <w:cantSplit w:val="true"/>
        </w:trPr>
        <w:tc>
          <w:tcPr>
            <w:tcW w:type="dxa" w:w="1775"/>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Импорт EKF</w:t>
            </w:r>
          </w:p>
        </w:tc>
        <w:tc>
          <w:tcPr>
            <w:tcW w:type="dxa" w:w="2548"/>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20 884 строки, ~33 с, 20 780 товаров, 92 ошибки «цена по запросу»</w:t>
            </w:r>
          </w:p>
        </w:tc>
        <w:tc>
          <w:tcPr>
            <w:tcW w:type="dxa" w:w="5031"/>
            <w:vAlign w:val="center"/>
            <w:tcMar>
              <w:top w:w="70" w:type="dxa"/>
              <w:start w:w="90" w:type="dxa"/>
              <w:bottom w:w="70" w:type="dxa"/>
              <w:end w:w="90" w:type="dxa"/>
            </w:tcMar>
          </w:tcPr>
          <w:p>
            <w:pPr>
              <w:spacing w:line="240" w:lineRule="auto" w:before="0" w:after="0"/>
              <w:ind w:firstLine="0"/>
              <w:jc w:val="left"/>
            </w:pPr>
            <w:r>
              <w:rPr>
                <w:rFonts w:ascii="Times New Roman" w:hAnsi="Times New Roman" w:eastAsia="Times New Roman" w:cs="Times New Roman"/>
                <w:b w:val="0"/>
                <w:color w:val="000000"/>
                <w:sz w:val="24"/>
              </w:rPr>
              <w:t>README</w:t>
            </w:r>
          </w:p>
        </w:tc>
      </w:tr>
    </w:tbl>
    <w:p>
      <w:pPr>
        <w:spacing w:after="0"/>
      </w:pPr>
    </w:p>
    <w:p>
      <w:r>
        <w:rPr>
          <w:rFonts w:ascii="Times New Roman" w:hAnsi="Times New Roman" w:eastAsia="Times New Roman" w:cs="Times New Roman"/>
          <w:b w:val="0"/>
          <w:color w:val="000000"/>
          <w:sz w:val="28"/>
        </w:rPr>
        <w:t>Тесты не маскируют известные упрощения, иначе зелёный протокол выдавал бы за закрытое то, чего в реализации нет. Круга согласователей внешнего NOC нет, проверка договора как отдельная стадия отсутствует. Аналитика работает без фильтров и экспорта, обмен с 1С и WMS остаётся моком, контуры высокой доступности и резервного копирования не развёрнуты. Эти пункты совпадают со сверкой ТЗ и не считаются ложноположительными прохождениями: сценарий, которого нет в реализации, не объявляется зелёным. Журнал проектов как итоговый контур процесса показан на рисунке 33.</w:t>
      </w:r>
    </w:p>
    <w:p>
      <w:pPr>
        <w:keepNext/>
        <w:spacing w:line="240" w:lineRule="auto" w:before="240" w:after="0"/>
        <w:ind w:firstLine="0"/>
        <w:jc w:val="center"/>
      </w:pPr>
      <w:r>
        <w:drawing>
          <wp:inline xmlns:a="http://schemas.openxmlformats.org/drawingml/2006/main" xmlns:pic="http://schemas.openxmlformats.org/drawingml/2006/picture">
            <wp:extent cx="5342986" cy="7379999"/>
            <wp:docPr id="33" name="Picture 33"/>
            <wp:cNvGraphicFramePr>
              <a:graphicFrameLocks noChangeAspect="1"/>
            </wp:cNvGraphicFramePr>
            <a:graphic>
              <a:graphicData uri="http://schemas.openxmlformats.org/drawingml/2006/picture">
                <pic:pic>
                  <pic:nvPicPr>
                    <pic:cNvPr id="0" name="ris-16-projects.png"/>
                    <pic:cNvPicPr/>
                  </pic:nvPicPr>
                  <pic:blipFill>
                    <a:blip r:embed="rId35"/>
                    <a:stretch>
                      <a:fillRect/>
                    </a:stretch>
                  </pic:blipFill>
                  <pic:spPr>
                    <a:xfrm>
                      <a:off x="0" y="0"/>
                      <a:ext cx="5342986" cy="7379999"/>
                    </a:xfrm>
                    <a:prstGeom prst="rect"/>
                  </pic:spPr>
                </pic:pic>
              </a:graphicData>
            </a:graphic>
          </wp:inline>
        </w:drawing>
      </w:r>
    </w:p>
    <w:p>
      <w:pPr>
        <w:pStyle w:val="GOSTCaption"/>
        <w:keepNext w:val="0"/>
        <w:spacing w:before="120" w:after="240"/>
        <w:jc w:val="center"/>
      </w:pPr>
      <w:r>
        <w:rPr>
          <w:rFonts w:ascii="Times New Roman" w:hAnsi="Times New Roman" w:eastAsia="Times New Roman" w:cs="Times New Roman"/>
          <w:b w:val="0"/>
          <w:color w:val="000000"/>
          <w:sz w:val="28"/>
        </w:rPr>
        <w:t>Рисунок 33 – Журнал проектов как итоговый контур процесса</w:t>
      </w:r>
    </w:p>
    <w:p>
      <w:pPr>
        <w:pStyle w:val="Heading1"/>
        <w:jc w:val="center"/>
      </w:pPr>
      <w:r>
        <w:rPr>
          <w:rFonts w:ascii="Times New Roman" w:hAnsi="Times New Roman" w:eastAsia="Times New Roman" w:cs="Times New Roman"/>
          <w:b/>
          <w:color w:val="000000"/>
          <w:sz w:val="28"/>
        </w:rPr>
        <w:t>ЗАКЛЮЧЕНИЕ</w:t>
      </w:r>
    </w:p>
    <w:p>
      <w:r>
        <w:rPr>
          <w:rFonts w:ascii="Times New Roman" w:hAnsi="Times New Roman" w:eastAsia="Times New Roman" w:cs="Times New Roman"/>
          <w:b w:val="0"/>
          <w:color w:val="000000"/>
          <w:sz w:val="28"/>
        </w:rPr>
        <w:t>Поставленные во введении задачи выполнены в границах первой учебной версии, без претензии на промышленный контур заказчика. Обязательные функции §14 ТЗ закрыты полностью (11 из 11), а сквозной процесс от Excel-прайса до отметки в учётной системе проходит на Docker-стенде. Критерием служили не обещанные проценты снижения себестоимости, а воспроизводимый расчёт, ролевые границы и живые прогоны 12.09.2026. Дальнейший текст отвечает на каждую задачу конкретным результатом: объёмами импорта, составом сервисов и прогонами стенда.</w:t>
      </w:r>
    </w:p>
    <w:p>
      <w:r>
        <w:rPr>
          <w:rFonts w:ascii="Times New Roman" w:hAnsi="Times New Roman" w:eastAsia="Times New Roman" w:cs="Times New Roman"/>
          <w:b w:val="0"/>
          <w:color w:val="000000"/>
          <w:sz w:val="28"/>
        </w:rPr>
        <w:t>Бизнес-анализ закупочного процесса выполнен по ТЗ версии 1.0 от 24.04.2026 и по ответам на открытые вопросы. Отдельного подписанного протокола интервью в репозитории нет, поэтому диалог реконструирован по тексту ТЗ и по решениям, заложенным в систему. Словарь зафиксировал двадцать четыре термина процесса, а модельная анкета из десяти вопросов подтвердила приоритет импорта произвольного Excel и нескольких вариантов КП. Ситуация AS IS описывает ручной разбор неоднородных прайсов без снимка цены; TO BE закрывает разрыв между входом Excel и оформленным документом, не подменяя 1С. Бизнес-требования БТ-1…БТ-9 и карта воздействий задали высокий приоритет каталогу, сопоставлению, вариантам КП, маршруту коммерческого блока и снимку исполнения.</w:t>
      </w:r>
    </w:p>
    <w:p>
      <w:r>
        <w:rPr>
          <w:rFonts w:ascii="Times New Roman" w:hAnsi="Times New Roman" w:eastAsia="Times New Roman" w:cs="Times New Roman"/>
          <w:b w:val="0"/>
          <w:color w:val="000000"/>
          <w:sz w:val="28"/>
        </w:rPr>
        <w:t>Сравнительный анализ пяти продуктов показал, что ни один не закрывает сразу разбор произвольных прайсов, сопоставление перечня с вероятностью, четыре варианта КП и внутренний маршрут коммерческого блока. «1С:Управление торговлей» оставлена смежной системой учёта [29]; SAP Ariba и AGORA отклонены как несоразмерные учебному MVP [30, 31, 33, 34]. B2B-Center закрывает рыночные процедуры, а не закрытый прайс проекта [32]; Docsvision не считает КП [35]. Принятое решение: разрабатывать систему «с нуля» в границах ТЗ, перенимая отдельные приёмы аналогов, а не лицензию готовой платформы.</w:t>
      </w:r>
    </w:p>
    <w:p>
      <w:r>
        <w:rPr>
          <w:rFonts w:ascii="Times New Roman" w:hAnsi="Times New Roman" w:eastAsia="Times New Roman" w:cs="Times New Roman"/>
          <w:b w:val="0"/>
          <w:color w:val="000000"/>
          <w:sz w:val="28"/>
        </w:rPr>
        <w:t>Концепция первой версии зафиксирована техническим заданием по структуре ГОСТ 34.602 [3, 4] и моделью прецедентов UML [7, 8]. Путь руководителя проекта описан Customer Journey Map, а приоритет историй задан User Story Mapping [9, 37]. Десять сценариев UC-01…UC-10 покрывают путь от загрузки прайса до приёмки; для ключевых построены потоки «действие / реакция». Карта историй отделила обязательный MVP (US-01…US-10) от бэклога, куда вынесены словарь синонимов, версии КП как сущность и многошаговый круг NOC. Риски нестандартного Excel и разнобоя артикулов закрыты гибким маппингом, точным SKU, нечётким поиском, ML и ручным подтверждением.</w:t>
      </w:r>
    </w:p>
    <w:p>
      <w:r>
        <w:rPr>
          <w:rFonts w:ascii="Times New Roman" w:hAnsi="Times New Roman" w:eastAsia="Times New Roman" w:cs="Times New Roman"/>
          <w:b w:val="0"/>
          <w:color w:val="000000"/>
          <w:sz w:val="28"/>
        </w:rPr>
        <w:t>Архитектура спроектирована как слоистый модульный монолит с последующим выносом процессов, чтобы границы контекстов появились до отдельных хостов [10, 11, 14]. Запись в PostgreSQL и поиск в Meilisearch разведены через транзакционный Outbox и NATS JetStream, чтобы недоступность индекса не блокировала импорт. Стек (.NET 10, PostgreSQL 17, NATS, Meilisearch, Keycloak, React) выбран вместо исходной заявки на RabbitMQ, Elasticsearch и .NET 8, а замена продукта сводится к новому адаптеру. Модель данных держит снимки строк заказа и счёта, поэтому смена прайса не переписывает уже согласованный документ. Интерфейс собран как рабочий кабинет со списками и карточками по ролям, а серверные политики дублируют скрытие пунктов меню.</w:t>
      </w:r>
    </w:p>
    <w:p>
      <w:r>
        <w:rPr>
          <w:rFonts w:ascii="Times New Roman" w:hAnsi="Times New Roman" w:eastAsia="Times New Roman" w:cs="Times New Roman"/>
          <w:b w:val="0"/>
          <w:color w:val="000000"/>
          <w:sz w:val="28"/>
        </w:rPr>
        <w:t xml:space="preserve">Сквозной контур реализован от импорта неоднородного прайса до складской приёмки и вызова шлюзов учёта. Импорт принимает </w:t>
      </w:r>
      <w:r>
        <w:rPr>
          <w:rFonts w:ascii="Courier New" w:hAnsi="Courier New" w:eastAsia="Courier New" w:cs="Courier New"/>
          <w:b w:val="0"/>
          <w:color w:val="000000"/>
          <w:sz w:val="26"/>
        </w:rPr>
        <w:t>.xlsx</w:t>
      </w:r>
      <w:r>
        <w:rPr>
          <w:rFonts w:ascii="Times New Roman" w:hAnsi="Times New Roman" w:eastAsia="Times New Roman" w:cs="Times New Roman"/>
          <w:b w:val="0"/>
          <w:color w:val="000000"/>
          <w:sz w:val="28"/>
        </w:rPr>
        <w:t xml:space="preserve"> и </w:t>
      </w:r>
      <w:r>
        <w:rPr>
          <w:rFonts w:ascii="Courier New" w:hAnsi="Courier New" w:eastAsia="Courier New" w:cs="Courier New"/>
          <w:b w:val="0"/>
          <w:color w:val="000000"/>
          <w:sz w:val="26"/>
        </w:rPr>
        <w:t>.xls</w:t>
      </w:r>
      <w:r>
        <w:rPr>
          <w:rFonts w:ascii="Times New Roman" w:hAnsi="Times New Roman" w:eastAsia="Times New Roman" w:cs="Times New Roman"/>
          <w:b w:val="0"/>
          <w:color w:val="000000"/>
          <w:sz w:val="28"/>
        </w:rPr>
        <w:t xml:space="preserve"> с поиском заголовка на любом листе, а каталог держит иерархию до четырёх уровней. Сопоставление сначала идёт по точному артикулу, а для остальных строк применяется модель TF-IDF с логистической регрессией. Генератор считает четыре стратегии КП со скидками, НДС и ручным выбором поставщика, затем согласование с наценкой порождает счёт, заказ с резервом и приёмку. Контрольный промышленный файл EKF (20 884 строки) обработан примерно за 33 с: создано 20 780 товаров, 92 строки «Цена по запросу» отклонены с диагностикой. На живом прогоне три обязательные стратегии дали различимые суммы 1273,9 / 11490,0 / 1433,9, а утверждение КП породило счёт </w:t>
      </w:r>
      <w:r>
        <w:rPr>
          <w:rFonts w:ascii="Courier New" w:hAnsi="Courier New" w:eastAsia="Courier New" w:cs="Courier New"/>
          <w:b w:val="0"/>
          <w:color w:val="000000"/>
          <w:sz w:val="26"/>
        </w:rPr>
        <w:t>NOC-2026-001</w:t>
      </w:r>
      <w:r>
        <w:rPr>
          <w:rFonts w:ascii="Times New Roman" w:hAnsi="Times New Roman" w:eastAsia="Times New Roman" w:cs="Times New Roman"/>
          <w:b w:val="0"/>
          <w:color w:val="000000"/>
          <w:sz w:val="28"/>
        </w:rPr>
        <w:t xml:space="preserve"> с автором «Система (авто)». Обязательный MVP закрыт на 11 из 11 функций; из десяти сценариев ТЗ готовы семь, три выполнены частично.</w:t>
      </w:r>
    </w:p>
    <w:p>
      <w:r>
        <w:rPr>
          <w:rFonts w:ascii="Times New Roman" w:hAnsi="Times New Roman" w:eastAsia="Times New Roman" w:cs="Times New Roman"/>
          <w:b w:val="0"/>
          <w:color w:val="000000"/>
          <w:sz w:val="28"/>
        </w:rPr>
        <w:t>Доменные модули вынесены в отдельные процессы по шаблону Strangler Fig, что позволило сохранить рабочий контур при поэтапном переключении трафика [14]. Auth, Catalog, Quoting, Commercial, Ordering, Logistics, Matching, Notifications и Retail получают запросы в Docker через шлюз YARP, а монолит обслуживает поиск, проекты, аналитику и аудит. Проверка префиксов шлюза завершилась 15 из 15, сверка списков через шлюз и напрямую из монолита составила 10 из 10. Контроллеры-дубли в монолите трафика не получают, но код ещё повторяет модули сервисов, поэтому поведение сверялось синхронно. На большом каталоге (115 865 SKU) витрина отдаёт не больше 48 позиций на страницу, чтобы список не раздувался.</w:t>
      </w:r>
    </w:p>
    <w:p>
      <w:r>
        <w:rPr>
          <w:rFonts w:ascii="Times New Roman" w:hAnsi="Times New Roman" w:eastAsia="Times New Roman" w:cs="Times New Roman"/>
          <w:b w:val="0"/>
          <w:color w:val="000000"/>
          <w:sz w:val="28"/>
        </w:rPr>
        <w:t>Функциональное тестирование выполнено по тест-кейсам импорта, генерации КП, согласования, ролей счёта, скидки и аудита, резерва остатка, поиска с письмами и приёмки. Ночной HTTP-прогон Docker-стенда 12.09.2026 закрыл 30 из 30 шагов протокола, включая импорт, КП, согласование и заказ. Модульные тесты xUnit на EF Core InMemory дали 93 теста, из них 92 пройдено и 1 пропущен: книга ClosedXML с безымянной картинкой в памяти не воспроизводится. Выводы о транзакциях, поиске и шлюзах опираются на живой стенд, а не только на InMemory.</w:t>
      </w:r>
    </w:p>
    <w:p>
      <w:r>
        <w:rPr>
          <w:rFonts w:ascii="Times New Roman" w:hAnsi="Times New Roman" w:eastAsia="Times New Roman" w:cs="Times New Roman"/>
          <w:b w:val="0"/>
          <w:color w:val="000000"/>
          <w:sz w:val="28"/>
        </w:rPr>
        <w:t xml:space="preserve">Ряд упрощений принят сознательно, чтобы первая версия осталась проверяемой на учебном стенде, и не выдаётся за промышленный контур. Полевой опрос не проводился: анкета и распределения ответов модельны и не являются статистикой конкретного предприятия. Интеграции с 1С и WMS на стенде представлены шлюзами-моками; опциональный HTTP-вызов ERPNext использует тот же контракт, но это не адаптер 1С. Сервис подбора не держит своей схемы и на большом каталоге читает схему </w:t>
      </w:r>
      <w:r>
        <w:rPr>
          <w:rFonts w:ascii="Courier New" w:hAnsi="Courier New" w:eastAsia="Courier New" w:cs="Courier New"/>
          <w:b w:val="0"/>
          <w:color w:val="000000"/>
          <w:sz w:val="26"/>
        </w:rPr>
        <w:t>catalog</w:t>
      </w:r>
      <w:r>
        <w:rPr>
          <w:rFonts w:ascii="Times New Roman" w:hAnsi="Times New Roman" w:eastAsia="Times New Roman" w:cs="Times New Roman"/>
          <w:b w:val="0"/>
          <w:color w:val="000000"/>
          <w:sz w:val="28"/>
        </w:rPr>
        <w:t xml:space="preserve"> запросом только на чтение. Сервис уведомлений обращается к соседям под служебной учётной записью стенда, что допустимо для учебного Compose, но не для промышленного контура. В промышленном контуре первое закрывается ролью СУБД с правом только на выборку либо проекцией по событиям, второе закрывается учётной записью с минимальными правами. NOC реализован внутренним модулем счетов с одной стадией «Согласован», которую ставит коммерческий блок; модель сопоставления обучалась на синтетических парах каталога, а не на кликах закупщиков.</w:t>
      </w:r>
    </w:p>
    <w:p>
      <w:r>
        <w:rPr>
          <w:rFonts w:ascii="Times New Roman" w:hAnsi="Times New Roman" w:eastAsia="Times New Roman" w:cs="Times New Roman"/>
          <w:b w:val="0"/>
          <w:color w:val="000000"/>
          <w:sz w:val="28"/>
        </w:rPr>
        <w:t>Направления развития совпадают с нижним рядом карты историй и с незакрытым остатком сверки покрытия ТЗ. Имеет смысл завести справочник контрагентов и поле НМЦ, хранить версии КП как сущность, добавить фильтры и выгрузку аналитики и выделить многошаговый круг согласования счёта. Следующий шаг по интеграциям: заменить моки 1С и WMS боевыми адаптерами по уже выделенному контракту шлюза, не переписывая приёмку. Для распределённого контура остаются отдельная роль чтения схемы каталога, служебная учётка уведомлений с минимальными правами, удаление копий контроллеров в монолите, TLS и секреты вне учебных значений. Высокая доступность, ежедневный бэкап, словарь синонимов и мобильное приложение в первую версию не входили и к защите не обещаются.</w:t>
      </w:r>
    </w:p>
    <w:p>
      <w:pPr>
        <w:pStyle w:val="Heading1"/>
        <w:jc w:val="center"/>
      </w:pPr>
      <w:r>
        <w:rPr>
          <w:rFonts w:ascii="Times New Roman" w:hAnsi="Times New Roman" w:eastAsia="Times New Roman" w:cs="Times New Roman"/>
          <w:b/>
          <w:color w:val="000000"/>
          <w:sz w:val="28"/>
        </w:rPr>
        <w:t>СПИСОК ЛИТЕРАТУРЫ</w:t>
      </w:r>
    </w:p>
    <w:p>
      <w:pPr>
        <w:spacing w:line="360" w:lineRule="auto"/>
        <w:ind w:firstLine="0" w:left="709"/>
        <w:numPr>
          <w:ilvl w:val="0"/>
          <w:numId w:val="14"/>
        </w:numPr>
      </w:pPr>
      <w:r>
        <w:rPr>
          <w:rFonts w:ascii="Times New Roman" w:hAnsi="Times New Roman" w:eastAsia="Times New Roman" w:cs="Times New Roman"/>
          <w:b w:val="0"/>
          <w:color w:val="000000"/>
          <w:sz w:val="28"/>
        </w:rPr>
        <w:t>ГОСТ 7.32–2017. Система стандартов по информации, библиотечному и издательскому делу. Отчёт о научно-исследовательской работе. Структура и правила оформления. — Введ. 2018-07-01. — Москва : Стандартинформ, 2017. — 27 с.</w:t>
      </w:r>
    </w:p>
    <w:p>
      <w:pPr>
        <w:spacing w:line="360" w:lineRule="auto"/>
        <w:ind w:firstLine="0" w:left="709"/>
        <w:numPr>
          <w:ilvl w:val="0"/>
          <w:numId w:val="14"/>
        </w:numPr>
      </w:pPr>
      <w:r>
        <w:rPr>
          <w:rFonts w:ascii="Times New Roman" w:hAnsi="Times New Roman" w:eastAsia="Times New Roman" w:cs="Times New Roman"/>
          <w:b w:val="0"/>
          <w:color w:val="000000"/>
          <w:sz w:val="28"/>
        </w:rPr>
        <w:t>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Введ. 2019-07-01. — Москва : Стандартинформ, 2018. — 124 с.</w:t>
      </w:r>
    </w:p>
    <w:p>
      <w:pPr>
        <w:spacing w:line="360" w:lineRule="auto"/>
        <w:ind w:firstLine="0" w:left="709"/>
        <w:numPr>
          <w:ilvl w:val="0"/>
          <w:numId w:val="14"/>
        </w:numPr>
      </w:pPr>
      <w:r>
        <w:rPr>
          <w:rFonts w:ascii="Times New Roman" w:hAnsi="Times New Roman" w:eastAsia="Times New Roman" w:cs="Times New Roman"/>
          <w:b w:val="0"/>
          <w:color w:val="000000"/>
          <w:sz w:val="28"/>
        </w:rPr>
        <w:t>ГОСТ 34.602–89. Информационная технология. Комплекс стандартов на автоматизированные системы. Техническое задание на создание автоматизированной системы. — Введ. 1990-01-01. — Москва : Издательство стандартов, 1990.</w:t>
      </w:r>
    </w:p>
    <w:p>
      <w:pPr>
        <w:spacing w:line="360" w:lineRule="auto"/>
        <w:ind w:firstLine="0" w:left="709"/>
        <w:numPr>
          <w:ilvl w:val="0"/>
          <w:numId w:val="14"/>
        </w:numPr>
      </w:pPr>
      <w:r>
        <w:rPr>
          <w:rFonts w:ascii="Times New Roman" w:hAnsi="Times New Roman" w:eastAsia="Times New Roman" w:cs="Times New Roman"/>
          <w:b w:val="0"/>
          <w:color w:val="000000"/>
          <w:sz w:val="28"/>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 — Введ. 2022-01-01. — Москва : Российский институт стандартизации, 2021.</w:t>
      </w:r>
    </w:p>
    <w:p>
      <w:pPr>
        <w:spacing w:line="360" w:lineRule="auto"/>
        <w:ind w:firstLine="0" w:left="709"/>
        <w:numPr>
          <w:ilvl w:val="0"/>
          <w:numId w:val="14"/>
        </w:numPr>
      </w:pPr>
      <w:r>
        <w:rPr>
          <w:rFonts w:ascii="Times New Roman" w:hAnsi="Times New Roman" w:eastAsia="Times New Roman" w:cs="Times New Roman"/>
          <w:b w:val="0"/>
          <w:color w:val="000000"/>
          <w:sz w:val="28"/>
        </w:rPr>
        <w:t>Вигерс К., Битти Д. Разработка требований к программному обеспечению : пер. с англ. — 3-е изд. — Москва : Русская редакция ; СПб. : БХВ-Петербург, 2014. — 736 с.</w:t>
      </w:r>
    </w:p>
    <w:p>
      <w:pPr>
        <w:spacing w:line="360" w:lineRule="auto"/>
        <w:ind w:firstLine="0" w:left="709"/>
        <w:numPr>
          <w:ilvl w:val="0"/>
          <w:numId w:val="14"/>
        </w:numPr>
      </w:pPr>
      <w:r>
        <w:rPr>
          <w:rFonts w:ascii="Times New Roman" w:hAnsi="Times New Roman" w:eastAsia="Times New Roman" w:cs="Times New Roman"/>
          <w:b w:val="0"/>
          <w:color w:val="000000"/>
          <w:sz w:val="28"/>
        </w:rPr>
        <w:t>Леффингуэлл Д., Уидриг Д. Принципы работы с требованиями к программному обеспечению. Унифицированный подход : пер. с англ. — Москва : Вильямс, 2002. — 448 с.</w:t>
      </w:r>
    </w:p>
    <w:p>
      <w:pPr>
        <w:spacing w:line="360" w:lineRule="auto"/>
        <w:ind w:firstLine="0" w:left="709"/>
        <w:numPr>
          <w:ilvl w:val="0"/>
          <w:numId w:val="14"/>
        </w:numPr>
      </w:pPr>
      <w:r>
        <w:rPr>
          <w:rFonts w:ascii="Times New Roman" w:hAnsi="Times New Roman" w:eastAsia="Times New Roman" w:cs="Times New Roman"/>
          <w:b w:val="0"/>
          <w:color w:val="000000"/>
          <w:sz w:val="28"/>
        </w:rPr>
        <w:t>Буч Г., Рамбо Д., Якобсон А. Язык UML. Руководство пользователя : пер. с англ. — 2-е изд. — Москва : ДМК Пресс, 2006. — 496 с.</w:t>
      </w:r>
    </w:p>
    <w:p>
      <w:pPr>
        <w:spacing w:line="360" w:lineRule="auto"/>
        <w:ind w:firstLine="0" w:left="709"/>
        <w:numPr>
          <w:ilvl w:val="0"/>
          <w:numId w:val="14"/>
        </w:numPr>
      </w:pPr>
      <w:r>
        <w:rPr>
          <w:rFonts w:ascii="Times New Roman" w:hAnsi="Times New Roman" w:eastAsia="Times New Roman" w:cs="Times New Roman"/>
          <w:b w:val="0"/>
          <w:color w:val="000000"/>
          <w:sz w:val="28"/>
        </w:rPr>
        <w:t>Якобсон А., Буч Г., Рамбо Дж. Унифицированный процесс разработки программного обеспечения : пер. с англ. — СПб. : Питер, 2002. — 496 с.</w:t>
      </w:r>
    </w:p>
    <w:p>
      <w:pPr>
        <w:spacing w:line="360" w:lineRule="auto"/>
        <w:ind w:firstLine="0" w:left="709"/>
        <w:numPr>
          <w:ilvl w:val="0"/>
          <w:numId w:val="14"/>
        </w:numPr>
      </w:pPr>
      <w:r>
        <w:rPr>
          <w:rFonts w:ascii="Times New Roman" w:hAnsi="Times New Roman" w:eastAsia="Times New Roman" w:cs="Times New Roman"/>
          <w:b w:val="0"/>
          <w:color w:val="000000"/>
          <w:sz w:val="28"/>
        </w:rPr>
        <w:t>Кон М. Пользовательские истории. Гибкая разработка программного обеспечения : пер. с англ. — Москва : Вильямс, 2012. — 256 с.</w:t>
      </w:r>
    </w:p>
    <w:p>
      <w:pPr>
        <w:spacing w:line="360" w:lineRule="auto"/>
        <w:ind w:firstLine="0" w:left="709"/>
        <w:numPr>
          <w:ilvl w:val="0"/>
          <w:numId w:val="14"/>
        </w:numPr>
      </w:pPr>
      <w:r>
        <w:rPr>
          <w:rFonts w:ascii="Times New Roman" w:hAnsi="Times New Roman" w:eastAsia="Times New Roman" w:cs="Times New Roman"/>
          <w:b w:val="0"/>
          <w:color w:val="000000"/>
          <w:sz w:val="28"/>
        </w:rPr>
        <w:t>Fowler M. Patterns of Enterprise Application Architecture. — Boston : Addison-Wesley, 2002. — 560 p. — ISBN 978-0-321-12742-6.</w:t>
      </w:r>
    </w:p>
    <w:p>
      <w:pPr>
        <w:spacing w:line="360" w:lineRule="auto"/>
        <w:ind w:firstLine="0" w:left="709"/>
        <w:numPr>
          <w:ilvl w:val="0"/>
          <w:numId w:val="14"/>
        </w:numPr>
      </w:pPr>
      <w:r>
        <w:rPr>
          <w:rFonts w:ascii="Times New Roman" w:hAnsi="Times New Roman" w:eastAsia="Times New Roman" w:cs="Times New Roman"/>
          <w:b w:val="0"/>
          <w:color w:val="000000"/>
          <w:sz w:val="28"/>
        </w:rPr>
        <w:t>Evans E. Domain-Driven Design: Tackling Complexity in the Heart of Software. — Boston : Addison-Wesley, 2003. — 560 p. — ISBN 978-0-321-12521-7.</w:t>
      </w:r>
    </w:p>
    <w:p>
      <w:pPr>
        <w:spacing w:line="360" w:lineRule="auto"/>
        <w:ind w:firstLine="0" w:left="709"/>
        <w:numPr>
          <w:ilvl w:val="0"/>
          <w:numId w:val="14"/>
        </w:numPr>
      </w:pPr>
      <w:r>
        <w:rPr>
          <w:rFonts w:ascii="Times New Roman" w:hAnsi="Times New Roman" w:eastAsia="Times New Roman" w:cs="Times New Roman"/>
          <w:b w:val="0"/>
          <w:color w:val="000000"/>
          <w:sz w:val="28"/>
        </w:rPr>
        <w:t>Richardson C. Microservices Patterns. — Shelter Island : Manning Publications, 2018. — 520 p. — ISBN 978-1-61729-454-9.</w:t>
      </w:r>
    </w:p>
    <w:p>
      <w:pPr>
        <w:spacing w:line="360" w:lineRule="auto"/>
        <w:ind w:firstLine="0" w:left="709"/>
        <w:numPr>
          <w:ilvl w:val="0"/>
          <w:numId w:val="14"/>
        </w:numPr>
      </w:pPr>
      <w:r>
        <w:rPr>
          <w:rFonts w:ascii="Times New Roman" w:hAnsi="Times New Roman" w:eastAsia="Times New Roman" w:cs="Times New Roman"/>
          <w:b w:val="0"/>
          <w:color w:val="000000"/>
          <w:sz w:val="28"/>
        </w:rPr>
        <w:t>Kleppmann M. Designing Data-Intensive Applications. — Sebastopol : O’Reilly Media, 2017. — 616 p. — ISBN 978-1-4919-0306-3.</w:t>
      </w:r>
    </w:p>
    <w:p>
      <w:pPr>
        <w:spacing w:line="360" w:lineRule="auto"/>
        <w:ind w:firstLine="0" w:left="709"/>
        <w:numPr>
          <w:ilvl w:val="0"/>
          <w:numId w:val="14"/>
        </w:numPr>
      </w:pPr>
      <w:r>
        <w:rPr>
          <w:rFonts w:ascii="Times New Roman" w:hAnsi="Times New Roman" w:eastAsia="Times New Roman" w:cs="Times New Roman"/>
          <w:b w:val="0"/>
          <w:color w:val="000000"/>
          <w:sz w:val="28"/>
        </w:rPr>
        <w:t>Fowler M. Strangler Fig [Электронный ресурс]. — URL: https://martinfowler.com/bliki/StranglerFigApplication.html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Introduction to .NET [Электронный ресурс] // Microsoft Learn. — URL: https://learn.microsoft.com/dotnet/core/introduction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ASP.NET Core overview [Электронный ресурс] // Microsoft Learn. — URL: https://learn.microsoft.com/aspnet/core/overview?view=aspnetcore-10.0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Entity Framework Core [Электронный ресурс] // Microsoft Learn. — URL: https://learn.microsoft.com/ef/core/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Overview of YARP [Электронный ресурс] // Microsoft Learn. — URL: https://learn.microsoft.com/aspnet/core/fundamentals/servers/yarp/yarp-overview?view=aspnetcore-10.0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PostgreSQL 17 Documentation [Электронный ресурс] // PostgreSQL Global Development Group. — URL: https://www.postgresql.org/docs/17/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Keycloak Documentation [Электронный ресурс]. — URL: https://www.keycloak.org/documentation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NATS Documentation [Электронный ресурс]. — URL: https://docs.nats.io/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Full-text search [Электронный ресурс] // Meilisearch Documentation. — URL: https://www.meilisearch.com/docs/capabilities/full_text_search/overview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OpenTelemetry .NET [Электронный ресурс]. — URL: https://opentelemetry.io/docs/languages/dotnet/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React Reference Overview [Электронный ресурс]. — URL: https://react.dev/reference/react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Docker Compose [Электронный ресурс] // Docker Docs. — URL: https://docs.docker.com/compose/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ClosedXML Documentation [Электронный ресурс]. — URL: https://docs.closedxml.io/en/latest/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NPOI: a .NET library that can read/write Office formats [Электронный ресурс]. — URL: https://github.com/nissl-lab/npoi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QuestPDF Documentation [Электронный ресурс]. — URL: https://www.questpdf.com/quick-start.html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Управление закупками [Электронный ресурс] // 1С:Управление торговлей 8. — URL: https://v8.1c.ru/trade/upravlenie-zakupkami/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Procure-to-pay software [Электронный ресурс] // SAP. — URL: https://www.sap.com/products/spend-management/procure-to-pay-software.html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SAP Ariba [Электронный ресурс] // SAP Help Portal. — URL: https://help.sap.com/docs/SAP_Ariba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B2B-Center – об электронной торговой площадке [Электронный ресурс]. — URL: https://www.b2b-center.ru/about/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О компании AGORA [Электронный ресурс]. — URL: https://www.agora.ru/about/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Возможности платформы AGORA [Электронный ресурс]. — URL: https://www.agora.ru/opportunities/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Система электронного документооборота на платформе Docsvision [Электронный ресурс]. — URL: https://docsvision.com/products/office-work (дата обращения: 12.09.2026).</w:t>
      </w:r>
    </w:p>
    <w:p>
      <w:pPr>
        <w:spacing w:line="360" w:lineRule="auto"/>
        <w:ind w:firstLine="0" w:left="709"/>
        <w:numPr>
          <w:ilvl w:val="0"/>
          <w:numId w:val="14"/>
        </w:numPr>
      </w:pPr>
      <w:r>
        <w:rPr>
          <w:rFonts w:ascii="Times New Roman" w:hAnsi="Times New Roman" w:eastAsia="Times New Roman" w:cs="Times New Roman"/>
          <w:b w:val="0"/>
          <w:color w:val="000000"/>
          <w:sz w:val="28"/>
        </w:rPr>
        <w:t>Adzic G. Impact Mapping: Making a Big Impact with Software Products and Projects. — Wokingham : Provoking Thoughts, 2012. — 86 p.</w:t>
      </w:r>
    </w:p>
    <w:p>
      <w:pPr>
        <w:spacing w:line="360" w:lineRule="auto"/>
        <w:ind w:firstLine="0" w:left="709"/>
        <w:numPr>
          <w:ilvl w:val="0"/>
          <w:numId w:val="14"/>
        </w:numPr>
      </w:pPr>
      <w:r>
        <w:rPr>
          <w:rFonts w:ascii="Times New Roman" w:hAnsi="Times New Roman" w:eastAsia="Times New Roman" w:cs="Times New Roman"/>
          <w:b w:val="0"/>
          <w:color w:val="000000"/>
          <w:sz w:val="28"/>
        </w:rPr>
        <w:t>Patton J. User Story Mapping: Discover the Whole Story, Build the Right Product. — Sebastopol : O’Reilly Media, 2014. — 324 p.</w:t>
      </w:r>
    </w:p>
    <w:p>
      <w:pPr>
        <w:pStyle w:val="Heading1"/>
        <w:jc w:val="center"/>
      </w:pPr>
      <w:r>
        <w:rPr>
          <w:rFonts w:ascii="Times New Roman" w:hAnsi="Times New Roman" w:eastAsia="Times New Roman" w:cs="Times New Roman"/>
          <w:b/>
          <w:color w:val="000000"/>
          <w:sz w:val="28"/>
        </w:rPr>
        <w:t>ПРИЛОЖЕНИЕ А. ЛИСТИНГИ КЛЮЧЕВЫХ МОДУЛЕЙ</w:t>
      </w:r>
    </w:p>
    <w:p>
      <w:r>
        <w:rPr>
          <w:rFonts w:ascii="Times New Roman" w:hAnsi="Times New Roman" w:eastAsia="Times New Roman" w:cs="Times New Roman"/>
          <w:b w:val="0"/>
          <w:color w:val="000000"/>
          <w:sz w:val="28"/>
        </w:rPr>
        <w:t>Ниже приведён полный текст генератора коммерческого предложения, фрагменты которого разобраны в разделе 5. Класс живёт в инфраструктуре монолита; вынесенный Quoting держит копию той же логики, потому что на пакет монолита не ссылается.</w:t>
      </w:r>
    </w:p>
    <w:p>
      <w:pPr>
        <w:pStyle w:val="GOSTCaption"/>
        <w:keepNext/>
        <w:jc w:val="left"/>
      </w:pPr>
      <w:r>
        <w:rPr>
          <w:rFonts w:ascii="Times New Roman" w:hAnsi="Times New Roman" w:eastAsia="Times New Roman" w:cs="Times New Roman"/>
          <w:b w:val="0"/>
          <w:color w:val="000000"/>
          <w:sz w:val="28"/>
        </w:rPr>
        <w:t>Листинг 9 – Генератор коммерческого предложения (</w:t>
      </w:r>
      <w:r>
        <w:rPr>
          <w:rFonts w:ascii="Courier New" w:hAnsi="Courier New" w:eastAsia="Courier New" w:cs="Courier New"/>
          <w:b w:val="0"/>
          <w:color w:val="000000"/>
          <w:sz w:val="26"/>
        </w:rPr>
        <w:t>QuoteGenerator.cs</w:t>
      </w:r>
      <w:r>
        <w:rPr>
          <w:rFonts w:ascii="Times New Roman" w:hAnsi="Times New Roman" w:eastAsia="Times New Roman" w:cs="Times New Roman"/>
          <w:b w:val="0"/>
          <w:color w:val="000000"/>
          <w:sz w:val="28"/>
        </w:rPr>
        <w:t>)</w:t>
      </w:r>
    </w:p>
    <w:p>
      <w:pPr>
        <w:pStyle w:val="CodeBlock"/>
      </w:pPr>
      <w:r>
        <w:rPr>
          <w:rFonts w:ascii="Courier New" w:hAnsi="Courier New" w:eastAsia="Courier New" w:cs="Courier New"/>
          <w:color w:val="000000"/>
          <w:sz w:val="20"/>
        </w:rPr>
        <w:t>using Microsoft.EntityFrameworkCore;</w:t>
      </w:r>
    </w:p>
    <w:p>
      <w:pPr>
        <w:pStyle w:val="CodeBlock"/>
      </w:pPr>
      <w:r>
        <w:rPr>
          <w:rFonts w:ascii="Courier New" w:hAnsi="Courier New" w:eastAsia="Courier New" w:cs="Courier New"/>
          <w:color w:val="000000"/>
          <w:sz w:val="20"/>
        </w:rPr>
        <w:t>using Microsoft.Extensions.Options;</w:t>
      </w:r>
    </w:p>
    <w:p>
      <w:pPr>
        <w:pStyle w:val="CodeBlock"/>
      </w:pPr>
      <w:r>
        <w:rPr>
          <w:rFonts w:ascii="Courier New" w:hAnsi="Courier New" w:eastAsia="Courier New" w:cs="Courier New"/>
          <w:color w:val="000000"/>
          <w:sz w:val="20"/>
        </w:rPr>
        <w:t>using ProcurementSystem.Domain.Matching;</w:t>
      </w:r>
    </w:p>
    <w:p>
      <w:pPr>
        <w:pStyle w:val="CodeBlock"/>
      </w:pPr>
      <w:r>
        <w:rPr>
          <w:rFonts w:ascii="Courier New" w:hAnsi="Courier New" w:eastAsia="Courier New" w:cs="Courier New"/>
          <w:color w:val="000000"/>
          <w:sz w:val="20"/>
        </w:rPr>
        <w:t>using ProcurementSystem.Domain.Quoting;</w:t>
      </w:r>
    </w:p>
    <w:p>
      <w:pPr>
        <w:pStyle w:val="CodeBlock"/>
      </w:pPr>
      <w:r>
        <w:rPr>
          <w:rFonts w:ascii="Courier New" w:hAnsi="Courier New" w:eastAsia="Courier New" w:cs="Courier New"/>
          <w:color w:val="000000"/>
          <w:sz w:val="20"/>
        </w:rPr>
        <w:t>using ProcurementSystem.Infrastructure.Matching;</w:t>
      </w:r>
    </w:p>
    <w:p>
      <w:pPr>
        <w:pStyle w:val="CodeBlock"/>
      </w:pPr>
      <w:r>
        <w:rPr>
          <w:rFonts w:ascii="Courier New" w:hAnsi="Courier New" w:eastAsia="Courier New" w:cs="Courier New"/>
          <w:color w:val="000000"/>
          <w:sz w:val="20"/>
        </w:rPr>
        <w:t>using ProcurementSystem.Infrastructure.Observability;</w:t>
      </w:r>
    </w:p>
    <w:p>
      <w:pPr>
        <w:pStyle w:val="CodeBlock"/>
      </w:pPr>
      <w:r>
        <w:rPr>
          <w:rFonts w:ascii="Courier New" w:hAnsi="Courier New" w:eastAsia="Courier New" w:cs="Courier New"/>
          <w:color w:val="000000"/>
          <w:sz w:val="20"/>
        </w:rPr>
        <w:t>using ProcurementSystem.Infrastructure.Persistence;</w:t>
      </w:r>
    </w:p>
    <w:p>
      <w:pPr>
        <w:pStyle w:val="CodeBlock"/>
      </w:pPr>
      <w:r>
        <w:rPr>
          <w:rFonts w:ascii="Courier New" w:hAnsi="Courier New" w:eastAsia="Courier New" w:cs="Courier New"/>
          <w:color w:val="000000"/>
          <w:sz w:val="20"/>
        </w:rPr>
        <w:t>using ProcurementSystem.Infrastructure.Pricing;</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namespace ProcurementSystem.Infrastructure.Quoting;</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&lt;summary&gt;Стратегия подбора офферов под спецификацию.&lt;/summary&gt;</w:t>
      </w:r>
    </w:p>
    <w:p>
      <w:pPr>
        <w:pStyle w:val="CodeBlock"/>
      </w:pPr>
      <w:r>
        <w:rPr>
          <w:rFonts w:ascii="Courier New" w:hAnsi="Courier New" w:eastAsia="Courier New" w:cs="Courier New"/>
          <w:color w:val="000000"/>
          <w:sz w:val="20"/>
        </w:rPr>
        <w:t>public enum QuoteStrategy</w:t>
      </w:r>
    </w:p>
    <w:p>
      <w:pPr>
        <w:pStyle w:val="CodeBlock"/>
      </w:pPr>
      <w:r>
        <w:rPr>
          <w:rFonts w:ascii="Courier New" w:hAnsi="Courier New" w:eastAsia="Courier New" w:cs="Courier New"/>
          <w:color w:val="000000"/>
          <w:sz w:val="20"/>
        </w:rPr>
        <w:t>{</w:t>
      </w:r>
    </w:p>
    <w:p>
      <w:pPr>
        <w:pStyle w:val="CodeBlock"/>
      </w:pPr>
      <w:r>
        <w:rPr>
          <w:rFonts w:ascii="Courier New" w:hAnsi="Courier New" w:eastAsia="Courier New" w:cs="Courier New"/>
          <w:color w:val="000000"/>
          <w:sz w:val="20"/>
        </w:rPr>
        <w:t xml:space="preserve">    MinCost,       // минимальная стоимость</w:t>
      </w:r>
    </w:p>
    <w:p>
      <w:pPr>
        <w:pStyle w:val="CodeBlock"/>
      </w:pPr>
      <w:r>
        <w:rPr>
          <w:rFonts w:ascii="Courier New" w:hAnsi="Courier New" w:eastAsia="Courier New" w:cs="Courier New"/>
          <w:color w:val="000000"/>
          <w:sz w:val="20"/>
        </w:rPr>
        <w:t xml:space="preserve">    MinLeadTime,   // минимальный срок поставки</w:t>
      </w:r>
    </w:p>
    <w:p>
      <w:pPr>
        <w:pStyle w:val="CodeBlock"/>
      </w:pPr>
      <w:r>
        <w:rPr>
          <w:rFonts w:ascii="Courier New" w:hAnsi="Courier New" w:eastAsia="Courier New" w:cs="Courier New"/>
          <w:color w:val="000000"/>
          <w:sz w:val="20"/>
        </w:rPr>
        <w:t xml:space="preserve">    Balanced,      // взвешенный баланс цена/срок</w:t>
      </w:r>
    </w:p>
    <w:p>
      <w:pPr>
        <w:pStyle w:val="CodeBlock"/>
      </w:pPr>
      <w:r>
        <w:rPr>
          <w:rFonts w:ascii="Courier New" w:hAnsi="Courier New" w:eastAsia="Courier New" w:cs="Courier New"/>
          <w:color w:val="000000"/>
          <w:sz w:val="20"/>
        </w:rPr>
        <w:t xml:space="preserve">    MlRelevance    // ML: свежая цена + наличие + сходство (ТЗ п.5.3/5.5)</w:t>
      </w:r>
    </w:p>
    <w:p>
      <w:pPr>
        <w:pStyle w:val="CodeBlock"/>
      </w:pPr>
      <w:r>
        <w:rPr>
          <w:rFonts w:ascii="Courier New" w:hAnsi="Courier New" w:eastAsia="Courier New" w:cs="Courier New"/>
          <w:color w:val="000000"/>
          <w:sz w:val="20"/>
        </w:rPr>
        <w: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&lt;summary&gt;</w:t>
      </w:r>
    </w:p>
    <w:p>
      <w:pPr>
        <w:pStyle w:val="CodeBlock"/>
      </w:pPr>
      <w:r>
        <w:rPr>
          <w:rFonts w:ascii="Courier New" w:hAnsi="Courier New" w:eastAsia="Courier New" w:cs="Courier New"/>
          <w:color w:val="000000"/>
          <w:sz w:val="20"/>
        </w:rPr>
        <w:t>/// Одна строка КП: выбранный под позицию спецификации оффер с учётом скидки (ТЗ п.5.4).</w:t>
      </w:r>
    </w:p>
    <w:p>
      <w:pPr>
        <w:pStyle w:val="CodeBlock"/>
      </w:pPr>
      <w:r>
        <w:rPr>
          <w:rFonts w:ascii="Courier New" w:hAnsi="Courier New" w:eastAsia="Courier New" w:cs="Courier New"/>
          <w:color w:val="000000"/>
          <w:sz w:val="20"/>
        </w:rPr>
        <w:t>/// UnitPrice — исходная цена без скидки (без НДС); UnitPriceDiscounted — цена со скидкой (без НДС);</w:t>
      </w:r>
    </w:p>
    <w:p>
      <w:pPr>
        <w:pStyle w:val="CodeBlock"/>
      </w:pPr>
      <w:r>
        <w:rPr>
          <w:rFonts w:ascii="Courier New" w:hAnsi="Courier New" w:eastAsia="Courier New" w:cs="Courier New"/>
          <w:color w:val="000000"/>
          <w:sz w:val="20"/>
        </w:rPr>
        <w:t>/// LineTotal — итог со скидкой (без НДС); *WithVat* — те же величины с учётом ставки НДС.</w:t>
      </w:r>
    </w:p>
    <w:p>
      <w:pPr>
        <w:pStyle w:val="CodeBlock"/>
      </w:pPr>
      <w:r>
        <w:rPr>
          <w:rFonts w:ascii="Courier New" w:hAnsi="Courier New" w:eastAsia="Courier New" w:cs="Courier New"/>
          <w:color w:val="000000"/>
          <w:sz w:val="20"/>
        </w:rPr>
        <w:t>/// &lt;/summary&gt;</w:t>
      </w:r>
    </w:p>
    <w:p>
      <w:pPr>
        <w:pStyle w:val="CodeBlock"/>
      </w:pPr>
      <w:r>
        <w:rPr>
          <w:rFonts w:ascii="Courier New" w:hAnsi="Courier New" w:eastAsia="Courier New" w:cs="Courier New"/>
          <w:color w:val="000000"/>
          <w:sz w:val="20"/>
        </w:rPr>
        <w:t>public record QuoteLine(</w:t>
      </w:r>
    </w:p>
    <w:p>
      <w:pPr>
        <w:pStyle w:val="CodeBlock"/>
      </w:pPr>
      <w:r>
        <w:rPr>
          <w:rFonts w:ascii="Courier New" w:hAnsi="Courier New" w:eastAsia="Courier New" w:cs="Courier New"/>
          <w:color w:val="000000"/>
          <w:sz w:val="20"/>
        </w:rPr>
        <w:t xml:space="preserve">    Guid SpecificationItemId,</w:t>
      </w:r>
    </w:p>
    <w:p>
      <w:pPr>
        <w:pStyle w:val="CodeBlock"/>
      </w:pPr>
      <w:r>
        <w:rPr>
          <w:rFonts w:ascii="Courier New" w:hAnsi="Courier New" w:eastAsia="Courier New" w:cs="Courier New"/>
          <w:color w:val="000000"/>
          <w:sz w:val="20"/>
        </w:rPr>
        <w:t xml:space="preserve">    Guid? ProductId,</w:t>
      </w:r>
    </w:p>
    <w:p>
      <w:pPr>
        <w:pStyle w:val="CodeBlock"/>
      </w:pPr>
      <w:r>
        <w:rPr>
          <w:rFonts w:ascii="Courier New" w:hAnsi="Courier New" w:eastAsia="Courier New" w:cs="Courier New"/>
          <w:color w:val="000000"/>
          <w:sz w:val="20"/>
        </w:rPr>
        <w:t xml:space="preserve">    string? Sku,</w:t>
      </w:r>
    </w:p>
    <w:p>
      <w:pPr>
        <w:pStyle w:val="CodeBlock"/>
      </w:pPr>
      <w:r>
        <w:rPr>
          <w:rFonts w:ascii="Courier New" w:hAnsi="Courier New" w:eastAsia="Courier New" w:cs="Courier New"/>
          <w:color w:val="000000"/>
          <w:sz w:val="20"/>
        </w:rPr>
        <w:t xml:space="preserve">    string Name,</w:t>
      </w:r>
    </w:p>
    <w:p>
      <w:pPr>
        <w:pStyle w:val="CodeBlock"/>
      </w:pPr>
      <w:r>
        <w:rPr>
          <w:rFonts w:ascii="Courier New" w:hAnsi="Courier New" w:eastAsia="Courier New" w:cs="Courier New"/>
          <w:color w:val="000000"/>
          <w:sz w:val="20"/>
        </w:rPr>
        <w:t xml:space="preserve">    int Quantity,</w:t>
      </w:r>
    </w:p>
    <w:p>
      <w:pPr>
        <w:pStyle w:val="CodeBlock"/>
      </w:pPr>
      <w:r>
        <w:rPr>
          <w:rFonts w:ascii="Courier New" w:hAnsi="Courier New" w:eastAsia="Courier New" w:cs="Courier New"/>
          <w:color w:val="000000"/>
          <w:sz w:val="20"/>
        </w:rPr>
        <w:t xml:space="preserve">    bool Matched,</w:t>
      </w:r>
    </w:p>
    <w:p>
      <w:pPr>
        <w:pStyle w:val="CodeBlock"/>
      </w:pPr>
      <w:r>
        <w:rPr>
          <w:rFonts w:ascii="Courier New" w:hAnsi="Courier New" w:eastAsia="Courier New" w:cs="Courier New"/>
          <w:color w:val="000000"/>
          <w:sz w:val="20"/>
        </w:rPr>
        <w:t xml:space="preserve">    Guid? VendorId,</w:t>
      </w:r>
    </w:p>
    <w:p>
      <w:pPr>
        <w:pStyle w:val="CodeBlock"/>
      </w:pPr>
      <w:r>
        <w:rPr>
          <w:rFonts w:ascii="Courier New" w:hAnsi="Courier New" w:eastAsia="Courier New" w:cs="Courier New"/>
          <w:color w:val="000000"/>
          <w:sz w:val="20"/>
        </w:rPr>
        <w:t xml:space="preserve">    string? VendorName,</w:t>
      </w:r>
    </w:p>
    <w:p>
      <w:pPr>
        <w:pStyle w:val="CodeBlock"/>
      </w:pPr>
      <w:r>
        <w:rPr>
          <w:rFonts w:ascii="Courier New" w:hAnsi="Courier New" w:eastAsia="Courier New" w:cs="Courier New"/>
          <w:color w:val="000000"/>
          <w:sz w:val="20"/>
        </w:rPr>
        <w:t xml:space="preserve">    decimal UnitPrice,                  // исходная цена без скидки, без НДС</w:t>
      </w:r>
    </w:p>
    <w:p>
      <w:pPr>
        <w:pStyle w:val="CodeBlock"/>
      </w:pPr>
      <w:r>
        <w:rPr>
          <w:rFonts w:ascii="Courier New" w:hAnsi="Courier New" w:eastAsia="Courier New" w:cs="Courier New"/>
          <w:color w:val="000000"/>
          <w:sz w:val="20"/>
        </w:rPr>
        <w:t xml:space="preserve">    decimal LineTotal,                  // итог со скидкой, без НДС</w:t>
      </w:r>
    </w:p>
    <w:p>
      <w:pPr>
        <w:pStyle w:val="CodeBlock"/>
      </w:pPr>
      <w:r>
        <w:rPr>
          <w:rFonts w:ascii="Courier New" w:hAnsi="Courier New" w:eastAsia="Courier New" w:cs="Courier New"/>
          <w:color w:val="000000"/>
          <w:sz w:val="20"/>
        </w:rPr>
        <w:t xml:space="preserve">    int LeadTimeDays,</w:t>
      </w:r>
    </w:p>
    <w:p>
      <w:pPr>
        <w:pStyle w:val="CodeBlock"/>
      </w:pPr>
      <w:r>
        <w:rPr>
          <w:rFonts w:ascii="Courier New" w:hAnsi="Courier New" w:eastAsia="Courier New" w:cs="Courier New"/>
          <w:color w:val="000000"/>
          <w:sz w:val="20"/>
        </w:rPr>
        <w:t xml:space="preserve">    int StockQuantity,</w:t>
      </w:r>
    </w:p>
    <w:p>
      <w:pPr>
        <w:pStyle w:val="CodeBlock"/>
      </w:pPr>
      <w:r>
        <w:rPr>
          <w:rFonts w:ascii="Courier New" w:hAnsi="Courier New" w:eastAsia="Courier New" w:cs="Courier New"/>
          <w:color w:val="000000"/>
          <w:sz w:val="20"/>
        </w:rPr>
        <w:t xml:space="preserve">    int CandidateOffers,</w:t>
      </w:r>
    </w:p>
    <w:p>
      <w:pPr>
        <w:pStyle w:val="CodeBlock"/>
      </w:pPr>
      <w:r>
        <w:rPr>
          <w:rFonts w:ascii="Courier New" w:hAnsi="Courier New" w:eastAsia="Courier New" w:cs="Courier New"/>
          <w:color w:val="000000"/>
          <w:sz w:val="20"/>
        </w:rPr>
        <w:t xml:space="preserve">    decimal DiscountPercent,            // применённый % скидки</w:t>
      </w:r>
    </w:p>
    <w:p>
      <w:pPr>
        <w:pStyle w:val="CodeBlock"/>
      </w:pPr>
      <w:r>
        <w:rPr>
          <w:rFonts w:ascii="Courier New" w:hAnsi="Courier New" w:eastAsia="Courier New" w:cs="Courier New"/>
          <w:color w:val="000000"/>
          <w:sz w:val="20"/>
        </w:rPr>
        <w:t xml:space="preserve">    decimal UnitPriceDiscounted,        // цена со скидкой, без НДС</w:t>
      </w:r>
    </w:p>
    <w:p>
      <w:pPr>
        <w:pStyle w:val="CodeBlock"/>
      </w:pPr>
      <w:r>
        <w:rPr>
          <w:rFonts w:ascii="Courier New" w:hAnsi="Courier New" w:eastAsia="Courier New" w:cs="Courier New"/>
          <w:color w:val="000000"/>
          <w:sz w:val="20"/>
        </w:rPr>
        <w:t xml:space="preserve">    decimal UnitPriceWithVat,           // исходная цена с НДС</w:t>
      </w:r>
    </w:p>
    <w:p>
      <w:pPr>
        <w:pStyle w:val="CodeBlock"/>
      </w:pPr>
      <w:r>
        <w:rPr>
          <w:rFonts w:ascii="Courier New" w:hAnsi="Courier New" w:eastAsia="Courier New" w:cs="Courier New"/>
          <w:color w:val="000000"/>
          <w:sz w:val="20"/>
        </w:rPr>
        <w:t xml:space="preserve">    decimal UnitPriceWithVatDiscounted, // цена со скидкой, с НДС</w:t>
      </w:r>
    </w:p>
    <w:p>
      <w:pPr>
        <w:pStyle w:val="CodeBlock"/>
      </w:pPr>
      <w:r>
        <w:rPr>
          <w:rFonts w:ascii="Courier New" w:hAnsi="Courier New" w:eastAsia="Courier New" w:cs="Courier New"/>
          <w:color w:val="000000"/>
          <w:sz w:val="20"/>
        </w:rPr>
        <w:t xml:space="preserve">    decimal LineTotalWithVat,           // итог со скидкой, с НДС</w:t>
      </w:r>
    </w:p>
    <w:p>
      <w:pPr>
        <w:pStyle w:val="CodeBlock"/>
      </w:pPr>
      <w:r>
        <w:rPr>
          <w:rFonts w:ascii="Courier New" w:hAnsi="Courier New" w:eastAsia="Courier New" w:cs="Courier New"/>
          <w:color w:val="000000"/>
          <w:sz w:val="20"/>
        </w:rPr>
        <w:t xml:space="preserve">    string? Manufacturer,               // производитель товара (ТЗ п.5.5)</w:t>
      </w:r>
    </w:p>
    <w:p>
      <w:pPr>
        <w:pStyle w:val="CodeBlock"/>
      </w:pPr>
      <w:r>
        <w:rPr>
          <w:rFonts w:ascii="Courier New" w:hAnsi="Courier New" w:eastAsia="Courier New" w:cs="Courier New"/>
          <w:color w:val="000000"/>
          <w:sz w:val="20"/>
        </w:rPr>
        <w:t xml:space="preserve">    string? SelectionReason,            // причина выбора поставщика (ТЗ п.5.5)</w:t>
      </w:r>
    </w:p>
    <w:p>
      <w:pPr>
        <w:pStyle w:val="CodeBlock"/>
      </w:pPr>
      <w:r>
        <w:rPr>
          <w:rFonts w:ascii="Courier New" w:hAnsi="Courier New" w:eastAsia="Courier New" w:cs="Courier New"/>
          <w:color w:val="000000"/>
          <w:sz w:val="20"/>
        </w:rPr>
        <w:t xml:space="preserve">    string? MatchKind = null,</w:t>
      </w:r>
    </w:p>
    <w:p>
      <w:pPr>
        <w:pStyle w:val="CodeBlock"/>
      </w:pPr>
      <w:r>
        <w:rPr>
          <w:rFonts w:ascii="Courier New" w:hAnsi="Courier New" w:eastAsia="Courier New" w:cs="Courier New"/>
          <w:color w:val="000000"/>
          <w:sz w:val="20"/>
        </w:rPr>
        <w:t xml:space="preserve">    double? MatchScore = null);</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&lt;summary&gt;Готовое коммерческое предложение по выбранной стратегии.&lt;/summary&gt;</w:t>
      </w:r>
    </w:p>
    <w:p>
      <w:pPr>
        <w:pStyle w:val="CodeBlock"/>
      </w:pPr>
      <w:r>
        <w:rPr>
          <w:rFonts w:ascii="Courier New" w:hAnsi="Courier New" w:eastAsia="Courier New" w:cs="Courier New"/>
          <w:color w:val="000000"/>
          <w:sz w:val="20"/>
        </w:rPr>
        <w:t>public record Quote(</w:t>
      </w:r>
    </w:p>
    <w:p>
      <w:pPr>
        <w:pStyle w:val="CodeBlock"/>
      </w:pPr>
      <w:r>
        <w:rPr>
          <w:rFonts w:ascii="Courier New" w:hAnsi="Courier New" w:eastAsia="Courier New" w:cs="Courier New"/>
          <w:color w:val="000000"/>
          <w:sz w:val="20"/>
        </w:rPr>
        <w:t xml:space="preserve">    Guid SpecificationId,</w:t>
      </w:r>
    </w:p>
    <w:p>
      <w:pPr>
        <w:pStyle w:val="CodeBlock"/>
      </w:pPr>
      <w:r>
        <w:rPr>
          <w:rFonts w:ascii="Courier New" w:hAnsi="Courier New" w:eastAsia="Courier New" w:cs="Courier New"/>
          <w:color w:val="000000"/>
          <w:sz w:val="20"/>
        </w:rPr>
        <w:t xml:space="preserve">    string SpecificationTitle,</w:t>
      </w:r>
    </w:p>
    <w:p>
      <w:pPr>
        <w:pStyle w:val="CodeBlock"/>
      </w:pPr>
      <w:r>
        <w:rPr>
          <w:rFonts w:ascii="Courier New" w:hAnsi="Courier New" w:eastAsia="Courier New" w:cs="Courier New"/>
          <w:color w:val="000000"/>
          <w:sz w:val="20"/>
        </w:rPr>
        <w:t xml:space="preserve">    QuoteStrategy Strategy,</w:t>
      </w:r>
    </w:p>
    <w:p>
      <w:pPr>
        <w:pStyle w:val="CodeBlock"/>
      </w:pPr>
      <w:r>
        <w:rPr>
          <w:rFonts w:ascii="Courier New" w:hAnsi="Courier New" w:eastAsia="Courier New" w:cs="Courier New"/>
          <w:color w:val="000000"/>
          <w:sz w:val="20"/>
        </w:rPr>
        <w:t xml:space="preserve">    double WeightPrice,</w:t>
      </w:r>
    </w:p>
    <w:p>
      <w:pPr>
        <w:pStyle w:val="CodeBlock"/>
      </w:pPr>
      <w:r>
        <w:rPr>
          <w:rFonts w:ascii="Courier New" w:hAnsi="Courier New" w:eastAsia="Courier New" w:cs="Courier New"/>
          <w:color w:val="000000"/>
          <w:sz w:val="20"/>
        </w:rPr>
        <w:t xml:space="preserve">    double WeightLeadTime,</w:t>
      </w:r>
    </w:p>
    <w:p>
      <w:pPr>
        <w:pStyle w:val="CodeBlock"/>
      </w:pPr>
      <w:r>
        <w:rPr>
          <w:rFonts w:ascii="Courier New" w:hAnsi="Courier New" w:eastAsia="Courier New" w:cs="Courier New"/>
          <w:color w:val="000000"/>
          <w:sz w:val="20"/>
        </w:rPr>
        <w:t xml:space="preserve">    IReadOnlyList&lt;QuoteLine&gt; Lines,</w:t>
      </w:r>
    </w:p>
    <w:p>
      <w:pPr>
        <w:pStyle w:val="CodeBlock"/>
      </w:pPr>
      <w:r>
        <w:rPr>
          <w:rFonts w:ascii="Courier New" w:hAnsi="Courier New" w:eastAsia="Courier New" w:cs="Courier New"/>
          <w:color w:val="000000"/>
          <w:sz w:val="20"/>
        </w:rPr>
        <w:t xml:space="preserve">    decimal TotalCost,</w:t>
      </w:r>
    </w:p>
    <w:p>
      <w:pPr>
        <w:pStyle w:val="CodeBlock"/>
      </w:pPr>
      <w:r>
        <w:rPr>
          <w:rFonts w:ascii="Courier New" w:hAnsi="Courier New" w:eastAsia="Courier New" w:cs="Courier New"/>
          <w:color w:val="000000"/>
          <w:sz w:val="20"/>
        </w:rPr>
        <w:t xml:space="preserve">    int MaxLeadTimeDays,</w:t>
      </w:r>
    </w:p>
    <w:p>
      <w:pPr>
        <w:pStyle w:val="CodeBlock"/>
      </w:pPr>
      <w:r>
        <w:rPr>
          <w:rFonts w:ascii="Courier New" w:hAnsi="Courier New" w:eastAsia="Courier New" w:cs="Courier New"/>
          <w:color w:val="000000"/>
          <w:sz w:val="20"/>
        </w:rPr>
        <w:t xml:space="preserve">    int VendorsUsed,</w:t>
      </w:r>
    </w:p>
    <w:p>
      <w:pPr>
        <w:pStyle w:val="CodeBlock"/>
      </w:pPr>
      <w:r>
        <w:rPr>
          <w:rFonts w:ascii="Courier New" w:hAnsi="Courier New" w:eastAsia="Courier New" w:cs="Courier New"/>
          <w:color w:val="000000"/>
          <w:sz w:val="20"/>
        </w:rPr>
        <w:t xml:space="preserve">    int MatchedPositions,</w:t>
      </w:r>
    </w:p>
    <w:p>
      <w:pPr>
        <w:pStyle w:val="CodeBlock"/>
      </w:pPr>
      <w:r>
        <w:rPr>
          <w:rFonts w:ascii="Courier New" w:hAnsi="Courier New" w:eastAsia="Courier New" w:cs="Courier New"/>
          <w:color w:val="000000"/>
          <w:sz w:val="20"/>
        </w:rPr>
        <w:t xml:space="preserve">    int UnmatchedPositions,</w:t>
      </w:r>
    </w:p>
    <w:p>
      <w:pPr>
        <w:pStyle w:val="CodeBlock"/>
      </w:pPr>
      <w:r>
        <w:rPr>
          <w:rFonts w:ascii="Courier New" w:hAnsi="Courier New" w:eastAsia="Courier New" w:cs="Courier New"/>
          <w:color w:val="000000"/>
          <w:sz w:val="20"/>
        </w:rPr>
        <w:t xml:space="preserve">    decimal VatRate,             // ставка НДС, % (из конфига Quote:VatRate, по умолч. 20)</w:t>
      </w:r>
    </w:p>
    <w:p>
      <w:pPr>
        <w:pStyle w:val="CodeBlock"/>
      </w:pPr>
      <w:r>
        <w:rPr>
          <w:rFonts w:ascii="Courier New" w:hAnsi="Courier New" w:eastAsia="Courier New" w:cs="Courier New"/>
          <w:color w:val="000000"/>
          <w:sz w:val="20"/>
        </w:rPr>
        <w:t xml:space="preserve">    decimal TotalCostWithVat);   // итог со скидкой, с НДС</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public interface IQuoteGenerator</w:t>
      </w:r>
    </w:p>
    <w:p>
      <w:pPr>
        <w:pStyle w:val="CodeBlock"/>
      </w:pPr>
      <w:r>
        <w:rPr>
          <w:rFonts w:ascii="Courier New" w:hAnsi="Courier New" w:eastAsia="Courier New" w:cs="Courier New"/>
          <w:color w:val="000000"/>
          <w:sz w:val="20"/>
        </w:rPr>
        <w:t>{</w:t>
      </w:r>
    </w:p>
    <w:p>
      <w:pPr>
        <w:pStyle w:val="CodeBlock"/>
      </w:pPr>
      <w:r>
        <w:rPr>
          <w:rFonts w:ascii="Courier New" w:hAnsi="Courier New" w:eastAsia="Courier New" w:cs="Courier New"/>
          <w:color w:val="000000"/>
          <w:sz w:val="20"/>
        </w:rPr>
        <w:t xml:space="preserve">    /// &lt;summary&gt;Сгенерировать КП по одной стратегии.&lt;/summary&gt;</w:t>
      </w:r>
    </w:p>
    <w:p>
      <w:pPr>
        <w:pStyle w:val="CodeBlock"/>
      </w:pPr>
      <w:r>
        <w:rPr>
          <w:rFonts w:ascii="Courier New" w:hAnsi="Courier New" w:eastAsia="Courier New" w:cs="Courier New"/>
          <w:color w:val="000000"/>
          <w:sz w:val="20"/>
        </w:rPr>
        <w:t xml:space="preserve">    Task&lt;Quote&gt; GenerateAsync(Guid specificationId, QuoteStrategy strategy,</w:t>
      </w:r>
    </w:p>
    <w:p>
      <w:pPr>
        <w:pStyle w:val="CodeBlock"/>
      </w:pPr>
      <w:r>
        <w:rPr>
          <w:rFonts w:ascii="Courier New" w:hAnsi="Courier New" w:eastAsia="Courier New" w:cs="Courier New"/>
          <w:color w:val="000000"/>
          <w:sz w:val="20"/>
        </w:rPr>
        <w:t xml:space="preserve">        double weightPrice = 0.5, double weightLeadTime = 0.5, bool onlyInStock = false,</w:t>
      </w:r>
    </w:p>
    <w:p>
      <w:pPr>
        <w:pStyle w:val="CodeBlock"/>
      </w:pPr>
      <w:r>
        <w:rPr>
          <w:rFonts w:ascii="Courier New" w:hAnsi="Courier New" w:eastAsia="Courier New" w:cs="Courier New"/>
          <w:color w:val="000000"/>
          <w:sz w:val="20"/>
        </w:rPr>
        <w:t xml:space="preserve">        CancellationToken ct = default);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 &lt;summary&gt;Сгенерировать все варианты КП для сравнения (цена / срок / баланс / ML-актуальность).&lt;/summary&gt;</w:t>
      </w:r>
    </w:p>
    <w:p>
      <w:pPr>
        <w:pStyle w:val="CodeBlock"/>
      </w:pPr>
      <w:r>
        <w:rPr>
          <w:rFonts w:ascii="Courier New" w:hAnsi="Courier New" w:eastAsia="Courier New" w:cs="Courier New"/>
          <w:color w:val="000000"/>
          <w:sz w:val="20"/>
        </w:rPr>
        <w:t xml:space="preserve">    Task&lt;IReadOnlyList&lt;Quote&gt;&gt; GenerateAllAsync(Guid specificationId,</w:t>
      </w:r>
    </w:p>
    <w:p>
      <w:pPr>
        <w:pStyle w:val="CodeBlock"/>
      </w:pPr>
      <w:r>
        <w:rPr>
          <w:rFonts w:ascii="Courier New" w:hAnsi="Courier New" w:eastAsia="Courier New" w:cs="Courier New"/>
          <w:color w:val="000000"/>
          <w:sz w:val="20"/>
        </w:rPr>
        <w:t xml:space="preserve">        double weightPrice = 0.5, double weightLeadTime = 0.5, bool onlyInStock = false,</w:t>
      </w:r>
    </w:p>
    <w:p>
      <w:pPr>
        <w:pStyle w:val="CodeBlock"/>
      </w:pPr>
      <w:r>
        <w:rPr>
          <w:rFonts w:ascii="Courier New" w:hAnsi="Courier New" w:eastAsia="Courier New" w:cs="Courier New"/>
          <w:color w:val="000000"/>
          <w:sz w:val="20"/>
        </w:rPr>
        <w:t xml:space="preserve">        CancellationToken ct = default);</w:t>
      </w:r>
    </w:p>
    <w:p>
      <w:pPr>
        <w:pStyle w:val="CodeBlock"/>
      </w:pPr>
      <w:r>
        <w:rPr>
          <w:rFonts w:ascii="Courier New" w:hAnsi="Courier New" w:eastAsia="Courier New" w:cs="Courier New"/>
          <w:color w:val="000000"/>
          <w:sz w:val="20"/>
        </w:rPr>
        <w: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&lt;summary&gt;Разрешение позиции спецификации на товар каталога (в т.ч. ML-аналог).&lt;/summary&gt;</w:t>
      </w:r>
    </w:p>
    <w:p>
      <w:pPr>
        <w:pStyle w:val="CodeBlock"/>
      </w:pPr>
      <w:r>
        <w:rPr>
          <w:rFonts w:ascii="Courier New" w:hAnsi="Courier New" w:eastAsia="Courier New" w:cs="Courier New"/>
          <w:color w:val="000000"/>
          <w:sz w:val="20"/>
        </w:rPr>
        <w:t>file readonly record struct ItemBind(Guid? ProductId, MatchKind Kind, double Score, string? Reason);</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&lt;summary&gt;Настройки генерации КП (ставка НДС и т.п.).&lt;/summary&gt;</w:t>
      </w:r>
    </w:p>
    <w:p>
      <w:pPr>
        <w:pStyle w:val="CodeBlock"/>
      </w:pPr>
      <w:r>
        <w:rPr>
          <w:rFonts w:ascii="Courier New" w:hAnsi="Courier New" w:eastAsia="Courier New" w:cs="Courier New"/>
          <w:color w:val="000000"/>
          <w:sz w:val="20"/>
        </w:rPr>
        <w:t>public class QuoteOptions</w:t>
      </w:r>
    </w:p>
    <w:p>
      <w:pPr>
        <w:pStyle w:val="CodeBlock"/>
      </w:pPr>
      <w:r>
        <w:rPr>
          <w:rFonts w:ascii="Courier New" w:hAnsi="Courier New" w:eastAsia="Courier New" w:cs="Courier New"/>
          <w:color w:val="000000"/>
          <w:sz w:val="20"/>
        </w:rPr>
        <w:t>{</w:t>
      </w:r>
    </w:p>
    <w:p>
      <w:pPr>
        <w:pStyle w:val="CodeBlock"/>
      </w:pPr>
      <w:r>
        <w:rPr>
          <w:rFonts w:ascii="Courier New" w:hAnsi="Courier New" w:eastAsia="Courier New" w:cs="Courier New"/>
          <w:color w:val="000000"/>
          <w:sz w:val="20"/>
        </w:rPr>
        <w:t xml:space="preserve">    public decimal VatRate { get; set; } = 20m;   // НДС, % (РФ — 20%)</w:t>
      </w:r>
    </w:p>
    <w:p>
      <w:pPr>
        <w:pStyle w:val="CodeBlock"/>
      </w:pPr>
      <w:r>
        <w:rPr>
          <w:rFonts w:ascii="Courier New" w:hAnsi="Courier New" w:eastAsia="Courier New" w:cs="Courier New"/>
          <w:color w:val="000000"/>
          <w:sz w:val="20"/>
        </w:rPr>
        <w: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&lt;summary&gt;</w:t>
      </w:r>
    </w:p>
    <w:p>
      <w:pPr>
        <w:pStyle w:val="CodeBlock"/>
      </w:pPr>
      <w:r>
        <w:rPr>
          <w:rFonts w:ascii="Courier New" w:hAnsi="Courier New" w:eastAsia="Courier New" w:cs="Courier New"/>
          <w:color w:val="000000"/>
          <w:sz w:val="20"/>
        </w:rPr>
        <w:t>/// Ядро «изюминки» системы: по спецификации и каталогу офферов подбирает поставщиков</w:t>
      </w:r>
    </w:p>
    <w:p>
      <w:pPr>
        <w:pStyle w:val="CodeBlock"/>
      </w:pPr>
      <w:r>
        <w:rPr>
          <w:rFonts w:ascii="Courier New" w:hAnsi="Courier New" w:eastAsia="Courier New" w:cs="Courier New"/>
          <w:color w:val="000000"/>
          <w:sz w:val="20"/>
        </w:rPr>
        <w:t>/// под выбранную стратегию и считает итоговые показатели КП (стоимость, срок, число поставщиков).</w:t>
      </w:r>
    </w:p>
    <w:p>
      <w:pPr>
        <w:pStyle w:val="CodeBlock"/>
      </w:pPr>
      <w:r>
        <w:rPr>
          <w:rFonts w:ascii="Courier New" w:hAnsi="Courier New" w:eastAsia="Courier New" w:cs="Courier New"/>
          <w:color w:val="000000"/>
          <w:sz w:val="20"/>
        </w:rPr>
        <w:t>/// Скидки по вендору/производителю (ТЗ п.5.4) применяются автоматически: приоритет у скидки поставщика,</w:t>
      </w:r>
    </w:p>
    <w:p>
      <w:pPr>
        <w:pStyle w:val="CodeBlock"/>
      </w:pPr>
      <w:r>
        <w:rPr>
          <w:rFonts w:ascii="Courier New" w:hAnsi="Courier New" w:eastAsia="Courier New" w:cs="Courier New"/>
          <w:color w:val="000000"/>
          <w:sz w:val="20"/>
        </w:rPr>
        <w:t>/// при её отсутствии — скидка производителя товара. Цена считается без НДС и с НДС независимо.</w:t>
      </w:r>
    </w:p>
    <w:p>
      <w:pPr>
        <w:pStyle w:val="CodeBlock"/>
      </w:pPr>
      <w:r>
        <w:rPr>
          <w:rFonts w:ascii="Courier New" w:hAnsi="Courier New" w:eastAsia="Courier New" w:cs="Courier New"/>
          <w:color w:val="000000"/>
          <w:sz w:val="20"/>
        </w:rPr>
        <w:t>/// &lt;/summary&gt;</w:t>
      </w:r>
    </w:p>
    <w:p>
      <w:pPr>
        <w:pStyle w:val="CodeBlock"/>
      </w:pPr>
      <w:r>
        <w:rPr>
          <w:rFonts w:ascii="Courier New" w:hAnsi="Courier New" w:eastAsia="Courier New" w:cs="Courier New"/>
          <w:color w:val="000000"/>
          <w:sz w:val="20"/>
        </w:rPr>
        <w:t>public class QuoteGenerator(AppDbContext db, IDiscountService discounts, IOptions&lt;QuoteOptions&gt; opts, IRelevanceMatcher? matcher = null) : IQuoteGenerator</w:t>
      </w:r>
    </w:p>
    <w:p>
      <w:pPr>
        <w:pStyle w:val="CodeBlock"/>
      </w:pPr>
      <w:r>
        <w:rPr>
          <w:rFonts w:ascii="Courier New" w:hAnsi="Courier New" w:eastAsia="Courier New" w:cs="Courier New"/>
          <w:color w:val="000000"/>
          <w:sz w:val="20"/>
        </w:rPr>
        <w:t>{</w:t>
      </w:r>
    </w:p>
    <w:p>
      <w:pPr>
        <w:pStyle w:val="CodeBlock"/>
      </w:pPr>
      <w:r>
        <w:rPr>
          <w:rFonts w:ascii="Courier New" w:hAnsi="Courier New" w:eastAsia="Courier New" w:cs="Courier New"/>
          <w:color w:val="000000"/>
          <w:sz w:val="20"/>
        </w:rPr>
        <w:t xml:space="preserve">    private readonly decimal _vatRate = opts.Value.VatRate;</w:t>
      </w:r>
    </w:p>
    <w:p>
      <w:pPr>
        <w:pStyle w:val="CodeBlock"/>
      </w:pPr>
      <w:r>
        <w:rPr>
          <w:rFonts w:ascii="Courier New" w:hAnsi="Courier New" w:eastAsia="Courier New" w:cs="Courier New"/>
          <w:color w:val="000000"/>
          <w:sz w:val="20"/>
        </w:rPr>
        <w:t xml:space="preserve">    private record Candidate(Guid VendorId, string VendorName, decimal Price, int LeadTimeDays, int StockQuantity, decimal DiscountPercent, decimal EffectivePrice, DateTime LastPriceAtUtc);</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public async Task&lt;Quote&gt; GenerateAsync(Guid specificationId, QuoteStrategy strategy,</w:t>
      </w:r>
    </w:p>
    <w:p>
      <w:pPr>
        <w:pStyle w:val="CodeBlock"/>
      </w:pPr>
      <w:r>
        <w:rPr>
          <w:rFonts w:ascii="Courier New" w:hAnsi="Courier New" w:eastAsia="Courier New" w:cs="Courier New"/>
          <w:color w:val="000000"/>
          <w:sz w:val="20"/>
        </w:rPr>
        <w:t xml:space="preserve">        double weightPrice = 0.5, double weightLeadTime = 0.5, bool onlyInStock = false,</w:t>
      </w:r>
    </w:p>
    <w:p>
      <w:pPr>
        <w:pStyle w:val="CodeBlock"/>
      </w:pPr>
      <w:r>
        <w:rPr>
          <w:rFonts w:ascii="Courier New" w:hAnsi="Courier New" w:eastAsia="Courier New" w:cs="Courier New"/>
          <w:color w:val="000000"/>
          <w:sz w:val="20"/>
        </w:rPr>
        <w:t xml:space="preserve">        CancellationToken ct = default)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using var activity = Telemetry.Source.StartActivity("quote.generate");</w:t>
      </w:r>
    </w:p>
    <w:p>
      <w:pPr>
        <w:pStyle w:val="CodeBlock"/>
      </w:pPr>
      <w:r>
        <w:rPr>
          <w:rFonts w:ascii="Courier New" w:hAnsi="Courier New" w:eastAsia="Courier New" w:cs="Courier New"/>
          <w:color w:val="000000"/>
          <w:sz w:val="20"/>
        </w:rPr>
        <w:t xml:space="preserve">        activity?.SetTag("spec.id", specificationId.ToString());</w:t>
      </w:r>
    </w:p>
    <w:p>
      <w:pPr>
        <w:pStyle w:val="CodeBlock"/>
      </w:pPr>
      <w:r>
        <w:rPr>
          <w:rFonts w:ascii="Courier New" w:hAnsi="Courier New" w:eastAsia="Courier New" w:cs="Courier New"/>
          <w:color w:val="000000"/>
          <w:sz w:val="20"/>
        </w:rPr>
        <w:t xml:space="preserve">        activity?.SetTag("quote.strategy", strategy.ToString());</w:t>
      </w:r>
    </w:p>
    <w:p>
      <w:pPr>
        <w:pStyle w:val="CodeBlock"/>
      </w:pPr>
      <w:r>
        <w:rPr>
          <w:rFonts w:ascii="Courier New" w:hAnsi="Courier New" w:eastAsia="Courier New" w:cs="Courier New"/>
          <w:color w:val="000000"/>
          <w:sz w:val="20"/>
        </w:rPr>
        <w:t xml:space="preserve">        activity?.SetTag("quote.only_in_stock", onlyInStock);</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spec = await db.Specifications</w:t>
      </w:r>
    </w:p>
    <w:p>
      <w:pPr>
        <w:pStyle w:val="CodeBlock"/>
      </w:pPr>
      <w:r>
        <w:rPr>
          <w:rFonts w:ascii="Courier New" w:hAnsi="Courier New" w:eastAsia="Courier New" w:cs="Courier New"/>
          <w:color w:val="000000"/>
          <w:sz w:val="20"/>
        </w:rPr>
        <w:t xml:space="preserve">            .Include(s =&gt; s.Items)</w:t>
      </w:r>
    </w:p>
    <w:p>
      <w:pPr>
        <w:pStyle w:val="CodeBlock"/>
      </w:pPr>
      <w:r>
        <w:rPr>
          <w:rFonts w:ascii="Courier New" w:hAnsi="Courier New" w:eastAsia="Courier New" w:cs="Courier New"/>
          <w:color w:val="000000"/>
          <w:sz w:val="20"/>
        </w:rPr>
        <w:t xml:space="preserve">            .AsNoTracking()</w:t>
      </w:r>
    </w:p>
    <w:p>
      <w:pPr>
        <w:pStyle w:val="CodeBlock"/>
      </w:pPr>
      <w:r>
        <w:rPr>
          <w:rFonts w:ascii="Courier New" w:hAnsi="Courier New" w:eastAsia="Courier New" w:cs="Courier New"/>
          <w:color w:val="000000"/>
          <w:sz w:val="20"/>
        </w:rPr>
        <w:t xml:space="preserve">            .FirstOrDefaultAsync(s =&gt; s.Id == specificationId, ct)</w:t>
      </w:r>
    </w:p>
    <w:p>
      <w:pPr>
        <w:pStyle w:val="CodeBlock"/>
      </w:pPr>
      <w:r>
        <w:rPr>
          <w:rFonts w:ascii="Courier New" w:hAnsi="Courier New" w:eastAsia="Courier New" w:cs="Courier New"/>
          <w:color w:val="000000"/>
          <w:sz w:val="20"/>
        </w:rPr>
        <w:t xml:space="preserve">            ?? throw new InvalidOperationException($"Спецификация {specificationId} не найдена");</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binds = new Dictionary&lt;Guid, ItemBind&gt;();</w:t>
      </w:r>
    </w:p>
    <w:p>
      <w:pPr>
        <w:pStyle w:val="CodeBlock"/>
      </w:pPr>
      <w:r>
        <w:rPr>
          <w:rFonts w:ascii="Courier New" w:hAnsi="Courier New" w:eastAsia="Courier New" w:cs="Courier New"/>
          <w:color w:val="000000"/>
          <w:sz w:val="20"/>
        </w:rPr>
        <w:t xml:space="preserve">        foreach (var item in spec.Items)</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if (item.ProductId is { } already)</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binds[item.Id] = new ItemBind(already, MatchKind.ExactSku, 1, null);</w:t>
      </w:r>
    </w:p>
    <w:p>
      <w:pPr>
        <w:pStyle w:val="CodeBlock"/>
      </w:pPr>
      <w:r>
        <w:rPr>
          <w:rFonts w:ascii="Courier New" w:hAnsi="Courier New" w:eastAsia="Courier New" w:cs="Courier New"/>
          <w:color w:val="000000"/>
          <w:sz w:val="20"/>
        </w:rPr>
        <w:t xml:space="preserve">                continue;</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if (matcher is null)</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binds[item.Id] = new ItemBind(null, MatchKind.None, 0, null);</w:t>
      </w:r>
    </w:p>
    <w:p>
      <w:pPr>
        <w:pStyle w:val="CodeBlock"/>
      </w:pPr>
      <w:r>
        <w:rPr>
          <w:rFonts w:ascii="Courier New" w:hAnsi="Courier New" w:eastAsia="Courier New" w:cs="Courier New"/>
          <w:color w:val="000000"/>
          <w:sz w:val="20"/>
        </w:rPr>
        <w:t xml:space="preserve">                continue;</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sug = (await matcher.SuggestAsync(item.RawSku, item.RawName, 1, ct)).FirstOrDefault();</w:t>
      </w:r>
    </w:p>
    <w:p>
      <w:pPr>
        <w:pStyle w:val="CodeBlock"/>
      </w:pPr>
      <w:r>
        <w:rPr>
          <w:rFonts w:ascii="Courier New" w:hAnsi="Courier New" w:eastAsia="Courier New" w:cs="Courier New"/>
          <w:color w:val="000000"/>
          <w:sz w:val="20"/>
        </w:rPr>
        <w:t xml:space="preserve">            if (sug is not null &amp;&amp; sug.Probability &gt;= 0.40)</w:t>
      </w:r>
    </w:p>
    <w:p>
      <w:pPr>
        <w:pStyle w:val="CodeBlock"/>
      </w:pPr>
      <w:r>
        <w:rPr>
          <w:rFonts w:ascii="Courier New" w:hAnsi="Courier New" w:eastAsia="Courier New" w:cs="Courier New"/>
          <w:color w:val="000000"/>
          <w:sz w:val="20"/>
        </w:rPr>
        <w:t xml:space="preserve">                binds[item.Id] = new ItemBind(sug.ProductId, sug.Kind, sug.Probability, sug.Reason);</w:t>
      </w:r>
    </w:p>
    <w:p>
      <w:pPr>
        <w:pStyle w:val="CodeBlock"/>
      </w:pPr>
      <w:r>
        <w:rPr>
          <w:rFonts w:ascii="Courier New" w:hAnsi="Courier New" w:eastAsia="Courier New" w:cs="Courier New"/>
          <w:color w:val="000000"/>
          <w:sz w:val="20"/>
        </w:rPr>
        <w:t xml:space="preserve">            else</w:t>
      </w:r>
    </w:p>
    <w:p>
      <w:pPr>
        <w:pStyle w:val="CodeBlock"/>
      </w:pPr>
      <w:r>
        <w:rPr>
          <w:rFonts w:ascii="Courier New" w:hAnsi="Courier New" w:eastAsia="Courier New" w:cs="Courier New"/>
          <w:color w:val="000000"/>
          <w:sz w:val="20"/>
        </w:rPr>
        <w:t xml:space="preserve">                binds[item.Id] = new ItemBind(null, MatchKind.None, 0, null);</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productIds = binds.Values.Where(b =&gt; b.ProductId != null)</w:t>
      </w:r>
    </w:p>
    <w:p>
      <w:pPr>
        <w:pStyle w:val="CodeBlock"/>
      </w:pPr>
      <w:r>
        <w:rPr>
          <w:rFonts w:ascii="Courier New" w:hAnsi="Courier New" w:eastAsia="Courier New" w:cs="Courier New"/>
          <w:color w:val="000000"/>
          <w:sz w:val="20"/>
        </w:rPr>
        <w:t xml:space="preserve">            .Select(b =&gt; b.ProductId!.Value).Distinct().ToList();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 Товары с производителем — производитель нужен, чтобы применить скидку по производителю.</w:t>
      </w:r>
    </w:p>
    <w:p>
      <w:pPr>
        <w:pStyle w:val="CodeBlock"/>
      </w:pPr>
      <w:r>
        <w:rPr>
          <w:rFonts w:ascii="Courier New" w:hAnsi="Courier New" w:eastAsia="Courier New" w:cs="Courier New"/>
          <w:color w:val="000000"/>
          <w:sz w:val="20"/>
        </w:rPr>
        <w:t xml:space="preserve">        var products = await db.Products.AsNoTracking()</w:t>
      </w:r>
    </w:p>
    <w:p>
      <w:pPr>
        <w:pStyle w:val="CodeBlock"/>
      </w:pPr>
      <w:r>
        <w:rPr>
          <w:rFonts w:ascii="Courier New" w:hAnsi="Courier New" w:eastAsia="Courier New" w:cs="Courier New"/>
          <w:color w:val="000000"/>
          <w:sz w:val="20"/>
        </w:rPr>
        <w:t xml:space="preserve">            .Where(p =&gt; productIds.Contains(p.Id))</w:t>
      </w:r>
    </w:p>
    <w:p>
      <w:pPr>
        <w:pStyle w:val="CodeBlock"/>
      </w:pPr>
      <w:r>
        <w:rPr>
          <w:rFonts w:ascii="Courier New" w:hAnsi="Courier New" w:eastAsia="Courier New" w:cs="Courier New"/>
          <w:color w:val="000000"/>
          <w:sz w:val="20"/>
        </w:rPr>
        <w:t xml:space="preserve">            .Select(p =&gt; new { p.Id, p.Sku, p.Name, p.Manufacturer })</w:t>
      </w:r>
    </w:p>
    <w:p>
      <w:pPr>
        <w:pStyle w:val="CodeBlock"/>
      </w:pPr>
      <w:r>
        <w:rPr>
          <w:rFonts w:ascii="Courier New" w:hAnsi="Courier New" w:eastAsia="Courier New" w:cs="Courier New"/>
          <w:color w:val="000000"/>
          <w:sz w:val="20"/>
        </w:rPr>
        <w:t xml:space="preserve">            .ToDictionaryAsync(p =&gt; p.Id, p =&gt; (p.Sku, p.Name, p.Manufacturer), ct);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 Ручные корректировки поставщика по позициям спецификации (ТЗ п.5.5): фиксируют выбранного</w:t>
      </w:r>
    </w:p>
    <w:p>
      <w:pPr>
        <w:pStyle w:val="CodeBlock"/>
      </w:pPr>
      <w:r>
        <w:rPr>
          <w:rFonts w:ascii="Courier New" w:hAnsi="Courier New" w:eastAsia="Courier New" w:cs="Courier New"/>
          <w:color w:val="000000"/>
          <w:sz w:val="20"/>
        </w:rPr>
        <w:t xml:space="preserve">        // вручную поставщика — он применяется при подборе вместо автоматической стратегии.</w:t>
      </w:r>
    </w:p>
    <w:p>
      <w:pPr>
        <w:pStyle w:val="CodeBlock"/>
      </w:pPr>
      <w:r>
        <w:rPr>
          <w:rFonts w:ascii="Courier New" w:hAnsi="Courier New" w:eastAsia="Courier New" w:cs="Courier New"/>
          <w:color w:val="000000"/>
          <w:sz w:val="20"/>
        </w:rPr>
        <w:t xml:space="preserve">        var itemIds = spec.Items.Select(i =&gt; i.Id).ToList();</w:t>
      </w:r>
    </w:p>
    <w:p>
      <w:pPr>
        <w:pStyle w:val="CodeBlock"/>
      </w:pPr>
      <w:r>
        <w:rPr>
          <w:rFonts w:ascii="Courier New" w:hAnsi="Courier New" w:eastAsia="Courier New" w:cs="Courier New"/>
          <w:color w:val="000000"/>
          <w:sz w:val="20"/>
        </w:rPr>
        <w:t xml:space="preserve">        var overrides = await db.QuoteOverrides.AsNoTracking()</w:t>
      </w:r>
    </w:p>
    <w:p>
      <w:pPr>
        <w:pStyle w:val="CodeBlock"/>
      </w:pPr>
      <w:r>
        <w:rPr>
          <w:rFonts w:ascii="Courier New" w:hAnsi="Courier New" w:eastAsia="Courier New" w:cs="Courier New"/>
          <w:color w:val="000000"/>
          <w:sz w:val="20"/>
        </w:rPr>
        <w:t xml:space="preserve">            .Where(o =&gt; itemIds.Contains(o.SpecificationItemId))</w:t>
      </w:r>
    </w:p>
    <w:p>
      <w:pPr>
        <w:pStyle w:val="CodeBlock"/>
      </w:pPr>
      <w:r>
        <w:rPr>
          <w:rFonts w:ascii="Courier New" w:hAnsi="Courier New" w:eastAsia="Courier New" w:cs="Courier New"/>
          <w:color w:val="000000"/>
          <w:sz w:val="20"/>
        </w:rPr>
        <w:t xml:space="preserve">            .ToDictionaryAsync(o =&gt; o.SpecificationItemId, o =&gt; o.VendorId, ct);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 Все офферы по сопоставленным товарам одним запросом.</w:t>
      </w:r>
    </w:p>
    <w:p>
      <w:pPr>
        <w:pStyle w:val="CodeBlock"/>
      </w:pPr>
      <w:r>
        <w:rPr>
          <w:rFonts w:ascii="Courier New" w:hAnsi="Courier New" w:eastAsia="Courier New" w:cs="Courier New"/>
          <w:color w:val="000000"/>
          <w:sz w:val="20"/>
        </w:rPr>
        <w:t xml:space="preserve">        var rawOffers = await db.PriceListItems.AsNoTracking()</w:t>
      </w:r>
    </w:p>
    <w:p>
      <w:pPr>
        <w:pStyle w:val="CodeBlock"/>
      </w:pPr>
      <w:r>
        <w:rPr>
          <w:rFonts w:ascii="Courier New" w:hAnsi="Courier New" w:eastAsia="Courier New" w:cs="Courier New"/>
          <w:color w:val="000000"/>
          <w:sz w:val="20"/>
        </w:rPr>
        <w:t xml:space="preserve">            .Where(o =&gt; productIds.Contains(o.ProductId))</w:t>
      </w:r>
    </w:p>
    <w:p>
      <w:pPr>
        <w:pStyle w:val="CodeBlock"/>
      </w:pPr>
      <w:r>
        <w:rPr>
          <w:rFonts w:ascii="Courier New" w:hAnsi="Courier New" w:eastAsia="Courier New" w:cs="Courier New"/>
          <w:color w:val="000000"/>
          <w:sz w:val="20"/>
        </w:rPr>
        <w:t xml:space="preserve">            .Select(o =&gt; new { o.ProductId, o.VendorId, VendorName = o.Vendor.Name, o.Price, o.LeadTimeDays, o.StockQuantity, o.UpdatedAtUtc, o.CreatedAtUtc })</w:t>
      </w:r>
    </w:p>
    <w:p>
      <w:pPr>
        <w:pStyle w:val="CodeBlock"/>
      </w:pPr>
      <w:r>
        <w:rPr>
          <w:rFonts w:ascii="Courier New" w:hAnsi="Courier New" w:eastAsia="Courier New" w:cs="Courier New"/>
          <w:color w:val="000000"/>
          <w:sz w:val="20"/>
        </w:rPr>
        <w:t xml:space="preserve">            .ToListAsync(ct);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lastPriceAt = await db.PriceHistory.AsNoTracking()</w:t>
      </w:r>
    </w:p>
    <w:p>
      <w:pPr>
        <w:pStyle w:val="CodeBlock"/>
      </w:pPr>
      <w:r>
        <w:rPr>
          <w:rFonts w:ascii="Courier New" w:hAnsi="Courier New" w:eastAsia="Courier New" w:cs="Courier New"/>
          <w:color w:val="000000"/>
          <w:sz w:val="20"/>
        </w:rPr>
        <w:t xml:space="preserve">            .Where(h =&gt; productIds.Contains(h.ProductId))</w:t>
      </w:r>
    </w:p>
    <w:p>
      <w:pPr>
        <w:pStyle w:val="CodeBlock"/>
      </w:pPr>
      <w:r>
        <w:rPr>
          <w:rFonts w:ascii="Courier New" w:hAnsi="Courier New" w:eastAsia="Courier New" w:cs="Courier New"/>
          <w:color w:val="000000"/>
          <w:sz w:val="20"/>
        </w:rPr>
        <w:t xml:space="preserve">            .GroupBy(h =&gt; new { h.ProductId, h.VendorId })</w:t>
      </w:r>
    </w:p>
    <w:p>
      <w:pPr>
        <w:pStyle w:val="CodeBlock"/>
      </w:pPr>
      <w:r>
        <w:rPr>
          <w:rFonts w:ascii="Courier New" w:hAnsi="Courier New" w:eastAsia="Courier New" w:cs="Courier New"/>
          <w:color w:val="000000"/>
          <w:sz w:val="20"/>
        </w:rPr>
        <w:t xml:space="preserve">            .Select(g =&gt; new { g.Key.ProductId, g.Key.VendorId, At = g.Max(x =&gt; x.RecordedAtUtc) })</w:t>
      </w:r>
    </w:p>
    <w:p>
      <w:pPr>
        <w:pStyle w:val="CodeBlock"/>
      </w:pPr>
      <w:r>
        <w:rPr>
          <w:rFonts w:ascii="Courier New" w:hAnsi="Courier New" w:eastAsia="Courier New" w:cs="Courier New"/>
          <w:color w:val="000000"/>
          <w:sz w:val="20"/>
        </w:rPr>
        <w:t xml:space="preserve">            .ToListAsync(ct);</w:t>
      </w:r>
    </w:p>
    <w:p>
      <w:pPr>
        <w:pStyle w:val="CodeBlock"/>
      </w:pPr>
      <w:r>
        <w:rPr>
          <w:rFonts w:ascii="Courier New" w:hAnsi="Courier New" w:eastAsia="Courier New" w:cs="Courier New"/>
          <w:color w:val="000000"/>
          <w:sz w:val="20"/>
        </w:rPr>
        <w:t xml:space="preserve">        var lastPriceMap = lastPriceAt.ToDictionary(x =&gt; (x.ProductId, x.VendorId), x =&gt; x.At);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 Активные скидки по задействованным поставщикам/производителям (ТЗ п.5.4).</w:t>
      </w:r>
    </w:p>
    <w:p>
      <w:pPr>
        <w:pStyle w:val="CodeBlock"/>
      </w:pPr>
      <w:r>
        <w:rPr>
          <w:rFonts w:ascii="Courier New" w:hAnsi="Courier New" w:eastAsia="Courier New" w:cs="Courier New"/>
          <w:color w:val="000000"/>
          <w:sz w:val="20"/>
        </w:rPr>
        <w:t xml:space="preserve">        var vendorIds = rawOffers.Select(o =&gt; o.VendorId).Distinct().ToList();</w:t>
      </w:r>
    </w:p>
    <w:p>
      <w:pPr>
        <w:pStyle w:val="CodeBlock"/>
      </w:pPr>
      <w:r>
        <w:rPr>
          <w:rFonts w:ascii="Courier New" w:hAnsi="Courier New" w:eastAsia="Courier New" w:cs="Courier New"/>
          <w:color w:val="000000"/>
          <w:sz w:val="20"/>
        </w:rPr>
        <w:t xml:space="preserve">        var manufacturers = products.Values.Select(p =&gt; p.Manufacturer)</w:t>
      </w:r>
    </w:p>
    <w:p>
      <w:pPr>
        <w:pStyle w:val="CodeBlock"/>
      </w:pPr>
      <w:r>
        <w:rPr>
          <w:rFonts w:ascii="Courier New" w:hAnsi="Courier New" w:eastAsia="Courier New" w:cs="Courier New"/>
          <w:color w:val="000000"/>
          <w:sz w:val="20"/>
        </w:rPr>
        <w:t xml:space="preserve">            .Where(m =&gt; !string.IsNullOrWhiteSpace(m)).Select(m =&gt; m!).Distinct().ToList();</w:t>
      </w:r>
    </w:p>
    <w:p>
      <w:pPr>
        <w:pStyle w:val="CodeBlock"/>
      </w:pPr>
      <w:r>
        <w:rPr>
          <w:rFonts w:ascii="Courier New" w:hAnsi="Courier New" w:eastAsia="Courier New" w:cs="Courier New"/>
          <w:color w:val="000000"/>
          <w:sz w:val="20"/>
        </w:rPr>
        <w:t xml:space="preserve">        var applicable = await discounts.GetActiveForAsync(vendorIds, manufacturers, ct);</w:t>
      </w:r>
    </w:p>
    <w:p>
      <w:pPr>
        <w:pStyle w:val="CodeBlock"/>
      </w:pPr>
      <w:r>
        <w:rPr>
          <w:rFonts w:ascii="Courier New" w:hAnsi="Courier New" w:eastAsia="Courier New" w:cs="Courier New"/>
          <w:color w:val="000000"/>
          <w:sz w:val="20"/>
        </w:rPr>
        <w:t xml:space="preserve">        var vendorDisc = applicable.Where(a =&gt; a.VendorId is not null)</w:t>
      </w:r>
    </w:p>
    <w:p>
      <w:pPr>
        <w:pStyle w:val="CodeBlock"/>
      </w:pPr>
      <w:r>
        <w:rPr>
          <w:rFonts w:ascii="Courier New" w:hAnsi="Courier New" w:eastAsia="Courier New" w:cs="Courier New"/>
          <w:color w:val="000000"/>
          <w:sz w:val="20"/>
        </w:rPr>
        <w:t xml:space="preserve">            .ToDictionary(a =&gt; a.VendorId!.Value, a =&gt; a.Percent);</w:t>
      </w:r>
    </w:p>
    <w:p>
      <w:pPr>
        <w:pStyle w:val="CodeBlock"/>
      </w:pPr>
      <w:r>
        <w:rPr>
          <w:rFonts w:ascii="Courier New" w:hAnsi="Courier New" w:eastAsia="Courier New" w:cs="Courier New"/>
          <w:color w:val="000000"/>
          <w:sz w:val="20"/>
        </w:rPr>
        <w:t xml:space="preserve">        var mfrDisc = applicable.Where(a =&gt; a.Manufacturer is not null)</w:t>
      </w:r>
    </w:p>
    <w:p>
      <w:pPr>
        <w:pStyle w:val="CodeBlock"/>
      </w:pPr>
      <w:r>
        <w:rPr>
          <w:rFonts w:ascii="Courier New" w:hAnsi="Courier New" w:eastAsia="Courier New" w:cs="Courier New"/>
          <w:color w:val="000000"/>
          <w:sz w:val="20"/>
        </w:rPr>
        <w:t xml:space="preserve">            .GroupBy(a =&gt; a.Manufacturer!).ToDictionary(g =&gt; g.Key, g =&gt; g.First().Percent);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 Кандидаты по товару с посчитанной эффективной ценой: приоритет у скидки поставщика,</w:t>
      </w:r>
    </w:p>
    <w:p>
      <w:pPr>
        <w:pStyle w:val="CodeBlock"/>
      </w:pPr>
      <w:r>
        <w:rPr>
          <w:rFonts w:ascii="Courier New" w:hAnsi="Courier New" w:eastAsia="Courier New" w:cs="Courier New"/>
          <w:color w:val="000000"/>
          <w:sz w:val="20"/>
        </w:rPr>
        <w:t xml:space="preserve">        // при её отсутствии — скидка производителя товара.</w:t>
      </w:r>
    </w:p>
    <w:p>
      <w:pPr>
        <w:pStyle w:val="CodeBlock"/>
      </w:pPr>
      <w:r>
        <w:rPr>
          <w:rFonts w:ascii="Courier New" w:hAnsi="Courier New" w:eastAsia="Courier New" w:cs="Courier New"/>
          <w:color w:val="000000"/>
          <w:sz w:val="20"/>
        </w:rPr>
        <w:t xml:space="preserve">        var offersByProduct = rawOffers.GroupBy(o =&gt; o.ProductId).ToDictionary(</w:t>
      </w:r>
    </w:p>
    <w:p>
      <w:pPr>
        <w:pStyle w:val="CodeBlock"/>
      </w:pPr>
      <w:r>
        <w:rPr>
          <w:rFonts w:ascii="Courier New" w:hAnsi="Courier New" w:eastAsia="Courier New" w:cs="Courier New"/>
          <w:color w:val="000000"/>
          <w:sz w:val="20"/>
        </w:rPr>
        <w:t xml:space="preserve">            g =&gt; g.Key,</w:t>
      </w:r>
    </w:p>
    <w:p>
      <w:pPr>
        <w:pStyle w:val="CodeBlock"/>
      </w:pPr>
      <w:r>
        <w:rPr>
          <w:rFonts w:ascii="Courier New" w:hAnsi="Courier New" w:eastAsia="Courier New" w:cs="Courier New"/>
          <w:color w:val="000000"/>
          <w:sz w:val="20"/>
        </w:rPr>
        <w:t xml:space="preserve">            g =&gt;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products.TryGetValue(g.Key, out var pr);</w:t>
      </w:r>
    </w:p>
    <w:p>
      <w:pPr>
        <w:pStyle w:val="CodeBlock"/>
      </w:pPr>
      <w:r>
        <w:rPr>
          <w:rFonts w:ascii="Courier New" w:hAnsi="Courier New" w:eastAsia="Courier New" w:cs="Courier New"/>
          <w:color w:val="000000"/>
          <w:sz w:val="20"/>
        </w:rPr>
        <w:t xml:space="preserve">                var mfr = pr.Manufacturer;</w:t>
      </w:r>
    </w:p>
    <w:p>
      <w:pPr>
        <w:pStyle w:val="CodeBlock"/>
      </w:pPr>
      <w:r>
        <w:rPr>
          <w:rFonts w:ascii="Courier New" w:hAnsi="Courier New" w:eastAsia="Courier New" w:cs="Courier New"/>
          <w:color w:val="000000"/>
          <w:sz w:val="20"/>
        </w:rPr>
        <w:t xml:space="preserve">                return (IReadOnlyList&lt;Candidate&gt;)g.Select(o =&gt;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decimal disc = vendorDisc.TryGetValue(o.VendorId, out var vd) ? vd</w:t>
      </w:r>
    </w:p>
    <w:p>
      <w:pPr>
        <w:pStyle w:val="CodeBlock"/>
      </w:pPr>
      <w:r>
        <w:rPr>
          <w:rFonts w:ascii="Courier New" w:hAnsi="Courier New" w:eastAsia="Courier New" w:cs="Courier New"/>
          <w:color w:val="000000"/>
          <w:sz w:val="20"/>
        </w:rPr>
        <w:t xml:space="preserve">                        : (mfr is not null &amp;&amp; mfrDisc.TryGetValue(mfr, out var md) ? md : 0m);</w:t>
      </w:r>
    </w:p>
    <w:p>
      <w:pPr>
        <w:pStyle w:val="CodeBlock"/>
      </w:pPr>
      <w:r>
        <w:rPr>
          <w:rFonts w:ascii="Courier New" w:hAnsi="Courier New" w:eastAsia="Courier New" w:cs="Courier New"/>
          <w:color w:val="000000"/>
          <w:sz w:val="20"/>
        </w:rPr>
        <w:t xml:space="preserve">                    var eff = Math.Round(o.Price * (1 - disc / 100m), 2);</w:t>
      </w:r>
    </w:p>
    <w:p>
      <w:pPr>
        <w:pStyle w:val="CodeBlock"/>
      </w:pPr>
      <w:r>
        <w:rPr>
          <w:rFonts w:ascii="Courier New" w:hAnsi="Courier New" w:eastAsia="Courier New" w:cs="Courier New"/>
          <w:color w:val="000000"/>
          <w:sz w:val="20"/>
        </w:rPr>
        <w:t xml:space="preserve">                    var at = lastPriceMap.TryGetValue((o.ProductId, o.VendorId), out var hist)</w:t>
      </w:r>
    </w:p>
    <w:p>
      <w:pPr>
        <w:pStyle w:val="CodeBlock"/>
      </w:pPr>
      <w:r>
        <w:rPr>
          <w:rFonts w:ascii="Courier New" w:hAnsi="Courier New" w:eastAsia="Courier New" w:cs="Courier New"/>
          <w:color w:val="000000"/>
          <w:sz w:val="20"/>
        </w:rPr>
        <w:t xml:space="preserve">                        ? hist : (o.UpdatedAtUtc ?? o.CreatedAtUtc);</w:t>
      </w:r>
    </w:p>
    <w:p>
      <w:pPr>
        <w:pStyle w:val="CodeBlock"/>
      </w:pPr>
      <w:r>
        <w:rPr>
          <w:rFonts w:ascii="Courier New" w:hAnsi="Courier New" w:eastAsia="Courier New" w:cs="Courier New"/>
          <w:color w:val="000000"/>
          <w:sz w:val="20"/>
        </w:rPr>
        <w:t xml:space="preserve">                    return new Candidate(o.VendorId, o.VendorName, o.Price, o.LeadTimeDays, o.StockQuantity, disc, eff, at);</w:t>
      </w:r>
    </w:p>
    <w:p>
      <w:pPr>
        <w:pStyle w:val="CodeBlock"/>
      </w:pPr>
      <w:r>
        <w:rPr>
          <w:rFonts w:ascii="Courier New" w:hAnsi="Courier New" w:eastAsia="Courier New" w:cs="Courier New"/>
          <w:color w:val="000000"/>
          <w:sz w:val="20"/>
        </w:rPr>
        <w:t xml:space="preserve">                }).ToList();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vat = _vatRate;</w:t>
      </w:r>
    </w:p>
    <w:p>
      <w:pPr>
        <w:pStyle w:val="CodeBlock"/>
      </w:pPr>
      <w:r>
        <w:rPr>
          <w:rFonts w:ascii="Courier New" w:hAnsi="Courier New" w:eastAsia="Courier New" w:cs="Courier New"/>
          <w:color w:val="000000"/>
          <w:sz w:val="20"/>
        </w:rPr>
        <w:t xml:space="preserve">        decimal WithVat(decimal x) =&gt; Math.Round(x * (1 + vat / 100m), 2);</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lines = new List&lt;QuoteLine&gt;(spec.Items.Count);</w:t>
      </w:r>
    </w:p>
    <w:p>
      <w:pPr>
        <w:pStyle w:val="CodeBlock"/>
      </w:pPr>
      <w:r>
        <w:rPr>
          <w:rFonts w:ascii="Courier New" w:hAnsi="Courier New" w:eastAsia="Courier New" w:cs="Courier New"/>
          <w:color w:val="000000"/>
          <w:sz w:val="20"/>
        </w:rPr>
        <w:t xml:space="preserve">        var now = DateTime.UtcNow;</w:t>
      </w:r>
    </w:p>
    <w:p>
      <w:pPr>
        <w:pStyle w:val="CodeBlock"/>
      </w:pPr>
      <w:r>
        <w:rPr>
          <w:rFonts w:ascii="Courier New" w:hAnsi="Courier New" w:eastAsia="Courier New" w:cs="Courier New"/>
          <w:color w:val="000000"/>
          <w:sz w:val="20"/>
        </w:rPr>
        <w:t xml:space="preserve">        foreach (var item in spec.Items)</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bind = binds[item.Id];</w:t>
      </w:r>
    </w:p>
    <w:p>
      <w:pPr>
        <w:pStyle w:val="CodeBlock"/>
      </w:pPr>
      <w:r>
        <w:rPr>
          <w:rFonts w:ascii="Courier New" w:hAnsi="Courier New" w:eastAsia="Courier New" w:cs="Courier New"/>
          <w:color w:val="000000"/>
          <w:sz w:val="20"/>
        </w:rPr>
        <w:t xml:space="preserve">            products.TryGetValue(bind.ProductId ?? Guid.Empty, out var pr);</w:t>
      </w:r>
    </w:p>
    <w:p>
      <w:pPr>
        <w:pStyle w:val="CodeBlock"/>
      </w:pPr>
      <w:r>
        <w:rPr>
          <w:rFonts w:ascii="Courier New" w:hAnsi="Courier New" w:eastAsia="Courier New" w:cs="Courier New"/>
          <w:color w:val="000000"/>
          <w:sz w:val="20"/>
        </w:rPr>
        <w:t xml:space="preserve">            var name = pr.Name ?? item.RawName;</w:t>
      </w:r>
    </w:p>
    <w:p>
      <w:pPr>
        <w:pStyle w:val="CodeBlock"/>
      </w:pPr>
      <w:r>
        <w:rPr>
          <w:rFonts w:ascii="Courier New" w:hAnsi="Courier New" w:eastAsia="Courier New" w:cs="Courier New"/>
          <w:color w:val="000000"/>
          <w:sz w:val="20"/>
        </w:rPr>
        <w:t xml:space="preserve">            var sku = pr.Sku ?? item.RawSku;</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IReadOnlyList&lt;Candidate&gt; cands =</w:t>
      </w:r>
    </w:p>
    <w:p>
      <w:pPr>
        <w:pStyle w:val="CodeBlock"/>
      </w:pPr>
      <w:r>
        <w:rPr>
          <w:rFonts w:ascii="Courier New" w:hAnsi="Courier New" w:eastAsia="Courier New" w:cs="Courier New"/>
          <w:color w:val="000000"/>
          <w:sz w:val="20"/>
        </w:rPr>
        <w:t xml:space="preserve">                bind.ProductId is { } id &amp;&amp; offersByProduct.TryGetValue(id, out var list)</w:t>
      </w:r>
    </w:p>
    <w:p>
      <w:pPr>
        <w:pStyle w:val="CodeBlock"/>
      </w:pPr>
      <w:r>
        <w:rPr>
          <w:rFonts w:ascii="Courier New" w:hAnsi="Courier New" w:eastAsia="Courier New" w:cs="Courier New"/>
          <w:color w:val="000000"/>
          <w:sz w:val="20"/>
        </w:rPr>
        <w:t xml:space="preserve">                    ? (onlyInStock ? list.Where(c =&gt; c.StockQuantity &gt;= item.Quantity).ToList() : list)</w:t>
      </w:r>
    </w:p>
    <w:p>
      <w:pPr>
        <w:pStyle w:val="CodeBlock"/>
      </w:pPr>
      <w:r>
        <w:rPr>
          <w:rFonts w:ascii="Courier New" w:hAnsi="Courier New" w:eastAsia="Courier New" w:cs="Courier New"/>
          <w:color w:val="000000"/>
          <w:sz w:val="20"/>
        </w:rPr>
        <w:t xml:space="preserve">                    :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Candidate? overrideCand = overrides.TryGetValue(item.Id, out var overrideVendor)</w:t>
      </w:r>
    </w:p>
    <w:p>
      <w:pPr>
        <w:pStyle w:val="CodeBlock"/>
      </w:pPr>
      <w:r>
        <w:rPr>
          <w:rFonts w:ascii="Courier New" w:hAnsi="Courier New" w:eastAsia="Courier New" w:cs="Courier New"/>
          <w:color w:val="000000"/>
          <w:sz w:val="20"/>
        </w:rPr>
        <w:t xml:space="preserve">                ? cands.FirstOrDefault(c =&gt; c.VendorId == overrideVendor)</w:t>
      </w:r>
    </w:p>
    <w:p>
      <w:pPr>
        <w:pStyle w:val="CodeBlock"/>
      </w:pPr>
      <w:r>
        <w:rPr>
          <w:rFonts w:ascii="Courier New" w:hAnsi="Courier New" w:eastAsia="Courier New" w:cs="Courier New"/>
          <w:color w:val="000000"/>
          <w:sz w:val="20"/>
        </w:rPr>
        <w:t xml:space="preserve">                : null;</w:t>
      </w:r>
    </w:p>
    <w:p>
      <w:pPr>
        <w:pStyle w:val="CodeBlock"/>
      </w:pPr>
      <w:r>
        <w:rPr>
          <w:rFonts w:ascii="Courier New" w:hAnsi="Courier New" w:eastAsia="Courier New" w:cs="Courier New"/>
          <w:color w:val="000000"/>
          <w:sz w:val="20"/>
        </w:rPr>
        <w:t xml:space="preserve">            var isOverride = overrideCand is not null;</w:t>
      </w:r>
    </w:p>
    <w:p>
      <w:pPr>
        <w:pStyle w:val="CodeBlock"/>
      </w:pPr>
      <w:r>
        <w:rPr>
          <w:rFonts w:ascii="Courier New" w:hAnsi="Courier New" w:eastAsia="Courier New" w:cs="Courier New"/>
          <w:color w:val="000000"/>
          <w:sz w:val="20"/>
        </w:rPr>
        <w:t xml:space="preserve">            var (chosen, mlReason) = overrideCand is not null</w:t>
      </w:r>
    </w:p>
    <w:p>
      <w:pPr>
        <w:pStyle w:val="CodeBlock"/>
      </w:pPr>
      <w:r>
        <w:rPr>
          <w:rFonts w:ascii="Courier New" w:hAnsi="Courier New" w:eastAsia="Courier New" w:cs="Courier New"/>
          <w:color w:val="000000"/>
          <w:sz w:val="20"/>
        </w:rPr>
        <w:t xml:space="preserve">                ? (overrideCand, (string?)null)</w:t>
      </w:r>
    </w:p>
    <w:p>
      <w:pPr>
        <w:pStyle w:val="CodeBlock"/>
      </w:pPr>
      <w:r>
        <w:rPr>
          <w:rFonts w:ascii="Courier New" w:hAnsi="Courier New" w:eastAsia="Courier New" w:cs="Courier New"/>
          <w:color w:val="000000"/>
          <w:sz w:val="20"/>
        </w:rPr>
        <w:t xml:space="preserve">                : Select(cands, strategy, weightPrice, weightLeadTime, item.Quantity, bind.Score, now);</w:t>
      </w:r>
    </w:p>
    <w:p>
      <w:pPr>
        <w:pStyle w:val="CodeBlock"/>
      </w:pPr>
      <w:r>
        <w:rPr>
          <w:rFonts w:ascii="Courier New" w:hAnsi="Courier New" w:eastAsia="Courier New" w:cs="Courier New"/>
          <w:color w:val="000000"/>
          <w:sz w:val="20"/>
        </w:rPr>
        <w:t xml:space="preserve">            if (chosen is null)</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lines.Add(new QuoteLine(item.Id, bind.ProductId, sku, name, item.Quantity,</w:t>
      </w:r>
    </w:p>
    <w:p>
      <w:pPr>
        <w:pStyle w:val="CodeBlock"/>
      </w:pPr>
      <w:r>
        <w:rPr>
          <w:rFonts w:ascii="Courier New" w:hAnsi="Courier New" w:eastAsia="Courier New" w:cs="Courier New"/>
          <w:color w:val="000000"/>
          <w:sz w:val="20"/>
        </w:rPr>
        <w:t xml:space="preserve">                    false, null, null, 0m, 0m, 0, 0, cands.Count,</w:t>
      </w:r>
    </w:p>
    <w:p>
      <w:pPr>
        <w:pStyle w:val="CodeBlock"/>
      </w:pPr>
      <w:r>
        <w:rPr>
          <w:rFonts w:ascii="Courier New" w:hAnsi="Courier New" w:eastAsia="Courier New" w:cs="Courier New"/>
          <w:color w:val="000000"/>
          <w:sz w:val="20"/>
        </w:rPr>
        <w:t xml:space="preserve">                    DiscountPercent: 0m, UnitPriceDiscounted: 0m, UnitPriceWithVat: 0m,</w:t>
      </w:r>
    </w:p>
    <w:p>
      <w:pPr>
        <w:pStyle w:val="CodeBlock"/>
      </w:pPr>
      <w:r>
        <w:rPr>
          <w:rFonts w:ascii="Courier New" w:hAnsi="Courier New" w:eastAsia="Courier New" w:cs="Courier New"/>
          <w:color w:val="000000"/>
          <w:sz w:val="20"/>
        </w:rPr>
        <w:t xml:space="preserve">                    UnitPriceWithVatDiscounted: 0m, LineTotalWithVat: 0m,</w:t>
      </w:r>
    </w:p>
    <w:p>
      <w:pPr>
        <w:pStyle w:val="CodeBlock"/>
      </w:pPr>
      <w:r>
        <w:rPr>
          <w:rFonts w:ascii="Courier New" w:hAnsi="Courier New" w:eastAsia="Courier New" w:cs="Courier New"/>
          <w:color w:val="000000"/>
          <w:sz w:val="20"/>
        </w:rPr>
        <w:t xml:space="preserve">                    Manufacturer: pr.Manufacturer,</w:t>
      </w:r>
    </w:p>
    <w:p>
      <w:pPr>
        <w:pStyle w:val="CodeBlock"/>
      </w:pPr>
      <w:r>
        <w:rPr>
          <w:rFonts w:ascii="Courier New" w:hAnsi="Courier New" w:eastAsia="Courier New" w:cs="Courier New"/>
          <w:color w:val="000000"/>
          <w:sz w:val="20"/>
        </w:rPr>
        <w:t xml:space="preserve">                    SelectionReason: bind.ProductId is null ? "Не найдено в каталоге (ML)" : "Нет предложений поставщиков",</w:t>
      </w:r>
    </w:p>
    <w:p>
      <w:pPr>
        <w:pStyle w:val="CodeBlock"/>
      </w:pPr>
      <w:r>
        <w:rPr>
          <w:rFonts w:ascii="Courier New" w:hAnsi="Courier New" w:eastAsia="Courier New" w:cs="Courier New"/>
          <w:color w:val="000000"/>
          <w:sz w:val="20"/>
        </w:rPr>
        <w:t xml:space="preserve">                    MatchKind: bind.Kind.ToString(), MatchScore: bind.Score));</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else</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lineTotal = chosen.EffectivePrice * item.Quantity;   // со скидкой, без НДС</w:t>
      </w:r>
    </w:p>
    <w:p>
      <w:pPr>
        <w:pStyle w:val="CodeBlock"/>
      </w:pPr>
      <w:r>
        <w:rPr>
          <w:rFonts w:ascii="Courier New" w:hAnsi="Courier New" w:eastAsia="Courier New" w:cs="Courier New"/>
          <w:color w:val="000000"/>
          <w:sz w:val="20"/>
        </w:rPr>
        <w:t xml:space="preserve">                var reason = isOverride ? "Выбрано вручную"</w:t>
      </w:r>
    </w:p>
    <w:p>
      <w:pPr>
        <w:pStyle w:val="CodeBlock"/>
      </w:pPr>
      <w:r>
        <w:rPr>
          <w:rFonts w:ascii="Courier New" w:hAnsi="Courier New" w:eastAsia="Courier New" w:cs="Courier New"/>
          <w:color w:val="000000"/>
          <w:sz w:val="20"/>
        </w:rPr>
        <w:t xml:space="preserve">                    : mlReason ?? ReasonFor(chosen, cands, strategy, weightPrice, weightLeadTime);</w:t>
      </w:r>
    </w:p>
    <w:p>
      <w:pPr>
        <w:pStyle w:val="CodeBlock"/>
      </w:pPr>
      <w:r>
        <w:rPr>
          <w:rFonts w:ascii="Courier New" w:hAnsi="Courier New" w:eastAsia="Courier New" w:cs="Courier New"/>
          <w:color w:val="000000"/>
          <w:sz w:val="20"/>
        </w:rPr>
        <w:t xml:space="preserve">                if (bind.Kind is MatchKind.Analog or MatchKind.FuzzyName &amp;&amp; bind.Reason is not null)</w:t>
      </w:r>
    </w:p>
    <w:p>
      <w:pPr>
        <w:pStyle w:val="CodeBlock"/>
      </w:pPr>
      <w:r>
        <w:rPr>
          <w:rFonts w:ascii="Courier New" w:hAnsi="Courier New" w:eastAsia="Courier New" w:cs="Courier New"/>
          <w:color w:val="000000"/>
          <w:sz w:val="20"/>
        </w:rPr>
        <w:t xml:space="preserve">                    reason = bind.Reason + " · " + reason;</w:t>
      </w:r>
    </w:p>
    <w:p>
      <w:pPr>
        <w:pStyle w:val="CodeBlock"/>
      </w:pPr>
      <w:r>
        <w:rPr>
          <w:rFonts w:ascii="Courier New" w:hAnsi="Courier New" w:eastAsia="Courier New" w:cs="Courier New"/>
          <w:color w:val="000000"/>
          <w:sz w:val="20"/>
        </w:rPr>
        <w:t xml:space="preserve">                lines.Add(new QuoteLine(item.Id, bind.ProductId, sku, name, item.Quantity,</w:t>
      </w:r>
    </w:p>
    <w:p>
      <w:pPr>
        <w:pStyle w:val="CodeBlock"/>
      </w:pPr>
      <w:r>
        <w:rPr>
          <w:rFonts w:ascii="Courier New" w:hAnsi="Courier New" w:eastAsia="Courier New" w:cs="Courier New"/>
          <w:color w:val="000000"/>
          <w:sz w:val="20"/>
        </w:rPr>
        <w:t xml:space="preserve">                    true, chosen.VendorId, chosen.VendorName,</w:t>
      </w:r>
    </w:p>
    <w:p>
      <w:pPr>
        <w:pStyle w:val="CodeBlock"/>
      </w:pPr>
      <w:r>
        <w:rPr>
          <w:rFonts w:ascii="Courier New" w:hAnsi="Courier New" w:eastAsia="Courier New" w:cs="Courier New"/>
          <w:color w:val="000000"/>
          <w:sz w:val="20"/>
        </w:rPr>
        <w:t xml:space="preserve">                    UnitPrice: chosen.Price, LineTotal: lineTotal,</w:t>
      </w:r>
    </w:p>
    <w:p>
      <w:pPr>
        <w:pStyle w:val="CodeBlock"/>
      </w:pPr>
      <w:r>
        <w:rPr>
          <w:rFonts w:ascii="Courier New" w:hAnsi="Courier New" w:eastAsia="Courier New" w:cs="Courier New"/>
          <w:color w:val="000000"/>
          <w:sz w:val="20"/>
        </w:rPr>
        <w:t xml:space="preserve">                    LeadTimeDays: chosen.LeadTimeDays, StockQuantity: chosen.StockQuantity, CandidateOffers: cands.Count,</w:t>
      </w:r>
    </w:p>
    <w:p>
      <w:pPr>
        <w:pStyle w:val="CodeBlock"/>
      </w:pPr>
      <w:r>
        <w:rPr>
          <w:rFonts w:ascii="Courier New" w:hAnsi="Courier New" w:eastAsia="Courier New" w:cs="Courier New"/>
          <w:color w:val="000000"/>
          <w:sz w:val="20"/>
        </w:rPr>
        <w:t xml:space="preserve">                    DiscountPercent: chosen.DiscountPercent,</w:t>
      </w:r>
    </w:p>
    <w:p>
      <w:pPr>
        <w:pStyle w:val="CodeBlock"/>
      </w:pPr>
      <w:r>
        <w:rPr>
          <w:rFonts w:ascii="Courier New" w:hAnsi="Courier New" w:eastAsia="Courier New" w:cs="Courier New"/>
          <w:color w:val="000000"/>
          <w:sz w:val="20"/>
        </w:rPr>
        <w:t xml:space="preserve">                    UnitPriceDiscounted: chosen.EffectivePrice,</w:t>
      </w:r>
    </w:p>
    <w:p>
      <w:pPr>
        <w:pStyle w:val="CodeBlock"/>
      </w:pPr>
      <w:r>
        <w:rPr>
          <w:rFonts w:ascii="Courier New" w:hAnsi="Courier New" w:eastAsia="Courier New" w:cs="Courier New"/>
          <w:color w:val="000000"/>
          <w:sz w:val="20"/>
        </w:rPr>
        <w:t xml:space="preserve">                    UnitPriceWithVat: WithVat(chosen.Price),</w:t>
      </w:r>
    </w:p>
    <w:p>
      <w:pPr>
        <w:pStyle w:val="CodeBlock"/>
      </w:pPr>
      <w:r>
        <w:rPr>
          <w:rFonts w:ascii="Courier New" w:hAnsi="Courier New" w:eastAsia="Courier New" w:cs="Courier New"/>
          <w:color w:val="000000"/>
          <w:sz w:val="20"/>
        </w:rPr>
        <w:t xml:space="preserve">                    UnitPriceWithVatDiscounted: WithVat(chosen.EffectivePrice),</w:t>
      </w:r>
    </w:p>
    <w:p>
      <w:pPr>
        <w:pStyle w:val="CodeBlock"/>
      </w:pPr>
      <w:r>
        <w:rPr>
          <w:rFonts w:ascii="Courier New" w:hAnsi="Courier New" w:eastAsia="Courier New" w:cs="Courier New"/>
          <w:color w:val="000000"/>
          <w:sz w:val="20"/>
        </w:rPr>
        <w:t xml:space="preserve">                    LineTotalWithVat: WithVat(lineTotal),</w:t>
      </w:r>
    </w:p>
    <w:p>
      <w:pPr>
        <w:pStyle w:val="CodeBlock"/>
      </w:pPr>
      <w:r>
        <w:rPr>
          <w:rFonts w:ascii="Courier New" w:hAnsi="Courier New" w:eastAsia="Courier New" w:cs="Courier New"/>
          <w:color w:val="000000"/>
          <w:sz w:val="20"/>
        </w:rPr>
        <w:t xml:space="preserve">                    Manufacturer: pr.Manufacturer,</w:t>
      </w:r>
    </w:p>
    <w:p>
      <w:pPr>
        <w:pStyle w:val="CodeBlock"/>
      </w:pPr>
      <w:r>
        <w:rPr>
          <w:rFonts w:ascii="Courier New" w:hAnsi="Courier New" w:eastAsia="Courier New" w:cs="Courier New"/>
          <w:color w:val="000000"/>
          <w:sz w:val="20"/>
        </w:rPr>
        <w:t xml:space="preserve">                    SelectionReason: reason,</w:t>
      </w:r>
    </w:p>
    <w:p>
      <w:pPr>
        <w:pStyle w:val="CodeBlock"/>
      </w:pPr>
      <w:r>
        <w:rPr>
          <w:rFonts w:ascii="Courier New" w:hAnsi="Courier New" w:eastAsia="Courier New" w:cs="Courier New"/>
          <w:color w:val="000000"/>
          <w:sz w:val="20"/>
        </w:rPr>
        <w:t xml:space="preserve">                    MatchKind: bind.Kind.ToString(),</w:t>
      </w:r>
    </w:p>
    <w:p>
      <w:pPr>
        <w:pStyle w:val="CodeBlock"/>
      </w:pPr>
      <w:r>
        <w:rPr>
          <w:rFonts w:ascii="Courier New" w:hAnsi="Courier New" w:eastAsia="Courier New" w:cs="Courier New"/>
          <w:color w:val="000000"/>
          <w:sz w:val="20"/>
        </w:rPr>
        <w:t xml:space="preserve">                    MatchScore: bind.Score));</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matched = lines.Where(l =&gt; l.Matched).ToList();</w:t>
      </w:r>
    </w:p>
    <w:p>
      <w:pPr>
        <w:pStyle w:val="CodeBlock"/>
      </w:pPr>
      <w:r>
        <w:rPr>
          <w:rFonts w:ascii="Courier New" w:hAnsi="Courier New" w:eastAsia="Courier New" w:cs="Courier New"/>
          <w:color w:val="000000"/>
          <w:sz w:val="20"/>
        </w:rPr>
        <w:t xml:space="preserve">        var total = matched.Sum(l =&gt; l.LineTotal);</w:t>
      </w:r>
    </w:p>
    <w:p>
      <w:pPr>
        <w:pStyle w:val="CodeBlock"/>
      </w:pPr>
      <w:r>
        <w:rPr>
          <w:rFonts w:ascii="Courier New" w:hAnsi="Courier New" w:eastAsia="Courier New" w:cs="Courier New"/>
          <w:color w:val="000000"/>
          <w:sz w:val="20"/>
        </w:rPr>
        <w:t xml:space="preserve">        var totalWithVat = matched.Sum(l =&gt; l.LineTotalWithVat);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activity?.SetTag("quote.matched_positions", matched.Count);</w:t>
      </w:r>
    </w:p>
    <w:p>
      <w:pPr>
        <w:pStyle w:val="CodeBlock"/>
      </w:pPr>
      <w:r>
        <w:rPr>
          <w:rFonts w:ascii="Courier New" w:hAnsi="Courier New" w:eastAsia="Courier New" w:cs="Courier New"/>
          <w:color w:val="000000"/>
          <w:sz w:val="20"/>
        </w:rPr>
        <w:t xml:space="preserve">        activity?.SetTag("quote.unmatched_positions", lines.Count - matched.Count);</w:t>
      </w:r>
    </w:p>
    <w:p>
      <w:pPr>
        <w:pStyle w:val="CodeBlock"/>
      </w:pPr>
      <w:r>
        <w:rPr>
          <w:rFonts w:ascii="Courier New" w:hAnsi="Courier New" w:eastAsia="Courier New" w:cs="Courier New"/>
          <w:color w:val="000000"/>
          <w:sz w:val="20"/>
        </w:rPr>
        <w:t xml:space="preserve">        activity?.SetTag("quote.total_cost", (double)total);</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return new Quote(</w:t>
      </w:r>
    </w:p>
    <w:p>
      <w:pPr>
        <w:pStyle w:val="CodeBlock"/>
      </w:pPr>
      <w:r>
        <w:rPr>
          <w:rFonts w:ascii="Courier New" w:hAnsi="Courier New" w:eastAsia="Courier New" w:cs="Courier New"/>
          <w:color w:val="000000"/>
          <w:sz w:val="20"/>
        </w:rPr>
        <w:t xml:space="preserve">            spec.Id, spec.Title, strategy, weightPrice, weightLeadTime, lines,</w:t>
      </w:r>
    </w:p>
    <w:p>
      <w:pPr>
        <w:pStyle w:val="CodeBlock"/>
      </w:pPr>
      <w:r>
        <w:rPr>
          <w:rFonts w:ascii="Courier New" w:hAnsi="Courier New" w:eastAsia="Courier New" w:cs="Courier New"/>
          <w:color w:val="000000"/>
          <w:sz w:val="20"/>
        </w:rPr>
        <w:t xml:space="preserve">            TotalCost: total,</w:t>
      </w:r>
    </w:p>
    <w:p>
      <w:pPr>
        <w:pStyle w:val="CodeBlock"/>
      </w:pPr>
      <w:r>
        <w:rPr>
          <w:rFonts w:ascii="Courier New" w:hAnsi="Courier New" w:eastAsia="Courier New" w:cs="Courier New"/>
          <w:color w:val="000000"/>
          <w:sz w:val="20"/>
        </w:rPr>
        <w:t xml:space="preserve">            MaxLeadTimeDays: matched.Count &gt; 0 ? matched.Max(l =&gt; l.LeadTimeDays) : 0,</w:t>
      </w:r>
    </w:p>
    <w:p>
      <w:pPr>
        <w:pStyle w:val="CodeBlock"/>
      </w:pPr>
      <w:r>
        <w:rPr>
          <w:rFonts w:ascii="Courier New" w:hAnsi="Courier New" w:eastAsia="Courier New" w:cs="Courier New"/>
          <w:color w:val="000000"/>
          <w:sz w:val="20"/>
        </w:rPr>
        <w:t xml:space="preserve">            VendorsUsed: matched.Select(l =&gt; l.VendorId).Distinct().Count(),</w:t>
      </w:r>
    </w:p>
    <w:p>
      <w:pPr>
        <w:pStyle w:val="CodeBlock"/>
      </w:pPr>
      <w:r>
        <w:rPr>
          <w:rFonts w:ascii="Courier New" w:hAnsi="Courier New" w:eastAsia="Courier New" w:cs="Courier New"/>
          <w:color w:val="000000"/>
          <w:sz w:val="20"/>
        </w:rPr>
        <w:t xml:space="preserve">            MatchedPositions: matched.Count,</w:t>
      </w:r>
    </w:p>
    <w:p>
      <w:pPr>
        <w:pStyle w:val="CodeBlock"/>
      </w:pPr>
      <w:r>
        <w:rPr>
          <w:rFonts w:ascii="Courier New" w:hAnsi="Courier New" w:eastAsia="Courier New" w:cs="Courier New"/>
          <w:color w:val="000000"/>
          <w:sz w:val="20"/>
        </w:rPr>
        <w:t xml:space="preserve">            UnmatchedPositions: lines.Count - matched.Count,</w:t>
      </w:r>
    </w:p>
    <w:p>
      <w:pPr>
        <w:pStyle w:val="CodeBlock"/>
      </w:pPr>
      <w:r>
        <w:rPr>
          <w:rFonts w:ascii="Courier New" w:hAnsi="Courier New" w:eastAsia="Courier New" w:cs="Courier New"/>
          <w:color w:val="000000"/>
          <w:sz w:val="20"/>
        </w:rPr>
        <w:t xml:space="preserve">            VatRate: vat,</w:t>
      </w:r>
    </w:p>
    <w:p>
      <w:pPr>
        <w:pStyle w:val="CodeBlock"/>
      </w:pPr>
      <w:r>
        <w:rPr>
          <w:rFonts w:ascii="Courier New" w:hAnsi="Courier New" w:eastAsia="Courier New" w:cs="Courier New"/>
          <w:color w:val="000000"/>
          <w:sz w:val="20"/>
        </w:rPr>
        <w:t xml:space="preserve">            TotalCostWithVat: totalWithVat);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public async Task&lt;IReadOnlyList&lt;Quote&gt;&gt; GenerateAllAsync(Guid specificationId,</w:t>
      </w:r>
    </w:p>
    <w:p>
      <w:pPr>
        <w:pStyle w:val="CodeBlock"/>
      </w:pPr>
      <w:r>
        <w:rPr>
          <w:rFonts w:ascii="Courier New" w:hAnsi="Courier New" w:eastAsia="Courier New" w:cs="Courier New"/>
          <w:color w:val="000000"/>
          <w:sz w:val="20"/>
        </w:rPr>
        <w:t xml:space="preserve">        double weightPrice = 0.5, double weightLeadTime = 0.5, bool onlyInStock = false,</w:t>
      </w:r>
    </w:p>
    <w:p>
      <w:pPr>
        <w:pStyle w:val="CodeBlock"/>
      </w:pPr>
      <w:r>
        <w:rPr>
          <w:rFonts w:ascii="Courier New" w:hAnsi="Courier New" w:eastAsia="Courier New" w:cs="Courier New"/>
          <w:color w:val="000000"/>
          <w:sz w:val="20"/>
        </w:rPr>
        <w:t xml:space="preserve">        CancellationToken ct = default)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result = new List&lt;Quote&gt;(4);</w:t>
      </w:r>
    </w:p>
    <w:p>
      <w:pPr>
        <w:pStyle w:val="CodeBlock"/>
      </w:pPr>
      <w:r>
        <w:rPr>
          <w:rFonts w:ascii="Courier New" w:hAnsi="Courier New" w:eastAsia="Courier New" w:cs="Courier New"/>
          <w:color w:val="000000"/>
          <w:sz w:val="20"/>
        </w:rPr>
        <w:t xml:space="preserve">        foreach (var s in new[] { QuoteStrategy.MinCost, QuoteStrategy.MinLeadTime, QuoteStrategy.Balanced, QuoteStrategy.MlRelevance })</w:t>
      </w:r>
    </w:p>
    <w:p>
      <w:pPr>
        <w:pStyle w:val="CodeBlock"/>
      </w:pPr>
      <w:r>
        <w:rPr>
          <w:rFonts w:ascii="Courier New" w:hAnsi="Courier New" w:eastAsia="Courier New" w:cs="Courier New"/>
          <w:color w:val="000000"/>
          <w:sz w:val="20"/>
        </w:rPr>
        <w:t xml:space="preserve">            result.Add(await GenerateAsync(specificationId, s, weightPrice, weightLeadTime, onlyInStock, ct));</w:t>
      </w:r>
    </w:p>
    <w:p>
      <w:pPr>
        <w:pStyle w:val="CodeBlock"/>
      </w:pPr>
      <w:r>
        <w:rPr>
          <w:rFonts w:ascii="Courier New" w:hAnsi="Courier New" w:eastAsia="Courier New" w:cs="Courier New"/>
          <w:color w:val="000000"/>
          <w:sz w:val="20"/>
        </w:rPr>
        <w:t xml:space="preserve">        return result;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 Стратегии оптимизируют по эффективной (со скидкой) цене — это реальная стоимость к оплате.</w:t>
      </w:r>
    </w:p>
    <w:p>
      <w:pPr>
        <w:pStyle w:val="CodeBlock"/>
      </w:pPr>
      <w:r>
        <w:rPr>
          <w:rFonts w:ascii="Courier New" w:hAnsi="Courier New" w:eastAsia="Courier New" w:cs="Courier New"/>
          <w:color w:val="000000"/>
          <w:sz w:val="20"/>
        </w:rPr>
        <w:t xml:space="preserve">    private static (Candidate? Chosen, string? MlReason) Select(</w:t>
      </w:r>
    </w:p>
    <w:p>
      <w:pPr>
        <w:pStyle w:val="CodeBlock"/>
      </w:pPr>
      <w:r>
        <w:rPr>
          <w:rFonts w:ascii="Courier New" w:hAnsi="Courier New" w:eastAsia="Courier New" w:cs="Courier New"/>
          <w:color w:val="000000"/>
          <w:sz w:val="20"/>
        </w:rPr>
        <w:t xml:space="preserve">        IReadOnlyList&lt;Candidate&gt; cands, QuoteStrategy strategy, double wPrice, double wLead,</w:t>
      </w:r>
    </w:p>
    <w:p>
      <w:pPr>
        <w:pStyle w:val="CodeBlock"/>
      </w:pPr>
      <w:r>
        <w:rPr>
          <w:rFonts w:ascii="Courier New" w:hAnsi="Courier New" w:eastAsia="Courier New" w:cs="Courier New"/>
          <w:color w:val="000000"/>
          <w:sz w:val="20"/>
        </w:rPr>
        <w:t xml:space="preserve">        int quantity, double matchP, DateTime nowUtc)</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if (cands.Count == 0) return (null, null);</w:t>
      </w:r>
    </w:p>
    <w:p>
      <w:pPr>
        <w:pStyle w:val="CodeBlock"/>
      </w:pPr>
      <w:r>
        <w:rPr>
          <w:rFonts w:ascii="Courier New" w:hAnsi="Courier New" w:eastAsia="Courier New" w:cs="Courier New"/>
          <w:color w:val="000000"/>
          <w:sz w:val="20"/>
        </w:rPr>
        <w:t xml:space="preserve">        if (strategy == QuoteStrategy.MlRelevance)</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snaps = cands.Select(c =&gt; new OfferSnapshot(c.VendorId, c.VendorName, c.Price, c.EffectivePrice,</w:t>
      </w:r>
    </w:p>
    <w:p>
      <w:pPr>
        <w:pStyle w:val="CodeBlock"/>
      </w:pPr>
      <w:r>
        <w:rPr>
          <w:rFonts w:ascii="Courier New" w:hAnsi="Courier New" w:eastAsia="Courier New" w:cs="Courier New"/>
          <w:color w:val="000000"/>
          <w:sz w:val="20"/>
        </w:rPr>
        <w:t xml:space="preserve">                c.LeadTimeDays, c.StockQuantity, c.DiscountPercent, c.LastPriceAtUtc)).ToList();</w:t>
      </w:r>
    </w:p>
    <w:p>
      <w:pPr>
        <w:pStyle w:val="CodeBlock"/>
      </w:pPr>
      <w:r>
        <w:rPr>
          <w:rFonts w:ascii="Courier New" w:hAnsi="Courier New" w:eastAsia="Courier New" w:cs="Courier New"/>
          <w:color w:val="000000"/>
          <w:sz w:val="20"/>
        </w:rPr>
        <w:t xml:space="preserve">            var ranked = OfferRanker.Pick(snaps, quantity, matchP, nowUtc);</w:t>
      </w:r>
    </w:p>
    <w:p>
      <w:pPr>
        <w:pStyle w:val="CodeBlock"/>
      </w:pPr>
      <w:r>
        <w:rPr>
          <w:rFonts w:ascii="Courier New" w:hAnsi="Courier New" w:eastAsia="Courier New" w:cs="Courier New"/>
          <w:color w:val="000000"/>
          <w:sz w:val="20"/>
        </w:rPr>
        <w:t xml:space="preserve">            if (ranked is null) return (null, null);</w:t>
      </w:r>
    </w:p>
    <w:p>
      <w:pPr>
        <w:pStyle w:val="CodeBlock"/>
      </w:pPr>
      <w:r>
        <w:rPr>
          <w:rFonts w:ascii="Courier New" w:hAnsi="Courier New" w:eastAsia="Courier New" w:cs="Courier New"/>
          <w:color w:val="000000"/>
          <w:sz w:val="20"/>
        </w:rPr>
        <w:t xml:space="preserve">            var chosen = cands.First(c =&gt; c.VendorId == ranked.Value.Offer.VendorId</w:t>
      </w:r>
    </w:p>
    <w:p>
      <w:pPr>
        <w:pStyle w:val="CodeBlock"/>
      </w:pPr>
      <w:r>
        <w:rPr>
          <w:rFonts w:ascii="Courier New" w:hAnsi="Courier New" w:eastAsia="Courier New" w:cs="Courier New"/>
          <w:color w:val="000000"/>
          <w:sz w:val="20"/>
        </w:rPr>
        <w:t xml:space="preserve">                                          &amp;&amp; c.EffectivePrice == ranked.Value.Offer.EffectivePrice);</w:t>
      </w:r>
    </w:p>
    <w:p>
      <w:pPr>
        <w:pStyle w:val="CodeBlock"/>
      </w:pPr>
      <w:r>
        <w:rPr>
          <w:rFonts w:ascii="Courier New" w:hAnsi="Courier New" w:eastAsia="Courier New" w:cs="Courier New"/>
          <w:color w:val="000000"/>
          <w:sz w:val="20"/>
        </w:rPr>
        <w:t xml:space="preserve">            return (chosen, ranked.Value.Reason);</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pick = strategy switch</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QuoteStrategy.MinCost =&gt; cands.OrderBy(c =&gt; c.EffectivePrice).ThenBy(c =&gt; c.LeadTimeDays).First(),</w:t>
      </w:r>
    </w:p>
    <w:p>
      <w:pPr>
        <w:pStyle w:val="CodeBlock"/>
      </w:pPr>
      <w:r>
        <w:rPr>
          <w:rFonts w:ascii="Courier New" w:hAnsi="Courier New" w:eastAsia="Courier New" w:cs="Courier New"/>
          <w:color w:val="000000"/>
          <w:sz w:val="20"/>
        </w:rPr>
        <w:t xml:space="preserve">            QuoteStrategy.MinLeadTime =&gt; cands.OrderBy(c =&gt; c.LeadTimeDays).ThenBy(c =&gt; c.EffectivePrice).First(),</w:t>
      </w:r>
    </w:p>
    <w:p>
      <w:pPr>
        <w:pStyle w:val="CodeBlock"/>
      </w:pPr>
      <w:r>
        <w:rPr>
          <w:rFonts w:ascii="Courier New" w:hAnsi="Courier New" w:eastAsia="Courier New" w:cs="Courier New"/>
          <w:color w:val="000000"/>
          <w:sz w:val="20"/>
        </w:rPr>
        <w:t xml:space="preserve">            _ =&gt; SelectBalanced(cands, wPrice, wLead)</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return (pick, null);</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 &lt;summary&gt;</w:t>
      </w:r>
    </w:p>
    <w:p>
      <w:pPr>
        <w:pStyle w:val="CodeBlock"/>
      </w:pPr>
      <w:r>
        <w:rPr>
          <w:rFonts w:ascii="Courier New" w:hAnsi="Courier New" w:eastAsia="Courier New" w:cs="Courier New"/>
          <w:color w:val="000000"/>
          <w:sz w:val="20"/>
        </w:rPr>
        <w:t xml:space="preserve">    /// Балансная стратегия: цену (со скидкой) и срок нормируем в [0..1] среди кандидатов на позицию</w:t>
      </w:r>
    </w:p>
    <w:p>
      <w:pPr>
        <w:pStyle w:val="CodeBlock"/>
      </w:pPr>
      <w:r>
        <w:rPr>
          <w:rFonts w:ascii="Courier New" w:hAnsi="Courier New" w:eastAsia="Courier New" w:cs="Courier New"/>
          <w:color w:val="000000"/>
          <w:sz w:val="20"/>
        </w:rPr>
        <w:t xml:space="preserve">    /// и берём оффер с минимальным взвешенным score = wPrice·nPrice + wLead·nLead.</w:t>
      </w:r>
    </w:p>
    <w:p>
      <w:pPr>
        <w:pStyle w:val="CodeBlock"/>
      </w:pPr>
      <w:r>
        <w:rPr>
          <w:rFonts w:ascii="Courier New" w:hAnsi="Courier New" w:eastAsia="Courier New" w:cs="Courier New"/>
          <w:color w:val="000000"/>
          <w:sz w:val="20"/>
        </w:rPr>
        <w:t xml:space="preserve">    /// &lt;/summary&gt;</w:t>
      </w:r>
    </w:p>
    <w:p>
      <w:pPr>
        <w:pStyle w:val="CodeBlock"/>
      </w:pPr>
      <w:r>
        <w:rPr>
          <w:rFonts w:ascii="Courier New" w:hAnsi="Courier New" w:eastAsia="Courier New" w:cs="Courier New"/>
          <w:color w:val="000000"/>
          <w:sz w:val="20"/>
        </w:rPr>
        <w:t xml:space="preserve">    private static Candidate SelectBalanced(IReadOnlyList&lt;Candidate&gt; cands, double wPrice, double wLead) =&gt;</w:t>
      </w:r>
    </w:p>
    <w:p>
      <w:pPr>
        <w:pStyle w:val="CodeBlock"/>
      </w:pPr>
      <w:r>
        <w:rPr>
          <w:rFonts w:ascii="Courier New" w:hAnsi="Courier New" w:eastAsia="Courier New" w:cs="Courier New"/>
          <w:color w:val="000000"/>
          <w:sz w:val="20"/>
        </w:rPr>
        <w:t xml:space="preserve">        cands.MinBy(c =&gt; BalancedScore(c, cands, wPrice, wLead))!;</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 &lt;summary&gt;Взвешенный score кандидата в [0..1] для балансной стратегии (меньше — лучше).&lt;/summary&gt;</w:t>
      </w:r>
    </w:p>
    <w:p>
      <w:pPr>
        <w:pStyle w:val="CodeBlock"/>
      </w:pPr>
      <w:r>
        <w:rPr>
          <w:rFonts w:ascii="Courier New" w:hAnsi="Courier New" w:eastAsia="Courier New" w:cs="Courier New"/>
          <w:color w:val="000000"/>
          <w:sz w:val="20"/>
        </w:rPr>
        <w:t xml:space="preserve">    private static double BalancedScore(Candidate c, IReadOnlyList&lt;Candidate&gt; cands, double wPrice, double wLead)</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sum = wPrice + wLead;</w:t>
      </w:r>
    </w:p>
    <w:p>
      <w:pPr>
        <w:pStyle w:val="CodeBlock"/>
      </w:pPr>
      <w:r>
        <w:rPr>
          <w:rFonts w:ascii="Courier New" w:hAnsi="Courier New" w:eastAsia="Courier New" w:cs="Courier New"/>
          <w:color w:val="000000"/>
          <w:sz w:val="20"/>
        </w:rPr>
        <w:t xml:space="preserve">        if (sum &lt;= 0) { wPrice = wLead = 0.5; sum = 1; }</w:t>
      </w:r>
    </w:p>
    <w:p>
      <w:pPr>
        <w:pStyle w:val="CodeBlock"/>
      </w:pPr>
      <w:r>
        <w:rPr>
          <w:rFonts w:ascii="Courier New" w:hAnsi="Courier New" w:eastAsia="Courier New" w:cs="Courier New"/>
          <w:color w:val="000000"/>
          <w:sz w:val="20"/>
        </w:rPr>
        <w:t xml:space="preserve">        wPrice /= sum; wLead /= sum;</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decimal minP = cands.Min(x =&gt; x.EffectivePrice), maxP = cands.Max(x =&gt; x.EffectivePrice);</w:t>
      </w:r>
    </w:p>
    <w:p>
      <w:pPr>
        <w:pStyle w:val="CodeBlock"/>
      </w:pPr>
      <w:r>
        <w:rPr>
          <w:rFonts w:ascii="Courier New" w:hAnsi="Courier New" w:eastAsia="Courier New" w:cs="Courier New"/>
          <w:color w:val="000000"/>
          <w:sz w:val="20"/>
        </w:rPr>
        <w:t xml:space="preserve">        int minL = cands.Min(x =&gt; x.LeadTimeDays), maxL = cands.Max(x =&gt; x.LeadTimeDays);</w:t>
      </w:r>
    </w:p>
    <w:p>
      <w:pPr>
        <w:pStyle w:val="CodeBlock"/>
      </w:pPr>
      <w:r>
        <w:rPr>
          <w:rFonts w:ascii="Courier New" w:hAnsi="Courier New" w:eastAsia="Courier New" w:cs="Courier New"/>
          <w:color w:val="000000"/>
          <w:sz w:val="20"/>
        </w:rPr>
        <w:t xml:space="preserve">        double pSpan = (double)(maxP - minP), lSpan = maxL - minL;</w:t>
      </w:r>
    </w:p>
    <w:p>
      <w:pPr>
        <w:pStyle w:val="CodeBlock"/>
      </w:pPr>
      <w:r>
        <w:rPr>
          <w:rFonts w:ascii="Courier New" w:hAnsi="Courier New" w:eastAsia="Courier New" w:cs="Courier New"/>
          <w:color w:val="000000"/>
          <w:sz w:val="20"/>
        </w:rPr>
        <w:t xml:space="preserve">        double nP = pSpan &gt; 0 ? (double)(c.EffectivePrice - minP) / pSpan : 0;</w:t>
      </w:r>
    </w:p>
    <w:p>
      <w:pPr>
        <w:pStyle w:val="CodeBlock"/>
      </w:pPr>
      <w:r>
        <w:rPr>
          <w:rFonts w:ascii="Courier New" w:hAnsi="Courier New" w:eastAsia="Courier New" w:cs="Courier New"/>
          <w:color w:val="000000"/>
          <w:sz w:val="20"/>
        </w:rPr>
        <w:t xml:space="preserve">        double nL = lSpan &gt; 0 ? (c.LeadTimeDays - minL) / lSpan : 0;</w:t>
      </w:r>
    </w:p>
    <w:p>
      <w:pPr>
        <w:pStyle w:val="CodeBlock"/>
      </w:pPr>
      <w:r>
        <w:rPr>
          <w:rFonts w:ascii="Courier New" w:hAnsi="Courier New" w:eastAsia="Courier New" w:cs="Courier New"/>
          <w:color w:val="000000"/>
          <w:sz w:val="20"/>
        </w:rPr>
        <w:t xml:space="preserve">        return wPrice * nP + wLead * nL;</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 &lt;summary&gt;Текстовая причина выбора поставщика по стратегии (ТЗ п.5.5: «почему выбран именно этот»).&lt;/summary&gt;</w:t>
      </w:r>
    </w:p>
    <w:p>
      <w:pPr>
        <w:pStyle w:val="CodeBlock"/>
      </w:pPr>
      <w:r>
        <w:rPr>
          <w:rFonts w:ascii="Courier New" w:hAnsi="Courier New" w:eastAsia="Courier New" w:cs="Courier New"/>
          <w:color w:val="000000"/>
          <w:sz w:val="20"/>
        </w:rPr>
        <w:t xml:space="preserve">    private static string ReasonFor(Candidate chosen, IReadOnlyList&lt;Candidate&gt; cands,</w:t>
      </w:r>
    </w:p>
    <w:p>
      <w:pPr>
        <w:pStyle w:val="CodeBlock"/>
      </w:pPr>
      <w:r>
        <w:rPr>
          <w:rFonts w:ascii="Courier New" w:hAnsi="Courier New" w:eastAsia="Courier New" w:cs="Courier New"/>
          <w:color w:val="000000"/>
          <w:sz w:val="20"/>
        </w:rPr>
        <w:t xml:space="preserve">        QuoteStrategy strategy, double wPrice, double wLead) =&gt; strategy switch</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QuoteStrategy.MinCost =&gt; chosen.DiscountPercent &gt; 0</w:t>
      </w:r>
    </w:p>
    <w:p>
      <w:pPr>
        <w:pStyle w:val="CodeBlock"/>
      </w:pPr>
      <w:r>
        <w:rPr>
          <w:rFonts w:ascii="Courier New" w:hAnsi="Courier New" w:eastAsia="Courier New" w:cs="Courier New"/>
          <w:color w:val="000000"/>
          <w:sz w:val="20"/>
        </w:rPr>
        <w:t xml:space="preserve">            ? $"Минимальная цена со скидкой: {chosen.EffectivePrice:0.##} ₽ (скидка {chosen.DiscountPercent:0.##}%)"</w:t>
      </w:r>
    </w:p>
    <w:p>
      <w:pPr>
        <w:pStyle w:val="CodeBlock"/>
      </w:pPr>
      <w:r>
        <w:rPr>
          <w:rFonts w:ascii="Courier New" w:hAnsi="Courier New" w:eastAsia="Courier New" w:cs="Courier New"/>
          <w:color w:val="000000"/>
          <w:sz w:val="20"/>
        </w:rPr>
        <w:t xml:space="preserve">            : $"Минимальная цена: {chosen.EffectivePrice:0.##} ₽",</w:t>
      </w:r>
    </w:p>
    <w:p>
      <w:pPr>
        <w:pStyle w:val="CodeBlock"/>
      </w:pPr>
      <w:r>
        <w:rPr>
          <w:rFonts w:ascii="Courier New" w:hAnsi="Courier New" w:eastAsia="Courier New" w:cs="Courier New"/>
          <w:color w:val="000000"/>
          <w:sz w:val="20"/>
        </w:rPr>
        <w:t xml:space="preserve">        QuoteStrategy.MinLeadTime =&gt; $"Минимальный срок поставки: {chosen.LeadTimeDays} дн",</w:t>
      </w:r>
    </w:p>
    <w:p>
      <w:pPr>
        <w:pStyle w:val="CodeBlock"/>
      </w:pPr>
      <w:r>
        <w:rPr>
          <w:rFonts w:ascii="Courier New" w:hAnsi="Courier New" w:eastAsia="Courier New" w:cs="Courier New"/>
          <w:color w:val="000000"/>
          <w:sz w:val="20"/>
        </w:rPr>
        <w:t xml:space="preserve">        QuoteStrategy.Balanced =&gt; $"Баланс цена/срок: score {BalancedScore(chosen, cands, wPrice, wLead):F2}",</w:t>
      </w:r>
    </w:p>
    <w:p>
      <w:pPr>
        <w:pStyle w:val="CodeBlock"/>
      </w:pPr>
      <w:r>
        <w:rPr>
          <w:rFonts w:ascii="Courier New" w:hAnsi="Courier New" w:eastAsia="Courier New" w:cs="Courier New"/>
          <w:color w:val="000000"/>
          <w:sz w:val="20"/>
        </w:rPr>
        <w:t xml:space="preserve">        QuoteStrategy.MlRelevance =&gt; "ML-актуальность",</w:t>
      </w:r>
    </w:p>
    <w:p>
      <w:pPr>
        <w:pStyle w:val="CodeBlock"/>
      </w:pPr>
      <w:r>
        <w:rPr>
          <w:rFonts w:ascii="Courier New" w:hAnsi="Courier New" w:eastAsia="Courier New" w:cs="Courier New"/>
          <w:color w:val="000000"/>
          <w:sz w:val="20"/>
        </w:rPr>
        <w:t xml:space="preserve">        _ =&gt; "Выбран поставщик"</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w:t>
      </w:r>
    </w:p>
    <w:p>
      <w:pPr>
        <w:pStyle w:val="Heading1"/>
        <w:jc w:val="center"/>
      </w:pPr>
      <w:r>
        <w:rPr>
          <w:rFonts w:ascii="Times New Roman" w:hAnsi="Times New Roman" w:eastAsia="Times New Roman" w:cs="Times New Roman"/>
          <w:b/>
          <w:color w:val="000000"/>
          <w:sz w:val="28"/>
        </w:rPr>
        <w:t>ПРИЛОЖЕНИЕ Б. АУДИТ И ДОСТАВКА СОБЫТИЙ В ИНДЕКС</w:t>
      </w:r>
    </w:p>
    <w:p>
      <w:r>
        <w:rPr>
          <w:rFonts w:ascii="Times New Roman" w:hAnsi="Times New Roman" w:eastAsia="Times New Roman" w:cs="Times New Roman"/>
          <w:b w:val="0"/>
          <w:color w:val="000000"/>
          <w:sz w:val="28"/>
        </w:rPr>
        <w:t xml:space="preserve">Перехватчик пишет значения «было → стало» в той же транзакции, что и </w:t>
      </w:r>
      <w:r>
        <w:rPr>
          <w:rFonts w:ascii="Courier New" w:hAnsi="Courier New" w:eastAsia="Courier New" w:cs="Courier New"/>
          <w:b w:val="0"/>
          <w:color w:val="000000"/>
          <w:sz w:val="26"/>
        </w:rPr>
        <w:t>SaveChanges</w:t>
      </w:r>
      <w:r>
        <w:rPr>
          <w:rFonts w:ascii="Times New Roman" w:hAnsi="Times New Roman" w:eastAsia="Times New Roman" w:cs="Times New Roman"/>
          <w:b w:val="0"/>
          <w:color w:val="000000"/>
          <w:sz w:val="28"/>
        </w:rPr>
        <w:t>. Консьюмер JetStream переиндексирует товар в Meilisearch и подтверждает сообщение только после успешного upsert; ошибка возвращает запись в очередь.</w:t>
      </w:r>
    </w:p>
    <w:p>
      <w:pPr>
        <w:pStyle w:val="GOSTCaption"/>
        <w:keepNext/>
        <w:jc w:val="left"/>
      </w:pPr>
      <w:r>
        <w:rPr>
          <w:rFonts w:ascii="Times New Roman" w:hAnsi="Times New Roman" w:eastAsia="Times New Roman" w:cs="Times New Roman"/>
          <w:b w:val="0"/>
          <w:color w:val="000000"/>
          <w:sz w:val="28"/>
        </w:rPr>
        <w:t>Листинг 10 – Перехватчик аудита EF Core (</w:t>
      </w:r>
      <w:r>
        <w:rPr>
          <w:rFonts w:ascii="Courier New" w:hAnsi="Courier New" w:eastAsia="Courier New" w:cs="Courier New"/>
          <w:b w:val="0"/>
          <w:color w:val="000000"/>
          <w:sz w:val="26"/>
        </w:rPr>
        <w:t>AuditSaveChangesInterceptor.cs</w:t>
      </w:r>
      <w:r>
        <w:rPr>
          <w:rFonts w:ascii="Times New Roman" w:hAnsi="Times New Roman" w:eastAsia="Times New Roman" w:cs="Times New Roman"/>
          <w:b w:val="0"/>
          <w:color w:val="000000"/>
          <w:sz w:val="28"/>
        </w:rPr>
        <w:t>)</w:t>
      </w:r>
    </w:p>
    <w:p>
      <w:pPr>
        <w:pStyle w:val="CodeBlock"/>
      </w:pPr>
      <w:r>
        <w:rPr>
          <w:rFonts w:ascii="Courier New" w:hAnsi="Courier New" w:eastAsia="Courier New" w:cs="Courier New"/>
          <w:color w:val="000000"/>
          <w:sz w:val="20"/>
        </w:rPr>
        <w:t>using System.Globalization;</w:t>
      </w:r>
    </w:p>
    <w:p>
      <w:pPr>
        <w:pStyle w:val="CodeBlock"/>
      </w:pPr>
      <w:r>
        <w:rPr>
          <w:rFonts w:ascii="Courier New" w:hAnsi="Courier New" w:eastAsia="Courier New" w:cs="Courier New"/>
          <w:color w:val="000000"/>
          <w:sz w:val="20"/>
        </w:rPr>
        <w:t>using System.Text.Json;</w:t>
      </w:r>
    </w:p>
    <w:p>
      <w:pPr>
        <w:pStyle w:val="CodeBlock"/>
      </w:pPr>
      <w:r>
        <w:rPr>
          <w:rFonts w:ascii="Courier New" w:hAnsi="Courier New" w:eastAsia="Courier New" w:cs="Courier New"/>
          <w:color w:val="000000"/>
          <w:sz w:val="20"/>
        </w:rPr>
        <w:t>using System.Text.Json.Serialization;</w:t>
      </w:r>
    </w:p>
    <w:p>
      <w:pPr>
        <w:pStyle w:val="CodeBlock"/>
      </w:pPr>
      <w:r>
        <w:rPr>
          <w:rFonts w:ascii="Courier New" w:hAnsi="Courier New" w:eastAsia="Courier New" w:cs="Courier New"/>
          <w:color w:val="000000"/>
          <w:sz w:val="20"/>
        </w:rPr>
        <w:t>using Microsoft.EntityFrameworkCore;</w:t>
      </w:r>
    </w:p>
    <w:p>
      <w:pPr>
        <w:pStyle w:val="CodeBlock"/>
      </w:pPr>
      <w:r>
        <w:rPr>
          <w:rFonts w:ascii="Courier New" w:hAnsi="Courier New" w:eastAsia="Courier New" w:cs="Courier New"/>
          <w:color w:val="000000"/>
          <w:sz w:val="20"/>
        </w:rPr>
        <w:t>using Microsoft.EntityFrameworkCore.Diagnostics;</w:t>
      </w:r>
    </w:p>
    <w:p>
      <w:pPr>
        <w:pStyle w:val="CodeBlock"/>
      </w:pPr>
      <w:r>
        <w:rPr>
          <w:rFonts w:ascii="Courier New" w:hAnsi="Courier New" w:eastAsia="Courier New" w:cs="Courier New"/>
          <w:color w:val="000000"/>
          <w:sz w:val="20"/>
        </w:rPr>
        <w:t>using ProcurementSystem.Domain.Audit;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namespace ProcurementSystem.Infrastructure.Audit;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public sealed class AuditRequestContext</w:t>
      </w:r>
    </w:p>
    <w:p>
      <w:pPr>
        <w:pStyle w:val="CodeBlock"/>
      </w:pPr>
      <w:r>
        <w:rPr>
          <w:rFonts w:ascii="Courier New" w:hAnsi="Courier New" w:eastAsia="Courier New" w:cs="Courier New"/>
          <w:color w:val="000000"/>
          <w:sz w:val="20"/>
        </w:rPr>
        <w:t>{</w:t>
      </w:r>
    </w:p>
    <w:p>
      <w:pPr>
        <w:pStyle w:val="CodeBlock"/>
      </w:pPr>
      <w:r>
        <w:rPr>
          <w:rFonts w:ascii="Courier New" w:hAnsi="Courier New" w:eastAsia="Courier New" w:cs="Courier New"/>
          <w:color w:val="000000"/>
          <w:sz w:val="20"/>
        </w:rPr>
        <w:t xml:space="preserve">    public string? UserName { get; set; }</w:t>
      </w:r>
    </w:p>
    <w:p>
      <w:pPr>
        <w:pStyle w:val="CodeBlock"/>
      </w:pPr>
      <w:r>
        <w:rPr>
          <w:rFonts w:ascii="Courier New" w:hAnsi="Courier New" w:eastAsia="Courier New" w:cs="Courier New"/>
          <w:color w:val="000000"/>
          <w:sz w:val="20"/>
        </w:rPr>
        <w:t xml:space="preserve">    public string Action { get; set; } = "SAVE";</w:t>
      </w:r>
    </w:p>
    <w:p>
      <w:pPr>
        <w:pStyle w:val="CodeBlock"/>
      </w:pPr>
      <w:r>
        <w:rPr>
          <w:rFonts w:ascii="Courier New" w:hAnsi="Courier New" w:eastAsia="Courier New" w:cs="Courier New"/>
          <w:color w:val="000000"/>
          <w:sz w:val="20"/>
        </w:rPr>
        <w:t xml:space="preserve">    public string Path { get; set; } = "EF SaveChanges";</w:t>
      </w:r>
    </w:p>
    <w:p>
      <w:pPr>
        <w:pStyle w:val="CodeBlock"/>
      </w:pPr>
      <w:r>
        <w:rPr>
          <w:rFonts w:ascii="Courier New" w:hAnsi="Courier New" w:eastAsia="Courier New" w:cs="Courier New"/>
          <w:color w:val="000000"/>
          <w:sz w:val="20"/>
        </w:rPr>
        <w:t xml:space="preserve">    public DateTime OccurredAtUtc { get; set; } = DateTime.UtcNow;</w:t>
      </w:r>
    </w:p>
    <w:p>
      <w:pPr>
        <w:pStyle w:val="CodeBlock"/>
      </w:pPr>
      <w:r>
        <w:rPr>
          <w:rFonts w:ascii="Courier New" w:hAnsi="Courier New" w:eastAsia="Courier New" w:cs="Courier New"/>
          <w:color w:val="000000"/>
          <w:sz w:val="20"/>
        </w:rPr>
        <w: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&lt;summary&gt;Фиксирует значения полей выбранных сущностей до сохранения.&lt;/summary&gt;</w:t>
      </w:r>
    </w:p>
    <w:p>
      <w:pPr>
        <w:pStyle w:val="CodeBlock"/>
      </w:pPr>
      <w:r>
        <w:rPr>
          <w:rFonts w:ascii="Courier New" w:hAnsi="Courier New" w:eastAsia="Courier New" w:cs="Courier New"/>
          <w:color w:val="000000"/>
          <w:sz w:val="20"/>
        </w:rPr>
        <w:t>public sealed class AuditSaveChangesInterceptor(AuditRequestContext request) : SaveChangesInterceptor</w:t>
      </w:r>
    </w:p>
    <w:p>
      <w:pPr>
        <w:pStyle w:val="CodeBlock"/>
      </w:pPr>
      <w:r>
        <w:rPr>
          <w:rFonts w:ascii="Courier New" w:hAnsi="Courier New" w:eastAsia="Courier New" w:cs="Courier New"/>
          <w:color w:val="000000"/>
          <w:sz w:val="20"/>
        </w:rPr>
        <w:t>{</w:t>
      </w:r>
    </w:p>
    <w:p>
      <w:pPr>
        <w:pStyle w:val="CodeBlock"/>
      </w:pPr>
      <w:r>
        <w:rPr>
          <w:rFonts w:ascii="Courier New" w:hAnsi="Courier New" w:eastAsia="Courier New" w:cs="Courier New"/>
          <w:color w:val="000000"/>
          <w:sz w:val="20"/>
        </w:rPr>
        <w:t xml:space="preserve">    private static readonly HashSet&lt;string&gt; AuditedEntities =</w:t>
      </w:r>
    </w:p>
    <w:p>
      <w:pPr>
        <w:pStyle w:val="CodeBlock"/>
      </w:pPr>
      <w:r>
        <w:rPr>
          <w:rFonts w:ascii="Courier New" w:hAnsi="Courier New" w:eastAsia="Courier New" w:cs="Courier New"/>
          <w:color w:val="000000"/>
          <w:sz w:val="20"/>
        </w:rPr>
        <w:t xml:space="preserve">        new(StringComparer.Ordinal)</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"Discount",</w:t>
      </w:r>
    </w:p>
    <w:p>
      <w:pPr>
        <w:pStyle w:val="CodeBlock"/>
      </w:pPr>
      <w:r>
        <w:rPr>
          <w:rFonts w:ascii="Courier New" w:hAnsi="Courier New" w:eastAsia="Courier New" w:cs="Courier New"/>
          <w:color w:val="000000"/>
          <w:sz w:val="20"/>
        </w:rPr>
        <w:t xml:space="preserve">            "Order",</w:t>
      </w:r>
    </w:p>
    <w:p>
      <w:pPr>
        <w:pStyle w:val="CodeBlock"/>
      </w:pPr>
      <w:r>
        <w:rPr>
          <w:rFonts w:ascii="Courier New" w:hAnsi="Courier New" w:eastAsia="Courier New" w:cs="Courier New"/>
          <w:color w:val="000000"/>
          <w:sz w:val="20"/>
        </w:rPr>
        <w:t xml:space="preserve">            "Invoice",</w:t>
      </w:r>
    </w:p>
    <w:p>
      <w:pPr>
        <w:pStyle w:val="CodeBlock"/>
      </w:pPr>
      <w:r>
        <w:rPr>
          <w:rFonts w:ascii="Courier New" w:hAnsi="Courier New" w:eastAsia="Courier New" w:cs="Courier New"/>
          <w:color w:val="000000"/>
          <w:sz w:val="20"/>
        </w:rPr>
        <w:t xml:space="preserve">            "Approval",</w:t>
      </w:r>
    </w:p>
    <w:p>
      <w:pPr>
        <w:pStyle w:val="CodeBlock"/>
      </w:pPr>
      <w:r>
        <w:rPr>
          <w:rFonts w:ascii="Courier New" w:hAnsi="Courier New" w:eastAsia="Courier New" w:cs="Courier New"/>
          <w:color w:val="000000"/>
          <w:sz w:val="20"/>
        </w:rPr>
        <w:t xml:space="preserve">            "GoodsReceipt",</w:t>
      </w:r>
    </w:p>
    <w:p>
      <w:pPr>
        <w:pStyle w:val="CodeBlock"/>
      </w:pPr>
      <w:r>
        <w:rPr>
          <w:rFonts w:ascii="Courier New" w:hAnsi="Courier New" w:eastAsia="Courier New" w:cs="Courier New"/>
          <w:color w:val="000000"/>
          <w:sz w:val="20"/>
        </w:rPr>
        <w:t xml:space="preserve">            "PriceListItem"</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private static readonly JsonSerializerOptions JsonOptions = new()</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PropertyNamingPolicy = JsonNamingPolicy.CamelCase,</w:t>
      </w:r>
    </w:p>
    <w:p>
      <w:pPr>
        <w:pStyle w:val="CodeBlock"/>
      </w:pPr>
      <w:r>
        <w:rPr>
          <w:rFonts w:ascii="Courier New" w:hAnsi="Courier New" w:eastAsia="Courier New" w:cs="Courier New"/>
          <w:color w:val="000000"/>
          <w:sz w:val="20"/>
        </w:rPr>
        <w:t xml:space="preserve">        DefaultIgnoreCondition = JsonIgnoreCondition.WhenWritingNull</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public override InterceptionResult&lt;int&gt; SavingChanges(</w:t>
      </w:r>
    </w:p>
    <w:p>
      <w:pPr>
        <w:pStyle w:val="CodeBlock"/>
      </w:pPr>
      <w:r>
        <w:rPr>
          <w:rFonts w:ascii="Courier New" w:hAnsi="Courier New" w:eastAsia="Courier New" w:cs="Courier New"/>
          <w:color w:val="000000"/>
          <w:sz w:val="20"/>
        </w:rPr>
        <w:t xml:space="preserve">        DbContextEventData eventData,</w:t>
      </w:r>
    </w:p>
    <w:p>
      <w:pPr>
        <w:pStyle w:val="CodeBlock"/>
      </w:pPr>
      <w:r>
        <w:rPr>
          <w:rFonts w:ascii="Courier New" w:hAnsi="Courier New" w:eastAsia="Courier New" w:cs="Courier New"/>
          <w:color w:val="000000"/>
          <w:sz w:val="20"/>
        </w:rPr>
        <w:t xml:space="preserve">        InterceptionResult&lt;int&gt; result)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AppendAuditEntry(eventData.Context);</w:t>
      </w:r>
    </w:p>
    <w:p>
      <w:pPr>
        <w:pStyle w:val="CodeBlock"/>
      </w:pPr>
      <w:r>
        <w:rPr>
          <w:rFonts w:ascii="Courier New" w:hAnsi="Courier New" w:eastAsia="Courier New" w:cs="Courier New"/>
          <w:color w:val="000000"/>
          <w:sz w:val="20"/>
        </w:rPr>
        <w:t xml:space="preserve">        return result;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public override ValueTask&lt;InterceptionResult&lt;int&gt;&gt; SavingChangesAsync(</w:t>
      </w:r>
    </w:p>
    <w:p>
      <w:pPr>
        <w:pStyle w:val="CodeBlock"/>
      </w:pPr>
      <w:r>
        <w:rPr>
          <w:rFonts w:ascii="Courier New" w:hAnsi="Courier New" w:eastAsia="Courier New" w:cs="Courier New"/>
          <w:color w:val="000000"/>
          <w:sz w:val="20"/>
        </w:rPr>
        <w:t xml:space="preserve">        DbContextEventData eventData,</w:t>
      </w:r>
    </w:p>
    <w:p>
      <w:pPr>
        <w:pStyle w:val="CodeBlock"/>
      </w:pPr>
      <w:r>
        <w:rPr>
          <w:rFonts w:ascii="Courier New" w:hAnsi="Courier New" w:eastAsia="Courier New" w:cs="Courier New"/>
          <w:color w:val="000000"/>
          <w:sz w:val="20"/>
        </w:rPr>
        <w:t xml:space="preserve">        InterceptionResult&lt;int&gt; result,</w:t>
      </w:r>
    </w:p>
    <w:p>
      <w:pPr>
        <w:pStyle w:val="CodeBlock"/>
      </w:pPr>
      <w:r>
        <w:rPr>
          <w:rFonts w:ascii="Courier New" w:hAnsi="Courier New" w:eastAsia="Courier New" w:cs="Courier New"/>
          <w:color w:val="000000"/>
          <w:sz w:val="20"/>
        </w:rPr>
        <w:t xml:space="preserve">        CancellationToken cancellationToken = default)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AppendAuditEntry(eventData.Context);</w:t>
      </w:r>
    </w:p>
    <w:p>
      <w:pPr>
        <w:pStyle w:val="CodeBlock"/>
      </w:pPr>
      <w:r>
        <w:rPr>
          <w:rFonts w:ascii="Courier New" w:hAnsi="Courier New" w:eastAsia="Courier New" w:cs="Courier New"/>
          <w:color w:val="000000"/>
          <w:sz w:val="20"/>
        </w:rPr>
        <w:t xml:space="preserve">        return ValueTask.FromResult(result);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private void AppendAuditEntry(DbContext? db)</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if (db is null)</w:t>
      </w:r>
    </w:p>
    <w:p>
      <w:pPr>
        <w:pStyle w:val="CodeBlock"/>
      </w:pPr>
      <w:r>
        <w:rPr>
          <w:rFonts w:ascii="Courier New" w:hAnsi="Courier New" w:eastAsia="Courier New" w:cs="Courier New"/>
          <w:color w:val="000000"/>
          <w:sz w:val="20"/>
        </w:rPr>
        <w:t xml:space="preserve">            return;</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db.ChangeTracker.DetectChanges();</w:t>
      </w:r>
    </w:p>
    <w:p>
      <w:pPr>
        <w:pStyle w:val="CodeBlock"/>
      </w:pPr>
      <w:r>
        <w:rPr>
          <w:rFonts w:ascii="Courier New" w:hAnsi="Courier New" w:eastAsia="Courier New" w:cs="Courier New"/>
          <w:color w:val="000000"/>
          <w:sz w:val="20"/>
        </w:rPr>
        <w:t xml:space="preserve">        var changes = db.ChangeTracker.Entries()</w:t>
      </w:r>
    </w:p>
    <w:p>
      <w:pPr>
        <w:pStyle w:val="CodeBlock"/>
      </w:pPr>
      <w:r>
        <w:rPr>
          <w:rFonts w:ascii="Courier New" w:hAnsi="Courier New" w:eastAsia="Courier New" w:cs="Courier New"/>
          <w:color w:val="000000"/>
          <w:sz w:val="20"/>
        </w:rPr>
        <w:t xml:space="preserve">            .Where(e =&gt; AuditedEntities.Contains(e.Metadata.ClrType.Name)</w:t>
      </w:r>
    </w:p>
    <w:p>
      <w:pPr>
        <w:pStyle w:val="CodeBlock"/>
      </w:pPr>
      <w:r>
        <w:rPr>
          <w:rFonts w:ascii="Courier New" w:hAnsi="Courier New" w:eastAsia="Courier New" w:cs="Courier New"/>
          <w:color w:val="000000"/>
          <w:sz w:val="20"/>
        </w:rPr>
        <w:t xml:space="preserve">                        &amp;&amp; e.State is EntityState.Added or EntityState.Modified or EntityState.Deleted</w:t>
      </w:r>
    </w:p>
    <w:p>
      <w:pPr>
        <w:pStyle w:val="CodeBlock"/>
      </w:pPr>
      <w:r>
        <w:rPr>
          <w:rFonts w:ascii="Courier New" w:hAnsi="Courier New" w:eastAsia="Courier New" w:cs="Courier New"/>
          <w:color w:val="000000"/>
          <w:sz w:val="20"/>
        </w:rPr>
        <w:t xml:space="preserve">                        // Новые офферы массового импорта прайса — шум (их цену фиксирует история цен);</w:t>
      </w:r>
    </w:p>
    <w:p>
      <w:pPr>
        <w:pStyle w:val="CodeBlock"/>
      </w:pPr>
      <w:r>
        <w:rPr>
          <w:rFonts w:ascii="Courier New" w:hAnsi="Courier New" w:eastAsia="Courier New" w:cs="Courier New"/>
          <w:color w:val="000000"/>
          <w:sz w:val="20"/>
        </w:rPr>
        <w:t xml:space="preserve">                        // в журнал идут только изменения существующих офферов.</w:t>
      </w:r>
    </w:p>
    <w:p>
      <w:pPr>
        <w:pStyle w:val="CodeBlock"/>
      </w:pPr>
      <w:r>
        <w:rPr>
          <w:rFonts w:ascii="Courier New" w:hAnsi="Courier New" w:eastAsia="Courier New" w:cs="Courier New"/>
          <w:color w:val="000000"/>
          <w:sz w:val="20"/>
        </w:rPr>
        <w:t xml:space="preserve">                        &amp;&amp; !(e.State == EntityState.Added &amp;&amp; e.Metadata.ClrType.Name == "PriceListItem"))</w:t>
      </w:r>
    </w:p>
    <w:p>
      <w:pPr>
        <w:pStyle w:val="CodeBlock"/>
      </w:pPr>
      <w:r>
        <w:rPr>
          <w:rFonts w:ascii="Courier New" w:hAnsi="Courier New" w:eastAsia="Courier New" w:cs="Courier New"/>
          <w:color w:val="000000"/>
          <w:sz w:val="20"/>
        </w:rPr>
        <w:t xml:space="preserve">            .SelectMany(e =&gt; ChangedProperties(e).Select(p =&gt; new AuditChange(</w:t>
      </w:r>
    </w:p>
    <w:p>
      <w:pPr>
        <w:pStyle w:val="CodeBlock"/>
      </w:pPr>
      <w:r>
        <w:rPr>
          <w:rFonts w:ascii="Courier New" w:hAnsi="Courier New" w:eastAsia="Courier New" w:cs="Courier New"/>
          <w:color w:val="000000"/>
          <w:sz w:val="20"/>
        </w:rPr>
        <w:t xml:space="preserve">                e.Metadata.ClrType.Name,</w:t>
      </w:r>
    </w:p>
    <w:p>
      <w:pPr>
        <w:pStyle w:val="CodeBlock"/>
      </w:pPr>
      <w:r>
        <w:rPr>
          <w:rFonts w:ascii="Courier New" w:hAnsi="Courier New" w:eastAsia="Courier New" w:cs="Courier New"/>
          <w:color w:val="000000"/>
          <w:sz w:val="20"/>
        </w:rPr>
        <w:t xml:space="preserve">                EntityId(e),</w:t>
      </w:r>
    </w:p>
    <w:p>
      <w:pPr>
        <w:pStyle w:val="CodeBlock"/>
      </w:pPr>
      <w:r>
        <w:rPr>
          <w:rFonts w:ascii="Courier New" w:hAnsi="Courier New" w:eastAsia="Courier New" w:cs="Courier New"/>
          <w:color w:val="000000"/>
          <w:sz w:val="20"/>
        </w:rPr>
        <w:t xml:space="preserve">                p.Metadata.Name,</w:t>
      </w:r>
    </w:p>
    <w:p>
      <w:pPr>
        <w:pStyle w:val="CodeBlock"/>
      </w:pPr>
      <w:r>
        <w:rPr>
          <w:rFonts w:ascii="Courier New" w:hAnsi="Courier New" w:eastAsia="Courier New" w:cs="Courier New"/>
          <w:color w:val="000000"/>
          <w:sz w:val="20"/>
        </w:rPr>
        <w:t xml:space="preserve">                e.State == EntityState.Added ? null : FormatValue(p.OriginalValue),</w:t>
      </w:r>
    </w:p>
    <w:p>
      <w:pPr>
        <w:pStyle w:val="CodeBlock"/>
      </w:pPr>
      <w:r>
        <w:rPr>
          <w:rFonts w:ascii="Courier New" w:hAnsi="Courier New" w:eastAsia="Courier New" w:cs="Courier New"/>
          <w:color w:val="000000"/>
          <w:sz w:val="20"/>
        </w:rPr>
        <w:t xml:space="preserve">                e.State == EntityState.Deleted ? null : FormatValue(p.CurrentValue))))</w:t>
      </w:r>
    </w:p>
    <w:p>
      <w:pPr>
        <w:pStyle w:val="CodeBlock"/>
      </w:pPr>
      <w:r>
        <w:rPr>
          <w:rFonts w:ascii="Courier New" w:hAnsi="Courier New" w:eastAsia="Courier New" w:cs="Courier New"/>
          <w:color w:val="000000"/>
          <w:sz w:val="20"/>
        </w:rPr>
        <w:t xml:space="preserve">            .ToList();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if (changes.Count == 0)</w:t>
      </w:r>
    </w:p>
    <w:p>
      <w:pPr>
        <w:pStyle w:val="CodeBlock"/>
      </w:pPr>
      <w:r>
        <w:rPr>
          <w:rFonts w:ascii="Courier New" w:hAnsi="Courier New" w:eastAsia="Courier New" w:cs="Courier New"/>
          <w:color w:val="000000"/>
          <w:sz w:val="20"/>
        </w:rPr>
        <w:t xml:space="preserve">            return;</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db.Set&lt;AuditEntry&gt;().Add(new AuditEntry</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UserName = request.UserName,</w:t>
      </w:r>
    </w:p>
    <w:p>
      <w:pPr>
        <w:pStyle w:val="CodeBlock"/>
      </w:pPr>
      <w:r>
        <w:rPr>
          <w:rFonts w:ascii="Courier New" w:hAnsi="Courier New" w:eastAsia="Courier New" w:cs="Courier New"/>
          <w:color w:val="000000"/>
          <w:sz w:val="20"/>
        </w:rPr>
        <w:t xml:space="preserve">            Action = request.Action,</w:t>
      </w:r>
    </w:p>
    <w:p>
      <w:pPr>
        <w:pStyle w:val="CodeBlock"/>
      </w:pPr>
      <w:r>
        <w:rPr>
          <w:rFonts w:ascii="Courier New" w:hAnsi="Courier New" w:eastAsia="Courier New" w:cs="Courier New"/>
          <w:color w:val="000000"/>
          <w:sz w:val="20"/>
        </w:rPr>
        <w:t xml:space="preserve">            Path = request.Path,</w:t>
      </w:r>
    </w:p>
    <w:p>
      <w:pPr>
        <w:pStyle w:val="CodeBlock"/>
      </w:pPr>
      <w:r>
        <w:rPr>
          <w:rFonts w:ascii="Courier New" w:hAnsi="Courier New" w:eastAsia="Courier New" w:cs="Courier New"/>
          <w:color w:val="000000"/>
          <w:sz w:val="20"/>
        </w:rPr>
        <w:t xml:space="preserve">            StatusCode = 200,</w:t>
      </w:r>
    </w:p>
    <w:p>
      <w:pPr>
        <w:pStyle w:val="CodeBlock"/>
      </w:pPr>
      <w:r>
        <w:rPr>
          <w:rFonts w:ascii="Courier New" w:hAnsi="Courier New" w:eastAsia="Courier New" w:cs="Courier New"/>
          <w:color w:val="000000"/>
          <w:sz w:val="20"/>
        </w:rPr>
        <w:t xml:space="preserve">            OccurredAtUtc = request.OccurredAtUtc,</w:t>
      </w:r>
    </w:p>
    <w:p>
      <w:pPr>
        <w:pStyle w:val="CodeBlock"/>
      </w:pPr>
      <w:r>
        <w:rPr>
          <w:rFonts w:ascii="Courier New" w:hAnsi="Courier New" w:eastAsia="Courier New" w:cs="Courier New"/>
          <w:color w:val="000000"/>
          <w:sz w:val="20"/>
        </w:rPr>
        <w:t xml:space="preserve">            ChangesJson = JsonSerializer.Serialize(changes, JsonOptions)</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private static IEnumerable&lt;Microsoft.EntityFrameworkCore.ChangeTracking.PropertyEntry&gt; ChangedProperties(</w:t>
      </w:r>
    </w:p>
    <w:p>
      <w:pPr>
        <w:pStyle w:val="CodeBlock"/>
      </w:pPr>
      <w:r>
        <w:rPr>
          <w:rFonts w:ascii="Courier New" w:hAnsi="Courier New" w:eastAsia="Courier New" w:cs="Courier New"/>
          <w:color w:val="000000"/>
          <w:sz w:val="20"/>
        </w:rPr>
        <w:t xml:space="preserve">        Microsoft.EntityFrameworkCore.ChangeTracking.EntityEntry entry)</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foreach (var property in entry.Properties)</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if (property.Metadata.ClrType == typeof(byte[]))</w:t>
      </w:r>
    </w:p>
    <w:p>
      <w:pPr>
        <w:pStyle w:val="CodeBlock"/>
      </w:pPr>
      <w:r>
        <w:rPr>
          <w:rFonts w:ascii="Courier New" w:hAnsi="Courier New" w:eastAsia="Courier New" w:cs="Courier New"/>
          <w:color w:val="000000"/>
          <w:sz w:val="20"/>
        </w:rPr>
        <w:t xml:space="preserve">                continue;</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if (entry.State == EntityState.Modified)</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if (!property.IsModified || ValuesEqual(property.OriginalValue, property.CurrentValue))</w:t>
      </w:r>
    </w:p>
    <w:p>
      <w:pPr>
        <w:pStyle w:val="CodeBlock"/>
      </w:pPr>
      <w:r>
        <w:rPr>
          <w:rFonts w:ascii="Courier New" w:hAnsi="Courier New" w:eastAsia="Courier New" w:cs="Courier New"/>
          <w:color w:val="000000"/>
          <w:sz w:val="20"/>
        </w:rPr>
        <w:t xml:space="preserve">                    continue;</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else if (entry.State == EntityState.Added &amp;&amp; property.CurrentValue is null)</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continue;</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else if (entry.State == EntityState.Deleted &amp;&amp; property.OriginalValue is null)</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continue;</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yield return property;</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private static bool ValuesEqual(object? oldValue, object? newValue) =&gt;</w:t>
      </w:r>
    </w:p>
    <w:p>
      <w:pPr>
        <w:pStyle w:val="CodeBlock"/>
      </w:pPr>
      <w:r>
        <w:rPr>
          <w:rFonts w:ascii="Courier New" w:hAnsi="Courier New" w:eastAsia="Courier New" w:cs="Courier New"/>
          <w:color w:val="000000"/>
          <w:sz w:val="20"/>
        </w:rPr>
        <w:t xml:space="preserve">        oldValue switch</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byte[] oldBytes when newValue is byte[] newBytes =&gt; oldBytes.SequenceEqual(newBytes),</w:t>
      </w:r>
    </w:p>
    <w:p>
      <w:pPr>
        <w:pStyle w:val="CodeBlock"/>
      </w:pPr>
      <w:r>
        <w:rPr>
          <w:rFonts w:ascii="Courier New" w:hAnsi="Courier New" w:eastAsia="Courier New" w:cs="Courier New"/>
          <w:color w:val="000000"/>
          <w:sz w:val="20"/>
        </w:rPr>
        <w:t xml:space="preserve">            _ =&gt; Equals(oldValue, newValue)</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private static string EntityId(Microsoft.EntityFrameworkCore.ChangeTracking.EntityEntry entry)</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key = entry.Metadata.FindPrimaryKey();</w:t>
      </w:r>
    </w:p>
    <w:p>
      <w:pPr>
        <w:pStyle w:val="CodeBlock"/>
      </w:pPr>
      <w:r>
        <w:rPr>
          <w:rFonts w:ascii="Courier New" w:hAnsi="Courier New" w:eastAsia="Courier New" w:cs="Courier New"/>
          <w:color w:val="000000"/>
          <w:sz w:val="20"/>
        </w:rPr>
        <w:t xml:space="preserve">        if (key is null)</w:t>
      </w:r>
    </w:p>
    <w:p>
      <w:pPr>
        <w:pStyle w:val="CodeBlock"/>
      </w:pPr>
      <w:r>
        <w:rPr>
          <w:rFonts w:ascii="Courier New" w:hAnsi="Courier New" w:eastAsia="Courier New" w:cs="Courier New"/>
          <w:color w:val="000000"/>
          <w:sz w:val="20"/>
        </w:rPr>
        <w:t xml:space="preserve">            return string.Empty;</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return string.Join(",", key.Properties.Select(p =&gt;</w:t>
      </w:r>
    </w:p>
    <w:p>
      <w:pPr>
        <w:pStyle w:val="CodeBlock"/>
      </w:pPr>
      <w:r>
        <w:rPr>
          <w:rFonts w:ascii="Courier New" w:hAnsi="Courier New" w:eastAsia="Courier New" w:cs="Courier New"/>
          <w:color w:val="000000"/>
          <w:sz w:val="20"/>
        </w:rPr>
        <w:t xml:space="preserve">            FormatValue(entry.State == EntityState.Deleted</w:t>
      </w:r>
    </w:p>
    <w:p>
      <w:pPr>
        <w:pStyle w:val="CodeBlock"/>
      </w:pPr>
      <w:r>
        <w:rPr>
          <w:rFonts w:ascii="Courier New" w:hAnsi="Courier New" w:eastAsia="Courier New" w:cs="Courier New"/>
          <w:color w:val="000000"/>
          <w:sz w:val="20"/>
        </w:rPr>
        <w:t xml:space="preserve">                ? entry.Property(p.Name).OriginalValue</w:t>
      </w:r>
    </w:p>
    <w:p>
      <w:pPr>
        <w:pStyle w:val="CodeBlock"/>
      </w:pPr>
      <w:r>
        <w:rPr>
          <w:rFonts w:ascii="Courier New" w:hAnsi="Courier New" w:eastAsia="Courier New" w:cs="Courier New"/>
          <w:color w:val="000000"/>
          <w:sz w:val="20"/>
        </w:rPr>
        <w:t xml:space="preserve">                : entry.Property(p.Name).CurrentValue) ?? string.Empty));</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private static string? FormatValue(object? value) =&gt; value switch</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null =&gt; null,</w:t>
      </w:r>
    </w:p>
    <w:p>
      <w:pPr>
        <w:pStyle w:val="CodeBlock"/>
      </w:pPr>
      <w:r>
        <w:rPr>
          <w:rFonts w:ascii="Courier New" w:hAnsi="Courier New" w:eastAsia="Courier New" w:cs="Courier New"/>
          <w:color w:val="000000"/>
          <w:sz w:val="20"/>
        </w:rPr>
        <w:t xml:space="preserve">        Enum enumValue =&gt; enumValue.ToString(),</w:t>
      </w:r>
    </w:p>
    <w:p>
      <w:pPr>
        <w:pStyle w:val="CodeBlock"/>
      </w:pPr>
      <w:r>
        <w:rPr>
          <w:rFonts w:ascii="Courier New" w:hAnsi="Courier New" w:eastAsia="Courier New" w:cs="Courier New"/>
          <w:color w:val="000000"/>
          <w:sz w:val="20"/>
        </w:rPr>
        <w:t xml:space="preserve">        bool boolValue =&gt; boolValue ? "true" : "false",</w:t>
      </w:r>
    </w:p>
    <w:p>
      <w:pPr>
        <w:pStyle w:val="CodeBlock"/>
      </w:pPr>
      <w:r>
        <w:rPr>
          <w:rFonts w:ascii="Courier New" w:hAnsi="Courier New" w:eastAsia="Courier New" w:cs="Courier New"/>
          <w:color w:val="000000"/>
          <w:sz w:val="20"/>
        </w:rPr>
        <w:t xml:space="preserve">        DateTime dateTime =&gt; dateTime.ToString("O", CultureInfo.InvariantCulture),</w:t>
      </w:r>
    </w:p>
    <w:p>
      <w:pPr>
        <w:pStyle w:val="CodeBlock"/>
      </w:pPr>
      <w:r>
        <w:rPr>
          <w:rFonts w:ascii="Courier New" w:hAnsi="Courier New" w:eastAsia="Courier New" w:cs="Courier New"/>
          <w:color w:val="000000"/>
          <w:sz w:val="20"/>
        </w:rPr>
        <w:t xml:space="preserve">        DateTimeOffset dateTimeOffset =&gt; dateTimeOffset.ToString("O", CultureInfo.InvariantCulture),</w:t>
      </w:r>
    </w:p>
    <w:p>
      <w:pPr>
        <w:pStyle w:val="CodeBlock"/>
      </w:pPr>
      <w:r>
        <w:rPr>
          <w:rFonts w:ascii="Courier New" w:hAnsi="Courier New" w:eastAsia="Courier New" w:cs="Courier New"/>
          <w:color w:val="000000"/>
          <w:sz w:val="20"/>
        </w:rPr>
        <w:t xml:space="preserve">        IFormattable formattable =&gt; formattable.ToString(null, CultureInfo.InvariantCulture),</w:t>
      </w:r>
    </w:p>
    <w:p>
      <w:pPr>
        <w:pStyle w:val="CodeBlock"/>
      </w:pPr>
      <w:r>
        <w:rPr>
          <w:rFonts w:ascii="Courier New" w:hAnsi="Courier New" w:eastAsia="Courier New" w:cs="Courier New"/>
          <w:color w:val="000000"/>
          <w:sz w:val="20"/>
        </w:rPr>
        <w:t xml:space="preserve">        _ =&gt; value.ToString()</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w:t>
      </w:r>
    </w:p>
    <w:p>
      <w:pPr>
        <w:pStyle w:val="GOSTCaption"/>
        <w:keepNext/>
        <w:jc w:val="left"/>
      </w:pPr>
      <w:r>
        <w:rPr>
          <w:rFonts w:ascii="Times New Roman" w:hAnsi="Times New Roman" w:eastAsia="Times New Roman" w:cs="Times New Roman"/>
          <w:b w:val="0"/>
          <w:color w:val="000000"/>
          <w:sz w:val="28"/>
        </w:rPr>
        <w:t>Листинг 11 – Консьюмер NATS JetStream и индексатор (</w:t>
      </w:r>
      <w:r>
        <w:rPr>
          <w:rFonts w:ascii="Courier New" w:hAnsi="Courier New" w:eastAsia="Courier New" w:cs="Courier New"/>
          <w:b w:val="0"/>
          <w:color w:val="000000"/>
          <w:sz w:val="26"/>
        </w:rPr>
        <w:t>Worker.cs</w:t>
      </w:r>
      <w:r>
        <w:rPr>
          <w:rFonts w:ascii="Times New Roman" w:hAnsi="Times New Roman" w:eastAsia="Times New Roman" w:cs="Times New Roman"/>
          <w:b w:val="0"/>
          <w:color w:val="000000"/>
          <w:sz w:val="28"/>
        </w:rPr>
        <w:t>)</w:t>
      </w:r>
    </w:p>
    <w:p>
      <w:pPr>
        <w:pStyle w:val="CodeBlock"/>
      </w:pPr>
      <w:r>
        <w:rPr>
          <w:rFonts w:ascii="Courier New" w:hAnsi="Courier New" w:eastAsia="Courier New" w:cs="Courier New"/>
          <w:color w:val="000000"/>
          <w:sz w:val="20"/>
        </w:rPr>
        <w:t>using System.Text.Json;</w:t>
      </w:r>
    </w:p>
    <w:p>
      <w:pPr>
        <w:pStyle w:val="CodeBlock"/>
      </w:pPr>
      <w:r>
        <w:rPr>
          <w:rFonts w:ascii="Courier New" w:hAnsi="Courier New" w:eastAsia="Courier New" w:cs="Courier New"/>
          <w:color w:val="000000"/>
          <w:sz w:val="20"/>
        </w:rPr>
        <w:t>using NATS.Client.Core;</w:t>
      </w:r>
    </w:p>
    <w:p>
      <w:pPr>
        <w:pStyle w:val="CodeBlock"/>
      </w:pPr>
      <w:r>
        <w:rPr>
          <w:rFonts w:ascii="Courier New" w:hAnsi="Courier New" w:eastAsia="Courier New" w:cs="Courier New"/>
          <w:color w:val="000000"/>
          <w:sz w:val="20"/>
        </w:rPr>
        <w:t>using NATS.Client.JetStream;</w:t>
      </w:r>
    </w:p>
    <w:p>
      <w:pPr>
        <w:pStyle w:val="CodeBlock"/>
      </w:pPr>
      <w:r>
        <w:rPr>
          <w:rFonts w:ascii="Courier New" w:hAnsi="Courier New" w:eastAsia="Courier New" w:cs="Courier New"/>
          <w:color w:val="000000"/>
          <w:sz w:val="20"/>
        </w:rPr>
        <w:t>using NATS.Client.JetStream.Models;</w:t>
      </w:r>
    </w:p>
    <w:p>
      <w:pPr>
        <w:pStyle w:val="CodeBlock"/>
      </w:pPr>
      <w:r>
        <w:rPr>
          <w:rFonts w:ascii="Courier New" w:hAnsi="Courier New" w:eastAsia="Courier New" w:cs="Courier New"/>
          <w:color w:val="000000"/>
          <w:sz w:val="20"/>
        </w:rPr>
        <w:t>using ProcurementSystem.Contracts;</w:t>
      </w:r>
    </w:p>
    <w:p>
      <w:pPr>
        <w:pStyle w:val="CodeBlock"/>
      </w:pPr>
      <w:r>
        <w:rPr>
          <w:rFonts w:ascii="Courier New" w:hAnsi="Courier New" w:eastAsia="Courier New" w:cs="Courier New"/>
          <w:color w:val="000000"/>
          <w:sz w:val="20"/>
        </w:rPr>
        <w:t>using ProcurementSystem.Contracts.Events;</w:t>
      </w:r>
    </w:p>
    <w:p>
      <w:pPr>
        <w:pStyle w:val="CodeBlock"/>
      </w:pPr>
      <w:r>
        <w:rPr>
          <w:rFonts w:ascii="Courier New" w:hAnsi="Courier New" w:eastAsia="Courier New" w:cs="Courier New"/>
          <w:color w:val="000000"/>
          <w:sz w:val="20"/>
        </w:rPr>
        <w:t>using ProcurementSystem.Infrastructure.Observability;</w:t>
      </w:r>
    </w:p>
    <w:p>
      <w:pPr>
        <w:pStyle w:val="CodeBlock"/>
      </w:pPr>
      <w:r>
        <w:rPr>
          <w:rFonts w:ascii="Courier New" w:hAnsi="Courier New" w:eastAsia="Courier New" w:cs="Courier New"/>
          <w:color w:val="000000"/>
          <w:sz w:val="20"/>
        </w:rPr>
        <w:t>using ProcurementSystem.Infrastructure.Search;</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namespace ProcurementSystem.Worker;</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&lt;summary&gt;</w:t>
      </w:r>
    </w:p>
    <w:p>
      <w:pPr>
        <w:pStyle w:val="CodeBlock"/>
      </w:pPr>
      <w:r>
        <w:rPr>
          <w:rFonts w:ascii="Courier New" w:hAnsi="Courier New" w:eastAsia="Courier New" w:cs="Courier New"/>
          <w:color w:val="000000"/>
          <w:sz w:val="20"/>
        </w:rPr>
        <w:t>/// Indexer worker: durable-консьюмер NATS JetStream. Слушает события procurement.ProductUpserted,</w:t>
      </w:r>
    </w:p>
    <w:p>
      <w:pPr>
        <w:pStyle w:val="CodeBlock"/>
      </w:pPr>
      <w:r>
        <w:rPr>
          <w:rFonts w:ascii="Courier New" w:hAnsi="Courier New" w:eastAsia="Courier New" w:cs="Courier New"/>
          <w:color w:val="000000"/>
          <w:sz w:val="20"/>
        </w:rPr>
        <w:t>/// на каждое — переиндексирует товар в поисковом движке через IProductIndexer.</w:t>
      </w:r>
    </w:p>
    <w:p>
      <w:pPr>
        <w:pStyle w:val="CodeBlock"/>
      </w:pPr>
      <w:r>
        <w:rPr>
          <w:rFonts w:ascii="Courier New" w:hAnsi="Courier New" w:eastAsia="Courier New" w:cs="Courier New"/>
          <w:color w:val="000000"/>
          <w:sz w:val="20"/>
        </w:rPr>
        <w:t>/// &lt;/summary&gt;</w:t>
      </w:r>
    </w:p>
    <w:p>
      <w:pPr>
        <w:pStyle w:val="CodeBlock"/>
      </w:pPr>
      <w:r>
        <w:rPr>
          <w:rFonts w:ascii="Courier New" w:hAnsi="Courier New" w:eastAsia="Courier New" w:cs="Courier New"/>
          <w:color w:val="000000"/>
          <w:sz w:val="20"/>
        </w:rPr>
        <w:t>public class Worker(</w:t>
      </w:r>
    </w:p>
    <w:p>
      <w:pPr>
        <w:pStyle w:val="CodeBlock"/>
      </w:pPr>
      <w:r>
        <w:rPr>
          <w:rFonts w:ascii="Courier New" w:hAnsi="Courier New" w:eastAsia="Courier New" w:cs="Courier New"/>
          <w:color w:val="000000"/>
          <w:sz w:val="20"/>
        </w:rPr>
        <w:t xml:space="preserve">    ILogger&lt;Worker&gt; logger,</w:t>
      </w:r>
    </w:p>
    <w:p>
      <w:pPr>
        <w:pStyle w:val="CodeBlock"/>
      </w:pPr>
      <w:r>
        <w:rPr>
          <w:rFonts w:ascii="Courier New" w:hAnsi="Courier New" w:eastAsia="Courier New" w:cs="Courier New"/>
          <w:color w:val="000000"/>
          <w:sz w:val="20"/>
        </w:rPr>
        <w:t xml:space="preserve">    INatsJSContext js,</w:t>
      </w:r>
    </w:p>
    <w:p>
      <w:pPr>
        <w:pStyle w:val="CodeBlock"/>
      </w:pPr>
      <w:r>
        <w:rPr>
          <w:rFonts w:ascii="Courier New" w:hAnsi="Courier New" w:eastAsia="Courier New" w:cs="Courier New"/>
          <w:color w:val="000000"/>
          <w:sz w:val="20"/>
        </w:rPr>
        <w:t xml:space="preserve">    IServiceScopeFactory scopeFactory) : BackgroundService</w:t>
      </w:r>
    </w:p>
    <w:p>
      <w:pPr>
        <w:pStyle w:val="CodeBlock"/>
      </w:pPr>
      <w:r>
        <w:rPr>
          <w:rFonts w:ascii="Courier New" w:hAnsi="Courier New" w:eastAsia="Courier New" w:cs="Courier New"/>
          <w:color w:val="000000"/>
          <w:sz w:val="20"/>
        </w:rPr>
        <w:t>{</w:t>
      </w:r>
    </w:p>
    <w:p>
      <w:pPr>
        <w:pStyle w:val="CodeBlock"/>
      </w:pPr>
      <w:r>
        <w:rPr>
          <w:rFonts w:ascii="Courier New" w:hAnsi="Courier New" w:eastAsia="Courier New" w:cs="Courier New"/>
          <w:color w:val="000000"/>
          <w:sz w:val="20"/>
        </w:rPr>
        <w:t xml:space="preserve">    protected override async Task ExecuteAsync(CancellationToken ct)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await EnsureStreamAsync(ct);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subject = Messaging.Subject(nameof(ProductUpserted));</w:t>
      </w:r>
    </w:p>
    <w:p>
      <w:pPr>
        <w:pStyle w:val="CodeBlock"/>
      </w:pPr>
      <w:r>
        <w:rPr>
          <w:rFonts w:ascii="Courier New" w:hAnsi="Courier New" w:eastAsia="Courier New" w:cs="Courier New"/>
          <w:color w:val="000000"/>
          <w:sz w:val="20"/>
        </w:rPr>
        <w:t xml:space="preserve">        var consumer = await js.CreateOrUpdateConsumerAsync(</w:t>
      </w:r>
    </w:p>
    <w:p>
      <w:pPr>
        <w:pStyle w:val="CodeBlock"/>
      </w:pPr>
      <w:r>
        <w:rPr>
          <w:rFonts w:ascii="Courier New" w:hAnsi="Courier New" w:eastAsia="Courier New" w:cs="Courier New"/>
          <w:color w:val="000000"/>
          <w:sz w:val="20"/>
        </w:rPr>
        <w:t xml:space="preserve">            Messaging.Stream,</w:t>
      </w:r>
    </w:p>
    <w:p>
      <w:pPr>
        <w:pStyle w:val="CodeBlock"/>
      </w:pPr>
      <w:r>
        <w:rPr>
          <w:rFonts w:ascii="Courier New" w:hAnsi="Courier New" w:eastAsia="Courier New" w:cs="Courier New"/>
          <w:color w:val="000000"/>
          <w:sz w:val="20"/>
        </w:rPr>
        <w:t xml:space="preserve">            new ConsumerConfig("indexer") { FilterSubject = subject },</w:t>
      </w:r>
    </w:p>
    <w:p>
      <w:pPr>
        <w:pStyle w:val="CodeBlock"/>
      </w:pPr>
      <w:r>
        <w:rPr>
          <w:rFonts w:ascii="Courier New" w:hAnsi="Courier New" w:eastAsia="Courier New" w:cs="Courier New"/>
          <w:color w:val="000000"/>
          <w:sz w:val="20"/>
        </w:rPr>
        <w:t xml:space="preserve">            ct);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logger.LogInformation("Indexer worker запущен, слушаю {Subject}", subject);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await foreach (var msg in consumer.ConsumeAsync&lt;byte[]&gt;(</w:t>
      </w:r>
    </w:p>
    <w:p>
      <w:pPr>
        <w:pStyle w:val="CodeBlock"/>
      </w:pPr>
      <w:r>
        <w:rPr>
          <w:rFonts w:ascii="Courier New" w:hAnsi="Courier New" w:eastAsia="Courier New" w:cs="Courier New"/>
          <w:color w:val="000000"/>
          <w:sz w:val="20"/>
        </w:rPr>
        <w:t xml:space="preserve">            serializer: NatsRawSerializer&lt;byte[]&gt;.Default, cancellationToken: ct))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try</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var evt = msg.Data is null ? null : JsonSerializer.Deserialize&lt;ProductUpserted&gt;(msg.Data);</w:t>
      </w:r>
    </w:p>
    <w:p>
      <w:pPr>
        <w:pStyle w:val="CodeBlock"/>
      </w:pPr>
      <w:r>
        <w:rPr>
          <w:rFonts w:ascii="Courier New" w:hAnsi="Courier New" w:eastAsia="Courier New" w:cs="Courier New"/>
          <w:color w:val="000000"/>
          <w:sz w:val="20"/>
        </w:rPr>
        <w:t xml:space="preserve">                if (evt is not null)</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using var activity = Telemetry.Source.StartActivity("index.product");</w:t>
      </w:r>
    </w:p>
    <w:p>
      <w:pPr>
        <w:pStyle w:val="CodeBlock"/>
      </w:pPr>
      <w:r>
        <w:rPr>
          <w:rFonts w:ascii="Courier New" w:hAnsi="Courier New" w:eastAsia="Courier New" w:cs="Courier New"/>
          <w:color w:val="000000"/>
          <w:sz w:val="20"/>
        </w:rPr>
        <w:t xml:space="preserve">                    activity?.SetTag("product.id", evt.ProductId.ToString());</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using var scope = scopeFactory.CreateScope();</w:t>
      </w:r>
    </w:p>
    <w:p>
      <w:pPr>
        <w:pStyle w:val="CodeBlock"/>
      </w:pPr>
      <w:r>
        <w:rPr>
          <w:rFonts w:ascii="Courier New" w:hAnsi="Courier New" w:eastAsia="Courier New" w:cs="Courier New"/>
          <w:color w:val="000000"/>
          <w:sz w:val="20"/>
        </w:rPr>
        <w:t xml:space="preserve">                    var indexer = scope.ServiceProvider.GetRequiredService&lt;IProductIndexer&gt;();</w:t>
      </w:r>
    </w:p>
    <w:p>
      <w:pPr>
        <w:pStyle w:val="CodeBlock"/>
      </w:pPr>
      <w:r>
        <w:rPr>
          <w:rFonts w:ascii="Courier New" w:hAnsi="Courier New" w:eastAsia="Courier New" w:cs="Courier New"/>
          <w:color w:val="000000"/>
          <w:sz w:val="20"/>
        </w:rPr>
        <w:t xml:space="preserve">                    await indexer.IndexAsync(evt.ProductId, ct);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await msg.AckAsync(cancellationToken: ct);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catch (Exception ex)</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logger.LogError(ex, "Ошибка обработки события индексации");</w:t>
      </w:r>
    </w:p>
    <w:p>
      <w:pPr>
        <w:pStyle w:val="CodeBlock"/>
      </w:pPr>
      <w:r>
        <w:rPr>
          <w:rFonts w:ascii="Courier New" w:hAnsi="Courier New" w:eastAsia="Courier New" w:cs="Courier New"/>
          <w:color w:val="000000"/>
          <w:sz w:val="20"/>
        </w:rPr>
        <w:t xml:space="preserve">                await msg.NakAsync(cancellationToken: ct);   // вернуть в очередь на повтор</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private async Task EnsureStreamAsync(CancellationToken ct)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for (int attempt = 1; !ct.IsCancellationRequested; attempt++)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try</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await js.CreateOrUpdateStreamAsync(</w:t>
      </w:r>
    </w:p>
    <w:p>
      <w:pPr>
        <w:pStyle w:val="CodeBlock"/>
      </w:pPr>
      <w:r>
        <w:rPr>
          <w:rFonts w:ascii="Courier New" w:hAnsi="Courier New" w:eastAsia="Courier New" w:cs="Courier New"/>
          <w:color w:val="000000"/>
          <w:sz w:val="20"/>
        </w:rPr>
        <w:t xml:space="preserve">                    new StreamConfig(Messaging.Stream, [Messaging.SubjectWildcard]), ct);</w:t>
      </w:r>
    </w:p>
    <w:p>
      <w:pPr>
        <w:pStyle w:val="CodeBlock"/>
      </w:pPr>
      <w:r>
        <w:rPr>
          <w:rFonts w:ascii="Courier New" w:hAnsi="Courier New" w:eastAsia="Courier New" w:cs="Courier New"/>
          <w:color w:val="000000"/>
          <w:sz w:val="20"/>
        </w:rPr>
        <w:t xml:space="preserve">                return;</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catch (Exception ex) when (attempt &lt;= 15)</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logger.LogWarning("NATS недоступен (попытка {Attempt}): {Message}", attempt, ex.Message);</w:t>
      </w:r>
    </w:p>
    <w:p>
      <w:pPr>
        <w:pStyle w:val="CodeBlock"/>
      </w:pPr>
      <w:r>
        <w:rPr>
          <w:rFonts w:ascii="Courier New" w:hAnsi="Courier New" w:eastAsia="Courier New" w:cs="Courier New"/>
          <w:color w:val="000000"/>
          <w:sz w:val="20"/>
        </w:rPr>
        <w:t xml:space="preserve">                await Task.Delay(TimeSpan.FromSeconds(2), ct);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w:t>
      </w:r>
    </w:p>
    <w:p>
      <w:pPr>
        <w:pStyle w:val="Heading1"/>
        <w:jc w:val="center"/>
      </w:pPr>
      <w:r>
        <w:rPr>
          <w:rFonts w:ascii="Times New Roman" w:hAnsi="Times New Roman" w:eastAsia="Times New Roman" w:cs="Times New Roman"/>
          <w:b/>
          <w:color w:val="000000"/>
          <w:sz w:val="28"/>
        </w:rPr>
        <w:t>ПРИЛОЖЕНИЕ В. СХЕМА КОММЕРЧЕСКОГО КОНТУРА И МАРШРУТЫ ШЛЮЗА</w:t>
      </w:r>
    </w:p>
    <w:p>
      <w:r>
        <w:rPr>
          <w:rFonts w:ascii="Times New Roman" w:hAnsi="Times New Roman" w:eastAsia="Times New Roman" w:cs="Times New Roman"/>
          <w:b w:val="0"/>
          <w:color w:val="000000"/>
          <w:sz w:val="28"/>
        </w:rPr>
        <w:t xml:space="preserve">Миграция </w:t>
      </w:r>
      <w:r>
        <w:rPr>
          <w:rFonts w:ascii="Courier New" w:hAnsi="Courier New" w:eastAsia="Courier New" w:cs="Courier New"/>
          <w:b w:val="0"/>
          <w:color w:val="000000"/>
          <w:sz w:val="26"/>
        </w:rPr>
        <w:t>AddCommercial</w:t>
      </w:r>
      <w:r>
        <w:rPr>
          <w:rFonts w:ascii="Times New Roman" w:hAnsi="Times New Roman" w:eastAsia="Times New Roman" w:cs="Times New Roman"/>
          <w:b w:val="0"/>
          <w:color w:val="000000"/>
          <w:sz w:val="28"/>
        </w:rPr>
        <w:t xml:space="preserve"> создаёт таблицы согласований и счетов в схеме монолита. Маршруты YARP задают, какой вынесенный процесс получает префикс </w:t>
      </w:r>
      <w:r>
        <w:rPr>
          <w:rFonts w:ascii="Courier New" w:hAnsi="Courier New" w:eastAsia="Courier New" w:cs="Courier New"/>
          <w:b w:val="0"/>
          <w:color w:val="000000"/>
          <w:sz w:val="26"/>
        </w:rPr>
        <w:t>/api</w:t>
      </w:r>
      <w:r>
        <w:rPr>
          <w:rFonts w:ascii="Times New Roman" w:hAnsi="Times New Roman" w:eastAsia="Times New Roman" w:cs="Times New Roman"/>
          <w:b w:val="0"/>
          <w:color w:val="000000"/>
          <w:sz w:val="28"/>
        </w:rPr>
        <w:t xml:space="preserve"> в Docker; catch-all с </w:t>
      </w:r>
      <w:r>
        <w:rPr>
          <w:rFonts w:ascii="Courier New" w:hAnsi="Courier New" w:eastAsia="Courier New" w:cs="Courier New"/>
          <w:b w:val="0"/>
          <w:color w:val="000000"/>
          <w:sz w:val="26"/>
        </w:rPr>
        <w:t>Order: 100</w:t>
      </w:r>
      <w:r>
        <w:rPr>
          <w:rFonts w:ascii="Times New Roman" w:hAnsi="Times New Roman" w:eastAsia="Times New Roman" w:cs="Times New Roman"/>
          <w:b w:val="0"/>
          <w:color w:val="000000"/>
          <w:sz w:val="28"/>
        </w:rPr>
        <w:t xml:space="preserve"> оставляет поиск, проекты, аналитику и аудит монолиту. Маршруты Matching имеют </w:t>
      </w:r>
      <w:r>
        <w:rPr>
          <w:rFonts w:ascii="Courier New" w:hAnsi="Courier New" w:eastAsia="Courier New" w:cs="Courier New"/>
          <w:b w:val="0"/>
          <w:color w:val="000000"/>
          <w:sz w:val="26"/>
        </w:rPr>
        <w:t>Order: 5</w:t>
      </w:r>
      <w:r>
        <w:rPr>
          <w:rFonts w:ascii="Times New Roman" w:hAnsi="Times New Roman" w:eastAsia="Times New Roman" w:cs="Times New Roman"/>
          <w:b w:val="0"/>
          <w:color w:val="000000"/>
          <w:sz w:val="28"/>
        </w:rPr>
        <w:t xml:space="preserve">, поэтому </w:t>
      </w:r>
      <w:r>
        <w:rPr>
          <w:rFonts w:ascii="Courier New" w:hAnsi="Courier New" w:eastAsia="Courier New" w:cs="Courier New"/>
          <w:b w:val="0"/>
          <w:color w:val="000000"/>
          <w:sz w:val="26"/>
        </w:rPr>
        <w:t>/api/specifications/{specId}/match*</w:t>
      </w:r>
      <w:r>
        <w:rPr>
          <w:rFonts w:ascii="Times New Roman" w:hAnsi="Times New Roman" w:eastAsia="Times New Roman" w:cs="Times New Roman"/>
          <w:b w:val="0"/>
          <w:color w:val="000000"/>
          <w:sz w:val="28"/>
        </w:rPr>
        <w:t xml:space="preserve"> перехватывается раньше префикса Quoting.</w:t>
      </w:r>
    </w:p>
    <w:p>
      <w:pPr>
        <w:pStyle w:val="GOSTCaption"/>
        <w:keepNext/>
        <w:jc w:val="left"/>
      </w:pPr>
      <w:r>
        <w:rPr>
          <w:rFonts w:ascii="Times New Roman" w:hAnsi="Times New Roman" w:eastAsia="Times New Roman" w:cs="Times New Roman"/>
          <w:b w:val="0"/>
          <w:color w:val="000000"/>
          <w:sz w:val="28"/>
        </w:rPr>
        <w:t>Листинг 12 – Миграция схемы согласований и счетов (</w:t>
      </w:r>
      <w:r>
        <w:rPr>
          <w:rFonts w:ascii="Courier New" w:hAnsi="Courier New" w:eastAsia="Courier New" w:cs="Courier New"/>
          <w:b w:val="0"/>
          <w:color w:val="000000"/>
          <w:sz w:val="26"/>
        </w:rPr>
        <w:t>AddCommercial</w:t>
      </w:r>
      <w:r>
        <w:rPr>
          <w:rFonts w:ascii="Times New Roman" w:hAnsi="Times New Roman" w:eastAsia="Times New Roman" w:cs="Times New Roman"/>
          <w:b w:val="0"/>
          <w:color w:val="000000"/>
          <w:sz w:val="28"/>
        </w:rPr>
        <w:t>)</w:t>
      </w:r>
    </w:p>
    <w:p>
      <w:pPr>
        <w:pStyle w:val="CodeBlock"/>
      </w:pPr>
      <w:r>
        <w:rPr>
          <w:rFonts w:ascii="Courier New" w:hAnsi="Courier New" w:eastAsia="Courier New" w:cs="Courier New"/>
          <w:color w:val="000000"/>
          <w:sz w:val="20"/>
        </w:rPr>
        <w:t>using System;</w:t>
      </w:r>
    </w:p>
    <w:p>
      <w:pPr>
        <w:pStyle w:val="CodeBlock"/>
      </w:pPr>
      <w:r>
        <w:rPr>
          <w:rFonts w:ascii="Courier New" w:hAnsi="Courier New" w:eastAsia="Courier New" w:cs="Courier New"/>
          <w:color w:val="000000"/>
          <w:sz w:val="20"/>
        </w:rPr>
        <w:t>using Microsoft.EntityFrameworkCore.Migrations;</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#nullable disable</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namespace ProcurementSystem.Infrastructure.Persistence.Migrations</w:t>
      </w:r>
    </w:p>
    <w:p>
      <w:pPr>
        <w:pStyle w:val="CodeBlock"/>
      </w:pPr>
      <w:r>
        <w:rPr>
          <w:rFonts w:ascii="Courier New" w:hAnsi="Courier New" w:eastAsia="Courier New" w:cs="Courier New"/>
          <w:color w:val="000000"/>
          <w:sz w:val="20"/>
        </w:rPr>
        <w:t>{</w:t>
      </w:r>
    </w:p>
    <w:p>
      <w:pPr>
        <w:pStyle w:val="CodeBlock"/>
      </w:pPr>
      <w:r>
        <w:rPr>
          <w:rFonts w:ascii="Courier New" w:hAnsi="Courier New" w:eastAsia="Courier New" w:cs="Courier New"/>
          <w:color w:val="000000"/>
          <w:sz w:val="20"/>
        </w:rPr>
        <w:t xml:space="preserve">    /// &lt;inheritdoc /&gt;</w:t>
      </w:r>
    </w:p>
    <w:p>
      <w:pPr>
        <w:pStyle w:val="CodeBlock"/>
      </w:pPr>
      <w:r>
        <w:rPr>
          <w:rFonts w:ascii="Courier New" w:hAnsi="Courier New" w:eastAsia="Courier New" w:cs="Courier New"/>
          <w:color w:val="000000"/>
          <w:sz w:val="20"/>
        </w:rPr>
        <w:t xml:space="preserve">    public partial class AddCommercial : Migration</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 &lt;inheritdoc /&gt;</w:t>
      </w:r>
    </w:p>
    <w:p>
      <w:pPr>
        <w:pStyle w:val="CodeBlock"/>
      </w:pPr>
      <w:r>
        <w:rPr>
          <w:rFonts w:ascii="Courier New" w:hAnsi="Courier New" w:eastAsia="Courier New" w:cs="Courier New"/>
          <w:color w:val="000000"/>
          <w:sz w:val="20"/>
        </w:rPr>
        <w:t xml:space="preserve">        protected override void Up(MigrationBuilder migrationBuilder)</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migrationBuilder.CreateTable(</w:t>
      </w:r>
    </w:p>
    <w:p>
      <w:pPr>
        <w:pStyle w:val="CodeBlock"/>
      </w:pPr>
      <w:r>
        <w:rPr>
          <w:rFonts w:ascii="Courier New" w:hAnsi="Courier New" w:eastAsia="Courier New" w:cs="Courier New"/>
          <w:color w:val="000000"/>
          <w:sz w:val="20"/>
        </w:rPr>
        <w:t xml:space="preserve">                name: "Approvals",</w:t>
      </w:r>
    </w:p>
    <w:p>
      <w:pPr>
        <w:pStyle w:val="CodeBlock"/>
      </w:pPr>
      <w:r>
        <w:rPr>
          <w:rFonts w:ascii="Courier New" w:hAnsi="Courier New" w:eastAsia="Courier New" w:cs="Courier New"/>
          <w:color w:val="000000"/>
          <w:sz w:val="20"/>
        </w:rPr>
        <w:t xml:space="preserve">                columns: table =&gt; new</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Id = table.Column&lt;Guid&gt;(type: "uuid", nullable: false),</w:t>
      </w:r>
    </w:p>
    <w:p>
      <w:pPr>
        <w:pStyle w:val="CodeBlock"/>
      </w:pPr>
      <w:r>
        <w:rPr>
          <w:rFonts w:ascii="Courier New" w:hAnsi="Courier New" w:eastAsia="Courier New" w:cs="Courier New"/>
          <w:color w:val="000000"/>
          <w:sz w:val="20"/>
        </w:rPr>
        <w:t xml:space="preserve">                    SpecificationId = table.Column&lt;Guid&gt;(type: "uuid", nullable: false),</w:t>
      </w:r>
    </w:p>
    <w:p>
      <w:pPr>
        <w:pStyle w:val="CodeBlock"/>
      </w:pPr>
      <w:r>
        <w:rPr>
          <w:rFonts w:ascii="Courier New" w:hAnsi="Courier New" w:eastAsia="Courier New" w:cs="Courier New"/>
          <w:color w:val="000000"/>
          <w:sz w:val="20"/>
        </w:rPr>
        <w:t xml:space="preserve">                    Strategy = table.Column&lt;string&gt;(type: "character varying(40)", maxLength: 40, nullable: false),</w:t>
      </w:r>
    </w:p>
    <w:p>
      <w:pPr>
        <w:pStyle w:val="CodeBlock"/>
      </w:pPr>
      <w:r>
        <w:rPr>
          <w:rFonts w:ascii="Courier New" w:hAnsi="Courier New" w:eastAsia="Courier New" w:cs="Courier New"/>
          <w:color w:val="000000"/>
          <w:sz w:val="20"/>
        </w:rPr>
        <w:t xml:space="preserve">                    Title = table.Column&lt;string&gt;(type: "character varying(300)", maxLength: 300, nullable: false),</w:t>
      </w:r>
    </w:p>
    <w:p>
      <w:pPr>
        <w:pStyle w:val="CodeBlock"/>
      </w:pPr>
      <w:r>
        <w:rPr>
          <w:rFonts w:ascii="Courier New" w:hAnsi="Courier New" w:eastAsia="Courier New" w:cs="Courier New"/>
          <w:color w:val="000000"/>
          <w:sz w:val="20"/>
        </w:rPr>
        <w:t xml:space="preserve">                    Customer = table.Column&lt;string&gt;(type: "character varying(300)", maxLength: 300, nullable: true),</w:t>
      </w:r>
    </w:p>
    <w:p>
      <w:pPr>
        <w:pStyle w:val="CodeBlock"/>
      </w:pPr>
      <w:r>
        <w:rPr>
          <w:rFonts w:ascii="Courier New" w:hAnsi="Courier New" w:eastAsia="Courier New" w:cs="Courier New"/>
          <w:color w:val="000000"/>
          <w:sz w:val="20"/>
        </w:rPr>
        <w:t xml:space="preserve">                    CostPrice = table.Column&lt;decimal&gt;(type: "numeric(18,2)", precision: 18, scale: 2, nullable: false),</w:t>
      </w:r>
    </w:p>
    <w:p>
      <w:pPr>
        <w:pStyle w:val="CodeBlock"/>
      </w:pPr>
      <w:r>
        <w:rPr>
          <w:rFonts w:ascii="Courier New" w:hAnsi="Courier New" w:eastAsia="Courier New" w:cs="Courier New"/>
          <w:color w:val="000000"/>
          <w:sz w:val="20"/>
        </w:rPr>
        <w:t xml:space="preserve">                    MarkupPercent = table.Column&lt;decimal&gt;(type: "numeric(18,2)", precision: 18, scale: 2, nullable: false),</w:t>
      </w:r>
    </w:p>
    <w:p>
      <w:pPr>
        <w:pStyle w:val="CodeBlock"/>
      </w:pPr>
      <w:r>
        <w:rPr>
          <w:rFonts w:ascii="Courier New" w:hAnsi="Courier New" w:eastAsia="Courier New" w:cs="Courier New"/>
          <w:color w:val="000000"/>
          <w:sz w:val="20"/>
        </w:rPr>
        <w:t xml:space="preserve">                    SellPrice = table.Column&lt;decimal&gt;(type: "numeric(18,2)", precision: 18, scale: 2, nullable: false),</w:t>
      </w:r>
    </w:p>
    <w:p>
      <w:pPr>
        <w:pStyle w:val="CodeBlock"/>
      </w:pPr>
      <w:r>
        <w:rPr>
          <w:rFonts w:ascii="Courier New" w:hAnsi="Courier New" w:eastAsia="Courier New" w:cs="Courier New"/>
          <w:color w:val="000000"/>
          <w:sz w:val="20"/>
        </w:rPr>
        <w:t xml:space="preserve">                    MarginPercent = table.Column&lt;decimal&gt;(type: "numeric(18,2)", precision: 18, scale: 2, nullable: false),</w:t>
      </w:r>
    </w:p>
    <w:p>
      <w:pPr>
        <w:pStyle w:val="CodeBlock"/>
      </w:pPr>
      <w:r>
        <w:rPr>
          <w:rFonts w:ascii="Courier New" w:hAnsi="Courier New" w:eastAsia="Courier New" w:cs="Courier New"/>
          <w:color w:val="000000"/>
          <w:sz w:val="20"/>
        </w:rPr>
        <w:t xml:space="preserve">                    Status = table.Column&lt;string&gt;(type: "character varying(32)", maxLength: 32, nullable: false),</w:t>
      </w:r>
    </w:p>
    <w:p>
      <w:pPr>
        <w:pStyle w:val="CodeBlock"/>
      </w:pPr>
      <w:r>
        <w:rPr>
          <w:rFonts w:ascii="Courier New" w:hAnsi="Courier New" w:eastAsia="Courier New" w:cs="Courier New"/>
          <w:color w:val="000000"/>
          <w:sz w:val="20"/>
        </w:rPr>
        <w:t xml:space="preserve">                    CreatedBy = table.Column&lt;string&gt;(type: "character varying(150)", maxLength: 150, nullable: true),</w:t>
      </w:r>
    </w:p>
    <w:p>
      <w:pPr>
        <w:pStyle w:val="CodeBlock"/>
      </w:pPr>
      <w:r>
        <w:rPr>
          <w:rFonts w:ascii="Courier New" w:hAnsi="Courier New" w:eastAsia="Courier New" w:cs="Courier New"/>
          <w:color w:val="000000"/>
          <w:sz w:val="20"/>
        </w:rPr>
        <w:t xml:space="preserve">                    DecidedAtUtc = table.Column&lt;DateTime&gt;(type: "timestamp with time zone", nullable: true),</w:t>
      </w:r>
    </w:p>
    <w:p>
      <w:pPr>
        <w:pStyle w:val="CodeBlock"/>
      </w:pPr>
      <w:r>
        <w:rPr>
          <w:rFonts w:ascii="Courier New" w:hAnsi="Courier New" w:eastAsia="Courier New" w:cs="Courier New"/>
          <w:color w:val="000000"/>
          <w:sz w:val="20"/>
        </w:rPr>
        <w:t xml:space="preserve">                    Comment = table.Column&lt;string&gt;(type: "character varying(1000)", maxLength: 1000, nullable: true),</w:t>
      </w:r>
    </w:p>
    <w:p>
      <w:pPr>
        <w:pStyle w:val="CodeBlock"/>
      </w:pPr>
      <w:r>
        <w:rPr>
          <w:rFonts w:ascii="Courier New" w:hAnsi="Courier New" w:eastAsia="Courier New" w:cs="Courier New"/>
          <w:color w:val="000000"/>
          <w:sz w:val="20"/>
        </w:rPr>
        <w:t xml:space="preserve">                    CreatedAtUtc = table.Column&lt;DateTime&gt;(type: "timestamp with time zone", nullable: false),</w:t>
      </w:r>
    </w:p>
    <w:p>
      <w:pPr>
        <w:pStyle w:val="CodeBlock"/>
      </w:pPr>
      <w:r>
        <w:rPr>
          <w:rFonts w:ascii="Courier New" w:hAnsi="Courier New" w:eastAsia="Courier New" w:cs="Courier New"/>
          <w:color w:val="000000"/>
          <w:sz w:val="20"/>
        </w:rPr>
        <w:t xml:space="preserve">                    UpdatedAtUtc = table.Column&lt;DateTime&gt;(type: "timestamp with time zone", nullable: true)</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constraints: table =&gt;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table.PrimaryKey("PK_Approvals", x =&gt; x.Id);</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migrationBuilder.CreateTable(</w:t>
      </w:r>
    </w:p>
    <w:p>
      <w:pPr>
        <w:pStyle w:val="CodeBlock"/>
      </w:pPr>
      <w:r>
        <w:rPr>
          <w:rFonts w:ascii="Courier New" w:hAnsi="Courier New" w:eastAsia="Courier New" w:cs="Courier New"/>
          <w:color w:val="000000"/>
          <w:sz w:val="20"/>
        </w:rPr>
        <w:t xml:space="preserve">                name: "Invoices",</w:t>
      </w:r>
    </w:p>
    <w:p>
      <w:pPr>
        <w:pStyle w:val="CodeBlock"/>
      </w:pPr>
      <w:r>
        <w:rPr>
          <w:rFonts w:ascii="Courier New" w:hAnsi="Courier New" w:eastAsia="Courier New" w:cs="Courier New"/>
          <w:color w:val="000000"/>
          <w:sz w:val="20"/>
        </w:rPr>
        <w:t xml:space="preserve">                columns: table =&gt; new</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Id = table.Column&lt;Guid&gt;(type: "uuid", nullable: false),</w:t>
      </w:r>
    </w:p>
    <w:p>
      <w:pPr>
        <w:pStyle w:val="CodeBlock"/>
      </w:pPr>
      <w:r>
        <w:rPr>
          <w:rFonts w:ascii="Courier New" w:hAnsi="Courier New" w:eastAsia="Courier New" w:cs="Courier New"/>
          <w:color w:val="000000"/>
          <w:sz w:val="20"/>
        </w:rPr>
        <w:t xml:space="preserve">                    Number = table.Column&lt;string&gt;(type: "character varying(40)", maxLength: 40, nullable: false),</w:t>
      </w:r>
    </w:p>
    <w:p>
      <w:pPr>
        <w:pStyle w:val="CodeBlock"/>
      </w:pPr>
      <w:r>
        <w:rPr>
          <w:rFonts w:ascii="Courier New" w:hAnsi="Courier New" w:eastAsia="Courier New" w:cs="Courier New"/>
          <w:color w:val="000000"/>
          <w:sz w:val="20"/>
        </w:rPr>
        <w:t xml:space="preserve">                    ApprovalId = table.Column&lt;Guid&gt;(type: "uuid", nullable: false),</w:t>
      </w:r>
    </w:p>
    <w:p>
      <w:pPr>
        <w:pStyle w:val="CodeBlock"/>
      </w:pPr>
      <w:r>
        <w:rPr>
          <w:rFonts w:ascii="Courier New" w:hAnsi="Courier New" w:eastAsia="Courier New" w:cs="Courier New"/>
          <w:color w:val="000000"/>
          <w:sz w:val="20"/>
        </w:rPr>
        <w:t xml:space="preserve">                    Customer = table.Column&lt;string&gt;(type: "character varying(300)", maxLength: 300, nullable: true),</w:t>
      </w:r>
    </w:p>
    <w:p>
      <w:pPr>
        <w:pStyle w:val="CodeBlock"/>
      </w:pPr>
      <w:r>
        <w:rPr>
          <w:rFonts w:ascii="Courier New" w:hAnsi="Courier New" w:eastAsia="Courier New" w:cs="Courier New"/>
          <w:color w:val="000000"/>
          <w:sz w:val="20"/>
        </w:rPr>
        <w:t xml:space="preserve">                    Contract = table.Column&lt;string&gt;(type: "character varying(300)", maxLength: 300, nullable: true),</w:t>
      </w:r>
    </w:p>
    <w:p>
      <w:pPr>
        <w:pStyle w:val="CodeBlock"/>
      </w:pPr>
      <w:r>
        <w:rPr>
          <w:rFonts w:ascii="Courier New" w:hAnsi="Courier New" w:eastAsia="Courier New" w:cs="Courier New"/>
          <w:color w:val="000000"/>
          <w:sz w:val="20"/>
        </w:rPr>
        <w:t xml:space="preserve">                    CostPrice = table.Column&lt;decimal&gt;(type: "numeric(18,2)", precision: 18, scale: 2, nullable: false),</w:t>
      </w:r>
    </w:p>
    <w:p>
      <w:pPr>
        <w:pStyle w:val="CodeBlock"/>
      </w:pPr>
      <w:r>
        <w:rPr>
          <w:rFonts w:ascii="Courier New" w:hAnsi="Courier New" w:eastAsia="Courier New" w:cs="Courier New"/>
          <w:color w:val="000000"/>
          <w:sz w:val="20"/>
        </w:rPr>
        <w:t xml:space="preserve">                    MarkupPercent = table.Column&lt;decimal&gt;(type: "numeric(18,2)", precision: 18, scale: 2, nullable: false),</w:t>
      </w:r>
    </w:p>
    <w:p>
      <w:pPr>
        <w:pStyle w:val="CodeBlock"/>
      </w:pPr>
      <w:r>
        <w:rPr>
          <w:rFonts w:ascii="Courier New" w:hAnsi="Courier New" w:eastAsia="Courier New" w:cs="Courier New"/>
          <w:color w:val="000000"/>
          <w:sz w:val="20"/>
        </w:rPr>
        <w:t xml:space="preserve">                    SellPrice = table.Column&lt;decimal&gt;(type: "numeric(18,2)", precision: 18, scale: 2, nullable: false),</w:t>
      </w:r>
    </w:p>
    <w:p>
      <w:pPr>
        <w:pStyle w:val="CodeBlock"/>
      </w:pPr>
      <w:r>
        <w:rPr>
          <w:rFonts w:ascii="Courier New" w:hAnsi="Courier New" w:eastAsia="Courier New" w:cs="Courier New"/>
          <w:color w:val="000000"/>
          <w:sz w:val="20"/>
        </w:rPr>
        <w:t xml:space="preserve">                    Status = table.Column&lt;string&gt;(type: "character varying(32)", maxLength: 32, nullable: false),</w:t>
      </w:r>
    </w:p>
    <w:p>
      <w:pPr>
        <w:pStyle w:val="CodeBlock"/>
      </w:pPr>
      <w:r>
        <w:rPr>
          <w:rFonts w:ascii="Courier New" w:hAnsi="Courier New" w:eastAsia="Courier New" w:cs="Courier New"/>
          <w:color w:val="000000"/>
          <w:sz w:val="20"/>
        </w:rPr>
        <w:t xml:space="preserve">                    DueDateUtc = table.Column&lt;DateTime&gt;(type: "timestamp with time zone", nullable: true),</w:t>
      </w:r>
    </w:p>
    <w:p>
      <w:pPr>
        <w:pStyle w:val="CodeBlock"/>
      </w:pPr>
      <w:r>
        <w:rPr>
          <w:rFonts w:ascii="Courier New" w:hAnsi="Courier New" w:eastAsia="Courier New" w:cs="Courier New"/>
          <w:color w:val="000000"/>
          <w:sz w:val="20"/>
        </w:rPr>
        <w:t xml:space="preserve">                    CreatedBy = table.Column&lt;string&gt;(type: "character varying(150)", maxLength: 150, nullable: true),</w:t>
      </w:r>
    </w:p>
    <w:p>
      <w:pPr>
        <w:pStyle w:val="CodeBlock"/>
      </w:pPr>
      <w:r>
        <w:rPr>
          <w:rFonts w:ascii="Courier New" w:hAnsi="Courier New" w:eastAsia="Courier New" w:cs="Courier New"/>
          <w:color w:val="000000"/>
          <w:sz w:val="20"/>
        </w:rPr>
        <w:t xml:space="preserve">                    CreatedAtUtc = table.Column&lt;DateTime&gt;(type: "timestamp with time zone", nullable: false),</w:t>
      </w:r>
    </w:p>
    <w:p>
      <w:pPr>
        <w:pStyle w:val="CodeBlock"/>
      </w:pPr>
      <w:r>
        <w:rPr>
          <w:rFonts w:ascii="Courier New" w:hAnsi="Courier New" w:eastAsia="Courier New" w:cs="Courier New"/>
          <w:color w:val="000000"/>
          <w:sz w:val="20"/>
        </w:rPr>
        <w:t xml:space="preserve">                    UpdatedAtUtc = table.Column&lt;DateTime&gt;(type: "timestamp with time zone", nullable: true)</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constraints: table =&gt;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table.PrimaryKey("PK_Invoices", x =&gt; x.Id);</w:t>
      </w:r>
    </w:p>
    <w:p>
      <w:pPr>
        <w:pStyle w:val="CodeBlock"/>
      </w:pPr>
      <w:r>
        <w:rPr>
          <w:rFonts w:ascii="Courier New" w:hAnsi="Courier New" w:eastAsia="Courier New" w:cs="Courier New"/>
          <w:color w:val="000000"/>
          <w:sz w:val="20"/>
        </w:rPr>
        <w:t xml:space="preserve">                    table.ForeignKey(</w:t>
      </w:r>
    </w:p>
    <w:p>
      <w:pPr>
        <w:pStyle w:val="CodeBlock"/>
      </w:pPr>
      <w:r>
        <w:rPr>
          <w:rFonts w:ascii="Courier New" w:hAnsi="Courier New" w:eastAsia="Courier New" w:cs="Courier New"/>
          <w:color w:val="000000"/>
          <w:sz w:val="20"/>
        </w:rPr>
        <w:t xml:space="preserve">                        name: "FK_Invoices_Approvals_ApprovalId",</w:t>
      </w:r>
    </w:p>
    <w:p>
      <w:pPr>
        <w:pStyle w:val="CodeBlock"/>
      </w:pPr>
      <w:r>
        <w:rPr>
          <w:rFonts w:ascii="Courier New" w:hAnsi="Courier New" w:eastAsia="Courier New" w:cs="Courier New"/>
          <w:color w:val="000000"/>
          <w:sz w:val="20"/>
        </w:rPr>
        <w:t xml:space="preserve">                        column: x =&gt; x.ApprovalId,</w:t>
      </w:r>
    </w:p>
    <w:p>
      <w:pPr>
        <w:pStyle w:val="CodeBlock"/>
      </w:pPr>
      <w:r>
        <w:rPr>
          <w:rFonts w:ascii="Courier New" w:hAnsi="Courier New" w:eastAsia="Courier New" w:cs="Courier New"/>
          <w:color w:val="000000"/>
          <w:sz w:val="20"/>
        </w:rPr>
        <w:t xml:space="preserve">                        principalTable: "Approvals",</w:t>
      </w:r>
    </w:p>
    <w:p>
      <w:pPr>
        <w:pStyle w:val="CodeBlock"/>
      </w:pPr>
      <w:r>
        <w:rPr>
          <w:rFonts w:ascii="Courier New" w:hAnsi="Courier New" w:eastAsia="Courier New" w:cs="Courier New"/>
          <w:color w:val="000000"/>
          <w:sz w:val="20"/>
        </w:rPr>
        <w:t xml:space="preserve">                        principalColumn: "Id");</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migrationBuilder.CreateIndex(</w:t>
      </w:r>
    </w:p>
    <w:p>
      <w:pPr>
        <w:pStyle w:val="CodeBlock"/>
      </w:pPr>
      <w:r>
        <w:rPr>
          <w:rFonts w:ascii="Courier New" w:hAnsi="Courier New" w:eastAsia="Courier New" w:cs="Courier New"/>
          <w:color w:val="000000"/>
          <w:sz w:val="20"/>
        </w:rPr>
        <w:t xml:space="preserve">                name: "IX_Approvals_SpecificationId",</w:t>
      </w:r>
    </w:p>
    <w:p>
      <w:pPr>
        <w:pStyle w:val="CodeBlock"/>
      </w:pPr>
      <w:r>
        <w:rPr>
          <w:rFonts w:ascii="Courier New" w:hAnsi="Courier New" w:eastAsia="Courier New" w:cs="Courier New"/>
          <w:color w:val="000000"/>
          <w:sz w:val="20"/>
        </w:rPr>
        <w:t xml:space="preserve">                table: "Approvals",</w:t>
      </w:r>
    </w:p>
    <w:p>
      <w:pPr>
        <w:pStyle w:val="CodeBlock"/>
      </w:pPr>
      <w:r>
        <w:rPr>
          <w:rFonts w:ascii="Courier New" w:hAnsi="Courier New" w:eastAsia="Courier New" w:cs="Courier New"/>
          <w:color w:val="000000"/>
          <w:sz w:val="20"/>
        </w:rPr>
        <w:t xml:space="preserve">                column: "SpecificationId");</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migrationBuilder.CreateIndex(</w:t>
      </w:r>
    </w:p>
    <w:p>
      <w:pPr>
        <w:pStyle w:val="CodeBlock"/>
      </w:pPr>
      <w:r>
        <w:rPr>
          <w:rFonts w:ascii="Courier New" w:hAnsi="Courier New" w:eastAsia="Courier New" w:cs="Courier New"/>
          <w:color w:val="000000"/>
          <w:sz w:val="20"/>
        </w:rPr>
        <w:t xml:space="preserve">                name: "IX_Invoices_ApprovalId",</w:t>
      </w:r>
    </w:p>
    <w:p>
      <w:pPr>
        <w:pStyle w:val="CodeBlock"/>
      </w:pPr>
      <w:r>
        <w:rPr>
          <w:rFonts w:ascii="Courier New" w:hAnsi="Courier New" w:eastAsia="Courier New" w:cs="Courier New"/>
          <w:color w:val="000000"/>
          <w:sz w:val="20"/>
        </w:rPr>
        <w:t xml:space="preserve">                table: "Invoices",</w:t>
      </w:r>
    </w:p>
    <w:p>
      <w:pPr>
        <w:pStyle w:val="CodeBlock"/>
      </w:pPr>
      <w:r>
        <w:rPr>
          <w:rFonts w:ascii="Courier New" w:hAnsi="Courier New" w:eastAsia="Courier New" w:cs="Courier New"/>
          <w:color w:val="000000"/>
          <w:sz w:val="20"/>
        </w:rPr>
        <w:t xml:space="preserve">                column: "ApprovalId");</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migrationBuilder.CreateIndex(</w:t>
      </w:r>
    </w:p>
    <w:p>
      <w:pPr>
        <w:pStyle w:val="CodeBlock"/>
      </w:pPr>
      <w:r>
        <w:rPr>
          <w:rFonts w:ascii="Courier New" w:hAnsi="Courier New" w:eastAsia="Courier New" w:cs="Courier New"/>
          <w:color w:val="000000"/>
          <w:sz w:val="20"/>
        </w:rPr>
        <w:t xml:space="preserve">                name: "IX_Invoices_Number",</w:t>
      </w:r>
    </w:p>
    <w:p>
      <w:pPr>
        <w:pStyle w:val="CodeBlock"/>
      </w:pPr>
      <w:r>
        <w:rPr>
          <w:rFonts w:ascii="Courier New" w:hAnsi="Courier New" w:eastAsia="Courier New" w:cs="Courier New"/>
          <w:color w:val="000000"/>
          <w:sz w:val="20"/>
        </w:rPr>
        <w:t xml:space="preserve">                table: "Invoices",</w:t>
      </w:r>
    </w:p>
    <w:p>
      <w:pPr>
        <w:pStyle w:val="CodeBlock"/>
      </w:pPr>
      <w:r>
        <w:rPr>
          <w:rFonts w:ascii="Courier New" w:hAnsi="Courier New" w:eastAsia="Courier New" w:cs="Courier New"/>
          <w:color w:val="000000"/>
          <w:sz w:val="20"/>
        </w:rPr>
        <w:t xml:space="preserve">                column: "Number");</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 &lt;inheritdoc /&gt;</w:t>
      </w:r>
    </w:p>
    <w:p>
      <w:pPr>
        <w:pStyle w:val="CodeBlock"/>
      </w:pPr>
      <w:r>
        <w:rPr>
          <w:rFonts w:ascii="Courier New" w:hAnsi="Courier New" w:eastAsia="Courier New" w:cs="Courier New"/>
          <w:color w:val="000000"/>
          <w:sz w:val="20"/>
        </w:rPr>
        <w:t xml:space="preserve">        protected override void Down(MigrationBuilder migrationBuilder)</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migrationBuilder.DropTable(</w:t>
      </w:r>
    </w:p>
    <w:p>
      <w:pPr>
        <w:pStyle w:val="CodeBlock"/>
      </w:pPr>
      <w:r>
        <w:rPr>
          <w:rFonts w:ascii="Courier New" w:hAnsi="Courier New" w:eastAsia="Courier New" w:cs="Courier New"/>
          <w:color w:val="000000"/>
          <w:sz w:val="20"/>
        </w:rPr>
        <w:t xml:space="preserve">                name: "Invoices");</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migrationBuilder.DropTable(</w:t>
      </w:r>
    </w:p>
    <w:p>
      <w:pPr>
        <w:pStyle w:val="CodeBlock"/>
      </w:pPr>
      <w:r>
        <w:rPr>
          <w:rFonts w:ascii="Courier New" w:hAnsi="Courier New" w:eastAsia="Courier New" w:cs="Courier New"/>
          <w:color w:val="000000"/>
          <w:sz w:val="20"/>
        </w:rPr>
        <w:t xml:space="preserve">                name: "Approvals");</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w:t>
      </w:r>
    </w:p>
    <w:p>
      <w:pPr>
        <w:pStyle w:val="GOSTCaption"/>
        <w:keepNext/>
        <w:jc w:val="left"/>
      </w:pPr>
      <w:r>
        <w:rPr>
          <w:rFonts w:ascii="Times New Roman" w:hAnsi="Times New Roman" w:eastAsia="Times New Roman" w:cs="Times New Roman"/>
          <w:b w:val="0"/>
          <w:color w:val="000000"/>
          <w:sz w:val="28"/>
        </w:rPr>
        <w:t>Листинг 13 – Конфигурация шлюза YARP с маршрутами и кластерами</w:t>
      </w:r>
    </w:p>
    <w:p>
      <w:pPr>
        <w:pStyle w:val="CodeBlock"/>
      </w:pPr>
      <w:r>
        <w:rPr>
          <w:rFonts w:ascii="Courier New" w:hAnsi="Courier New" w:eastAsia="Courier New" w:cs="Courier New"/>
          <w:color w:val="000000"/>
          <w:sz w:val="20"/>
        </w:rPr>
        <w:t>{</w:t>
      </w:r>
    </w:p>
    <w:p>
      <w:pPr>
        <w:pStyle w:val="CodeBlock"/>
      </w:pPr>
      <w:r>
        <w:rPr>
          <w:rFonts w:ascii="Courier New" w:hAnsi="Courier New" w:eastAsia="Courier New" w:cs="Courier New"/>
          <w:color w:val="000000"/>
          <w:sz w:val="20"/>
        </w:rPr>
        <w:t xml:space="preserve">  "Serilog": {</w:t>
      </w:r>
    </w:p>
    <w:p>
      <w:pPr>
        <w:pStyle w:val="CodeBlock"/>
      </w:pPr>
      <w:r>
        <w:rPr>
          <w:rFonts w:ascii="Courier New" w:hAnsi="Courier New" w:eastAsia="Courier New" w:cs="Courier New"/>
          <w:color w:val="000000"/>
          <w:sz w:val="20"/>
        </w:rPr>
        <w:t xml:space="preserve">    "MinimumLevel": {</w:t>
      </w:r>
    </w:p>
    <w:p>
      <w:pPr>
        <w:pStyle w:val="CodeBlock"/>
      </w:pPr>
      <w:r>
        <w:rPr>
          <w:rFonts w:ascii="Courier New" w:hAnsi="Courier New" w:eastAsia="Courier New" w:cs="Courier New"/>
          <w:color w:val="000000"/>
          <w:sz w:val="20"/>
        </w:rPr>
        <w:t xml:space="preserve">      "Default": "Information",</w:t>
      </w:r>
    </w:p>
    <w:p>
      <w:pPr>
        <w:pStyle w:val="CodeBlock"/>
      </w:pPr>
      <w:r>
        <w:rPr>
          <w:rFonts w:ascii="Courier New" w:hAnsi="Courier New" w:eastAsia="Courier New" w:cs="Courier New"/>
          <w:color w:val="000000"/>
          <w:sz w:val="20"/>
        </w:rPr>
        <w:t xml:space="preserve">      "Override": {</w:t>
      </w:r>
    </w:p>
    <w:p>
      <w:pPr>
        <w:pStyle w:val="CodeBlock"/>
      </w:pPr>
      <w:r>
        <w:rPr>
          <w:rFonts w:ascii="Courier New" w:hAnsi="Courier New" w:eastAsia="Courier New" w:cs="Courier New"/>
          <w:color w:val="000000"/>
          <w:sz w:val="20"/>
        </w:rPr>
        <w:t xml:space="preserve">        "Microsoft.AspNetCore": "Warning",</w:t>
      </w:r>
    </w:p>
    <w:p>
      <w:pPr>
        <w:pStyle w:val="CodeBlock"/>
      </w:pPr>
      <w:r>
        <w:rPr>
          <w:rFonts w:ascii="Courier New" w:hAnsi="Courier New" w:eastAsia="Courier New" w:cs="Courier New"/>
          <w:color w:val="000000"/>
          <w:sz w:val="20"/>
        </w:rPr>
        <w:t xml:space="preserve">        "Yarp": "Information"</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"Otlp": {</w:t>
      </w:r>
    </w:p>
    <w:p>
      <w:pPr>
        <w:pStyle w:val="CodeBlock"/>
      </w:pPr>
      <w:r>
        <w:rPr>
          <w:rFonts w:ascii="Courier New" w:hAnsi="Courier New" w:eastAsia="Courier New" w:cs="Courier New"/>
          <w:color w:val="000000"/>
          <w:sz w:val="20"/>
        </w:rPr>
        <w:t xml:space="preserve">    "Endpoint": "http://grafana:4317"</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"ReverseProxy": {</w:t>
      </w:r>
    </w:p>
    <w:p>
      <w:pPr>
        <w:pStyle w:val="CodeBlock"/>
      </w:pPr>
      <w:r>
        <w:rPr>
          <w:rFonts w:ascii="Courier New" w:hAnsi="Courier New" w:eastAsia="Courier New" w:cs="Courier New"/>
          <w:color w:val="000000"/>
          <w:sz w:val="20"/>
        </w:rPr>
        <w:t xml:space="preserve">    "Routes": {</w:t>
      </w:r>
    </w:p>
    <w:p>
      <w:pPr>
        <w:pStyle w:val="CodeBlock"/>
      </w:pPr>
      <w:r>
        <w:rPr>
          <w:rFonts w:ascii="Courier New" w:hAnsi="Courier New" w:eastAsia="Courier New" w:cs="Courier New"/>
          <w:color w:val="000000"/>
          <w:sz w:val="20"/>
        </w:rPr>
        <w:t xml:space="preserve">      "auth": {</w:t>
      </w:r>
    </w:p>
    <w:p>
      <w:pPr>
        <w:pStyle w:val="CodeBlock"/>
      </w:pPr>
      <w:r>
        <w:rPr>
          <w:rFonts w:ascii="Courier New" w:hAnsi="Courier New" w:eastAsia="Courier New" w:cs="Courier New"/>
          <w:color w:val="000000"/>
          <w:sz w:val="20"/>
        </w:rPr>
        <w:t xml:space="preserve">        "ClusterId": "auth",</w:t>
      </w:r>
    </w:p>
    <w:p>
      <w:pPr>
        <w:pStyle w:val="CodeBlock"/>
      </w:pPr>
      <w:r>
        <w:rPr>
          <w:rFonts w:ascii="Courier New" w:hAnsi="Courier New" w:eastAsia="Courier New" w:cs="Courier New"/>
          <w:color w:val="000000"/>
          <w:sz w:val="20"/>
        </w:rPr>
        <w:t xml:space="preserve">        "Order": 1,</w:t>
      </w:r>
    </w:p>
    <w:p>
      <w:pPr>
        <w:pStyle w:val="CodeBlock"/>
      </w:pPr>
      <w:r>
        <w:rPr>
          <w:rFonts w:ascii="Courier New" w:hAnsi="Courier New" w:eastAsia="Courier New" w:cs="Courier New"/>
          <w:color w:val="000000"/>
          <w:sz w:val="20"/>
        </w:rPr>
        <w:t xml:space="preserve">        "Match": {</w:t>
      </w:r>
    </w:p>
    <w:p>
      <w:pPr>
        <w:pStyle w:val="CodeBlock"/>
      </w:pPr>
      <w:r>
        <w:rPr>
          <w:rFonts w:ascii="Courier New" w:hAnsi="Courier New" w:eastAsia="Courier New" w:cs="Courier New"/>
          <w:color w:val="000000"/>
          <w:sz w:val="20"/>
        </w:rPr>
        <w:t xml:space="preserve">          "Path": "/api/auth/{**rest}"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"users": {</w:t>
      </w:r>
    </w:p>
    <w:p>
      <w:pPr>
        <w:pStyle w:val="CodeBlock"/>
      </w:pPr>
      <w:r>
        <w:rPr>
          <w:rFonts w:ascii="Courier New" w:hAnsi="Courier New" w:eastAsia="Courier New" w:cs="Courier New"/>
          <w:color w:val="000000"/>
          <w:sz w:val="20"/>
        </w:rPr>
        <w:t xml:space="preserve">        "ClusterId": "auth",</w:t>
      </w:r>
    </w:p>
    <w:p>
      <w:pPr>
        <w:pStyle w:val="CodeBlock"/>
      </w:pPr>
      <w:r>
        <w:rPr>
          <w:rFonts w:ascii="Courier New" w:hAnsi="Courier New" w:eastAsia="Courier New" w:cs="Courier New"/>
          <w:color w:val="000000"/>
          <w:sz w:val="20"/>
        </w:rPr>
        <w:t xml:space="preserve">        "Order": 1,</w:t>
      </w:r>
    </w:p>
    <w:p>
      <w:pPr>
        <w:pStyle w:val="CodeBlock"/>
      </w:pPr>
      <w:r>
        <w:rPr>
          <w:rFonts w:ascii="Courier New" w:hAnsi="Courier New" w:eastAsia="Courier New" w:cs="Courier New"/>
          <w:color w:val="000000"/>
          <w:sz w:val="20"/>
        </w:rPr>
        <w:t xml:space="preserve">        "Match": {</w:t>
      </w:r>
    </w:p>
    <w:p>
      <w:pPr>
        <w:pStyle w:val="CodeBlock"/>
      </w:pPr>
      <w:r>
        <w:rPr>
          <w:rFonts w:ascii="Courier New" w:hAnsi="Courier New" w:eastAsia="Courier New" w:cs="Courier New"/>
          <w:color w:val="000000"/>
          <w:sz w:val="20"/>
        </w:rPr>
        <w:t xml:space="preserve">          "Path": "/api/users/{**rest}"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"catalog-catalog": {</w:t>
      </w:r>
    </w:p>
    <w:p>
      <w:pPr>
        <w:pStyle w:val="CodeBlock"/>
      </w:pPr>
      <w:r>
        <w:rPr>
          <w:rFonts w:ascii="Courier New" w:hAnsi="Courier New" w:eastAsia="Courier New" w:cs="Courier New"/>
          <w:color w:val="000000"/>
          <w:sz w:val="20"/>
        </w:rPr>
        <w:t xml:space="preserve">        "ClusterId": "catalog",</w:t>
      </w:r>
    </w:p>
    <w:p>
      <w:pPr>
        <w:pStyle w:val="CodeBlock"/>
      </w:pPr>
      <w:r>
        <w:rPr>
          <w:rFonts w:ascii="Courier New" w:hAnsi="Courier New" w:eastAsia="Courier New" w:cs="Courier New"/>
          <w:color w:val="000000"/>
          <w:sz w:val="20"/>
        </w:rPr>
        <w:t xml:space="preserve">        "Order": 10,</w:t>
      </w:r>
    </w:p>
    <w:p>
      <w:pPr>
        <w:pStyle w:val="CodeBlock"/>
      </w:pPr>
      <w:r>
        <w:rPr>
          <w:rFonts w:ascii="Courier New" w:hAnsi="Courier New" w:eastAsia="Courier New" w:cs="Courier New"/>
          <w:color w:val="000000"/>
          <w:sz w:val="20"/>
        </w:rPr>
        <w:t xml:space="preserve">        "Match": {</w:t>
      </w:r>
    </w:p>
    <w:p>
      <w:pPr>
        <w:pStyle w:val="CodeBlock"/>
      </w:pPr>
      <w:r>
        <w:rPr>
          <w:rFonts w:ascii="Courier New" w:hAnsi="Courier New" w:eastAsia="Courier New" w:cs="Courier New"/>
          <w:color w:val="000000"/>
          <w:sz w:val="20"/>
        </w:rPr>
        <w:t xml:space="preserve">          "Path": "/api/catalog/{**rest}"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"catalog-products": {</w:t>
      </w:r>
    </w:p>
    <w:p>
      <w:pPr>
        <w:pStyle w:val="CodeBlock"/>
      </w:pPr>
      <w:r>
        <w:rPr>
          <w:rFonts w:ascii="Courier New" w:hAnsi="Courier New" w:eastAsia="Courier New" w:cs="Courier New"/>
          <w:color w:val="000000"/>
          <w:sz w:val="20"/>
        </w:rPr>
        <w:t xml:space="preserve">        "ClusterId": "catalog",</w:t>
      </w:r>
    </w:p>
    <w:p>
      <w:pPr>
        <w:pStyle w:val="CodeBlock"/>
      </w:pPr>
      <w:r>
        <w:rPr>
          <w:rFonts w:ascii="Courier New" w:hAnsi="Courier New" w:eastAsia="Courier New" w:cs="Courier New"/>
          <w:color w:val="000000"/>
          <w:sz w:val="20"/>
        </w:rPr>
        <w:t xml:space="preserve">        "Order": 10,</w:t>
      </w:r>
    </w:p>
    <w:p>
      <w:pPr>
        <w:pStyle w:val="CodeBlock"/>
      </w:pPr>
      <w:r>
        <w:rPr>
          <w:rFonts w:ascii="Courier New" w:hAnsi="Courier New" w:eastAsia="Courier New" w:cs="Courier New"/>
          <w:color w:val="000000"/>
          <w:sz w:val="20"/>
        </w:rPr>
        <w:t xml:space="preserve">        "Match": {</w:t>
      </w:r>
    </w:p>
    <w:p>
      <w:pPr>
        <w:pStyle w:val="CodeBlock"/>
      </w:pPr>
      <w:r>
        <w:rPr>
          <w:rFonts w:ascii="Courier New" w:hAnsi="Courier New" w:eastAsia="Courier New" w:cs="Courier New"/>
          <w:color w:val="000000"/>
          <w:sz w:val="20"/>
        </w:rPr>
        <w:t xml:space="preserve">          "Path": "/api/products/{**rest}"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"catalog-vendors": {</w:t>
      </w:r>
    </w:p>
    <w:p>
      <w:pPr>
        <w:pStyle w:val="CodeBlock"/>
      </w:pPr>
      <w:r>
        <w:rPr>
          <w:rFonts w:ascii="Courier New" w:hAnsi="Courier New" w:eastAsia="Courier New" w:cs="Courier New"/>
          <w:color w:val="000000"/>
          <w:sz w:val="20"/>
        </w:rPr>
        <w:t xml:space="preserve">        "ClusterId": "catalog",</w:t>
      </w:r>
    </w:p>
    <w:p>
      <w:pPr>
        <w:pStyle w:val="CodeBlock"/>
      </w:pPr>
      <w:r>
        <w:rPr>
          <w:rFonts w:ascii="Courier New" w:hAnsi="Courier New" w:eastAsia="Courier New" w:cs="Courier New"/>
          <w:color w:val="000000"/>
          <w:sz w:val="20"/>
        </w:rPr>
        <w:t xml:space="preserve">        "Order": 10,</w:t>
      </w:r>
    </w:p>
    <w:p>
      <w:pPr>
        <w:pStyle w:val="CodeBlock"/>
      </w:pPr>
      <w:r>
        <w:rPr>
          <w:rFonts w:ascii="Courier New" w:hAnsi="Courier New" w:eastAsia="Courier New" w:cs="Courier New"/>
          <w:color w:val="000000"/>
          <w:sz w:val="20"/>
        </w:rPr>
        <w:t xml:space="preserve">        "Match": {</w:t>
      </w:r>
    </w:p>
    <w:p>
      <w:pPr>
        <w:pStyle w:val="CodeBlock"/>
      </w:pPr>
      <w:r>
        <w:rPr>
          <w:rFonts w:ascii="Courier New" w:hAnsi="Courier New" w:eastAsia="Courier New" w:cs="Courier New"/>
          <w:color w:val="000000"/>
          <w:sz w:val="20"/>
        </w:rPr>
        <w:t xml:space="preserve">          "Path": "/api/vendors/{**rest}"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"catalog-manufacturers": {</w:t>
      </w:r>
    </w:p>
    <w:p>
      <w:pPr>
        <w:pStyle w:val="CodeBlock"/>
      </w:pPr>
      <w:r>
        <w:rPr>
          <w:rFonts w:ascii="Courier New" w:hAnsi="Courier New" w:eastAsia="Courier New" w:cs="Courier New"/>
          <w:color w:val="000000"/>
          <w:sz w:val="20"/>
        </w:rPr>
        <w:t xml:space="preserve">        "ClusterId": "catalog",</w:t>
      </w:r>
    </w:p>
    <w:p>
      <w:pPr>
        <w:pStyle w:val="CodeBlock"/>
      </w:pPr>
      <w:r>
        <w:rPr>
          <w:rFonts w:ascii="Courier New" w:hAnsi="Courier New" w:eastAsia="Courier New" w:cs="Courier New"/>
          <w:color w:val="000000"/>
          <w:sz w:val="20"/>
        </w:rPr>
        <w:t xml:space="preserve">        "Order": 10,</w:t>
      </w:r>
    </w:p>
    <w:p>
      <w:pPr>
        <w:pStyle w:val="CodeBlock"/>
      </w:pPr>
      <w:r>
        <w:rPr>
          <w:rFonts w:ascii="Courier New" w:hAnsi="Courier New" w:eastAsia="Courier New" w:cs="Courier New"/>
          <w:color w:val="000000"/>
          <w:sz w:val="20"/>
        </w:rPr>
        <w:t xml:space="preserve">        "Match": {</w:t>
      </w:r>
    </w:p>
    <w:p>
      <w:pPr>
        <w:pStyle w:val="CodeBlock"/>
      </w:pPr>
      <w:r>
        <w:rPr>
          <w:rFonts w:ascii="Courier New" w:hAnsi="Courier New" w:eastAsia="Courier New" w:cs="Courier New"/>
          <w:color w:val="000000"/>
          <w:sz w:val="20"/>
        </w:rPr>
        <w:t xml:space="preserve">          "Path": "/api/manufacturers/{**rest}"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"catalog-pricelist": {</w:t>
      </w:r>
    </w:p>
    <w:p>
      <w:pPr>
        <w:pStyle w:val="CodeBlock"/>
      </w:pPr>
      <w:r>
        <w:rPr>
          <w:rFonts w:ascii="Courier New" w:hAnsi="Courier New" w:eastAsia="Courier New" w:cs="Courier New"/>
          <w:color w:val="000000"/>
          <w:sz w:val="20"/>
        </w:rPr>
        <w:t xml:space="preserve">        "ClusterId": "catalog",</w:t>
      </w:r>
    </w:p>
    <w:p>
      <w:pPr>
        <w:pStyle w:val="CodeBlock"/>
      </w:pPr>
      <w:r>
        <w:rPr>
          <w:rFonts w:ascii="Courier New" w:hAnsi="Courier New" w:eastAsia="Courier New" w:cs="Courier New"/>
          <w:color w:val="000000"/>
          <w:sz w:val="20"/>
        </w:rPr>
        <w:t xml:space="preserve">        "Order": 10,</w:t>
      </w:r>
    </w:p>
    <w:p>
      <w:pPr>
        <w:pStyle w:val="CodeBlock"/>
      </w:pPr>
      <w:r>
        <w:rPr>
          <w:rFonts w:ascii="Courier New" w:hAnsi="Courier New" w:eastAsia="Courier New" w:cs="Courier New"/>
          <w:color w:val="000000"/>
          <w:sz w:val="20"/>
        </w:rPr>
        <w:t xml:space="preserve">        "Match": {</w:t>
      </w:r>
    </w:p>
    <w:p>
      <w:pPr>
        <w:pStyle w:val="CodeBlock"/>
      </w:pPr>
      <w:r>
        <w:rPr>
          <w:rFonts w:ascii="Courier New" w:hAnsi="Courier New" w:eastAsia="Courier New" w:cs="Courier New"/>
          <w:color w:val="000000"/>
          <w:sz w:val="20"/>
        </w:rPr>
        <w:t xml:space="preserve">          "Path": "/api/pricelist/{**rest}"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"catalog-discounts": {</w:t>
      </w:r>
    </w:p>
    <w:p>
      <w:pPr>
        <w:pStyle w:val="CodeBlock"/>
      </w:pPr>
      <w:r>
        <w:rPr>
          <w:rFonts w:ascii="Courier New" w:hAnsi="Courier New" w:eastAsia="Courier New" w:cs="Courier New"/>
          <w:color w:val="000000"/>
          <w:sz w:val="20"/>
        </w:rPr>
        <w:t xml:space="preserve">        "ClusterId": "catalog",</w:t>
      </w:r>
    </w:p>
    <w:p>
      <w:pPr>
        <w:pStyle w:val="CodeBlock"/>
      </w:pPr>
      <w:r>
        <w:rPr>
          <w:rFonts w:ascii="Courier New" w:hAnsi="Courier New" w:eastAsia="Courier New" w:cs="Courier New"/>
          <w:color w:val="000000"/>
          <w:sz w:val="20"/>
        </w:rPr>
        <w:t xml:space="preserve">        "Order": 10,</w:t>
      </w:r>
    </w:p>
    <w:p>
      <w:pPr>
        <w:pStyle w:val="CodeBlock"/>
      </w:pPr>
      <w:r>
        <w:rPr>
          <w:rFonts w:ascii="Courier New" w:hAnsi="Courier New" w:eastAsia="Courier New" w:cs="Courier New"/>
          <w:color w:val="000000"/>
          <w:sz w:val="20"/>
        </w:rPr>
        <w:t xml:space="preserve">        "Match": {</w:t>
      </w:r>
    </w:p>
    <w:p>
      <w:pPr>
        <w:pStyle w:val="CodeBlock"/>
      </w:pPr>
      <w:r>
        <w:rPr>
          <w:rFonts w:ascii="Courier New" w:hAnsi="Courier New" w:eastAsia="Courier New" w:cs="Courier New"/>
          <w:color w:val="000000"/>
          <w:sz w:val="20"/>
        </w:rPr>
        <w:t xml:space="preserve">          "Path": "/api/discounts/{**rest}"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"matching": {</w:t>
      </w:r>
    </w:p>
    <w:p>
      <w:pPr>
        <w:pStyle w:val="CodeBlock"/>
      </w:pPr>
      <w:r>
        <w:rPr>
          <w:rFonts w:ascii="Courier New" w:hAnsi="Courier New" w:eastAsia="Courier New" w:cs="Courier New"/>
          <w:color w:val="000000"/>
          <w:sz w:val="20"/>
        </w:rPr>
        <w:t xml:space="preserve">        "ClusterId": "matching",</w:t>
      </w:r>
    </w:p>
    <w:p>
      <w:pPr>
        <w:pStyle w:val="CodeBlock"/>
      </w:pPr>
      <w:r>
        <w:rPr>
          <w:rFonts w:ascii="Courier New" w:hAnsi="Courier New" w:eastAsia="Courier New" w:cs="Courier New"/>
          <w:color w:val="000000"/>
          <w:sz w:val="20"/>
        </w:rPr>
        <w:t xml:space="preserve">        "Order": 5,</w:t>
      </w:r>
    </w:p>
    <w:p>
      <w:pPr>
        <w:pStyle w:val="CodeBlock"/>
      </w:pPr>
      <w:r>
        <w:rPr>
          <w:rFonts w:ascii="Courier New" w:hAnsi="Courier New" w:eastAsia="Courier New" w:cs="Courier New"/>
          <w:color w:val="000000"/>
          <w:sz w:val="20"/>
        </w:rPr>
        <w:t xml:space="preserve">        "Match": {</w:t>
      </w:r>
    </w:p>
    <w:p>
      <w:pPr>
        <w:pStyle w:val="CodeBlock"/>
      </w:pPr>
      <w:r>
        <w:rPr>
          <w:rFonts w:ascii="Courier New" w:hAnsi="Courier New" w:eastAsia="Courier New" w:cs="Courier New"/>
          <w:color w:val="000000"/>
          <w:sz w:val="20"/>
        </w:rPr>
        <w:t xml:space="preserve">          "Path": "/api/matching/{**rest}"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"matching-spec-root": {</w:t>
      </w:r>
    </w:p>
    <w:p>
      <w:pPr>
        <w:pStyle w:val="CodeBlock"/>
      </w:pPr>
      <w:r>
        <w:rPr>
          <w:rFonts w:ascii="Courier New" w:hAnsi="Courier New" w:eastAsia="Courier New" w:cs="Courier New"/>
          <w:color w:val="000000"/>
          <w:sz w:val="20"/>
        </w:rPr>
        <w:t xml:space="preserve">        "ClusterId": "matching",</w:t>
      </w:r>
    </w:p>
    <w:p>
      <w:pPr>
        <w:pStyle w:val="CodeBlock"/>
      </w:pPr>
      <w:r>
        <w:rPr>
          <w:rFonts w:ascii="Courier New" w:hAnsi="Courier New" w:eastAsia="Courier New" w:cs="Courier New"/>
          <w:color w:val="000000"/>
          <w:sz w:val="20"/>
        </w:rPr>
        <w:t xml:space="preserve">        "Order": 5,</w:t>
      </w:r>
    </w:p>
    <w:p>
      <w:pPr>
        <w:pStyle w:val="CodeBlock"/>
      </w:pPr>
      <w:r>
        <w:rPr>
          <w:rFonts w:ascii="Courier New" w:hAnsi="Courier New" w:eastAsia="Courier New" w:cs="Courier New"/>
          <w:color w:val="000000"/>
          <w:sz w:val="20"/>
        </w:rPr>
        <w:t xml:space="preserve">        "Match": {</w:t>
      </w:r>
    </w:p>
    <w:p>
      <w:pPr>
        <w:pStyle w:val="CodeBlock"/>
      </w:pPr>
      <w:r>
        <w:rPr>
          <w:rFonts w:ascii="Courier New" w:hAnsi="Courier New" w:eastAsia="Courier New" w:cs="Courier New"/>
          <w:color w:val="000000"/>
          <w:sz w:val="20"/>
        </w:rPr>
        <w:t xml:space="preserve">          "Path": "/api/specifications/{specId}/match"</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"matching-spec-rest": {</w:t>
      </w:r>
    </w:p>
    <w:p>
      <w:pPr>
        <w:pStyle w:val="CodeBlock"/>
      </w:pPr>
      <w:r>
        <w:rPr>
          <w:rFonts w:ascii="Courier New" w:hAnsi="Courier New" w:eastAsia="Courier New" w:cs="Courier New"/>
          <w:color w:val="000000"/>
          <w:sz w:val="20"/>
        </w:rPr>
        <w:t xml:space="preserve">        "ClusterId": "matching",</w:t>
      </w:r>
    </w:p>
    <w:p>
      <w:pPr>
        <w:pStyle w:val="CodeBlock"/>
      </w:pPr>
      <w:r>
        <w:rPr>
          <w:rFonts w:ascii="Courier New" w:hAnsi="Courier New" w:eastAsia="Courier New" w:cs="Courier New"/>
          <w:color w:val="000000"/>
          <w:sz w:val="20"/>
        </w:rPr>
        <w:t xml:space="preserve">        "Order": 5,</w:t>
      </w:r>
    </w:p>
    <w:p>
      <w:pPr>
        <w:pStyle w:val="CodeBlock"/>
      </w:pPr>
      <w:r>
        <w:rPr>
          <w:rFonts w:ascii="Courier New" w:hAnsi="Courier New" w:eastAsia="Courier New" w:cs="Courier New"/>
          <w:color w:val="000000"/>
          <w:sz w:val="20"/>
        </w:rPr>
        <w:t xml:space="preserve">        "Match": {</w:t>
      </w:r>
    </w:p>
    <w:p>
      <w:pPr>
        <w:pStyle w:val="CodeBlock"/>
      </w:pPr>
      <w:r>
        <w:rPr>
          <w:rFonts w:ascii="Courier New" w:hAnsi="Courier New" w:eastAsia="Courier New" w:cs="Courier New"/>
          <w:color w:val="000000"/>
          <w:sz w:val="20"/>
        </w:rPr>
        <w:t xml:space="preserve">          "Path": "/api/specifications/{specId}/match/{**rest}"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"quoting-specifications": {</w:t>
      </w:r>
    </w:p>
    <w:p>
      <w:pPr>
        <w:pStyle w:val="CodeBlock"/>
      </w:pPr>
      <w:r>
        <w:rPr>
          <w:rFonts w:ascii="Courier New" w:hAnsi="Courier New" w:eastAsia="Courier New" w:cs="Courier New"/>
          <w:color w:val="000000"/>
          <w:sz w:val="20"/>
        </w:rPr>
        <w:t xml:space="preserve">        "ClusterId": "quoting",</w:t>
      </w:r>
    </w:p>
    <w:p>
      <w:pPr>
        <w:pStyle w:val="CodeBlock"/>
      </w:pPr>
      <w:r>
        <w:rPr>
          <w:rFonts w:ascii="Courier New" w:hAnsi="Courier New" w:eastAsia="Courier New" w:cs="Courier New"/>
          <w:color w:val="000000"/>
          <w:sz w:val="20"/>
        </w:rPr>
        <w:t xml:space="preserve">        "Order": 10,</w:t>
      </w:r>
    </w:p>
    <w:p>
      <w:pPr>
        <w:pStyle w:val="CodeBlock"/>
      </w:pPr>
      <w:r>
        <w:rPr>
          <w:rFonts w:ascii="Courier New" w:hAnsi="Courier New" w:eastAsia="Courier New" w:cs="Courier New"/>
          <w:color w:val="000000"/>
          <w:sz w:val="20"/>
        </w:rPr>
        <w:t xml:space="preserve">        "Match": {</w:t>
      </w:r>
    </w:p>
    <w:p>
      <w:pPr>
        <w:pStyle w:val="CodeBlock"/>
      </w:pPr>
      <w:r>
        <w:rPr>
          <w:rFonts w:ascii="Courier New" w:hAnsi="Courier New" w:eastAsia="Courier New" w:cs="Courier New"/>
          <w:color w:val="000000"/>
          <w:sz w:val="20"/>
        </w:rPr>
        <w:t xml:space="preserve">          "Path": "/api/specifications/{**rest}"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"commercial-approvals": {</w:t>
      </w:r>
    </w:p>
    <w:p>
      <w:pPr>
        <w:pStyle w:val="CodeBlock"/>
      </w:pPr>
      <w:r>
        <w:rPr>
          <w:rFonts w:ascii="Courier New" w:hAnsi="Courier New" w:eastAsia="Courier New" w:cs="Courier New"/>
          <w:color w:val="000000"/>
          <w:sz w:val="20"/>
        </w:rPr>
        <w:t xml:space="preserve">        "ClusterId": "commercial",</w:t>
      </w:r>
    </w:p>
    <w:p>
      <w:pPr>
        <w:pStyle w:val="CodeBlock"/>
      </w:pPr>
      <w:r>
        <w:rPr>
          <w:rFonts w:ascii="Courier New" w:hAnsi="Courier New" w:eastAsia="Courier New" w:cs="Courier New"/>
          <w:color w:val="000000"/>
          <w:sz w:val="20"/>
        </w:rPr>
        <w:t xml:space="preserve">        "Order": 10,</w:t>
      </w:r>
    </w:p>
    <w:p>
      <w:pPr>
        <w:pStyle w:val="CodeBlock"/>
      </w:pPr>
      <w:r>
        <w:rPr>
          <w:rFonts w:ascii="Courier New" w:hAnsi="Courier New" w:eastAsia="Courier New" w:cs="Courier New"/>
          <w:color w:val="000000"/>
          <w:sz w:val="20"/>
        </w:rPr>
        <w:t xml:space="preserve">        "Match": {</w:t>
      </w:r>
    </w:p>
    <w:p>
      <w:pPr>
        <w:pStyle w:val="CodeBlock"/>
      </w:pPr>
      <w:r>
        <w:rPr>
          <w:rFonts w:ascii="Courier New" w:hAnsi="Courier New" w:eastAsia="Courier New" w:cs="Courier New"/>
          <w:color w:val="000000"/>
          <w:sz w:val="20"/>
        </w:rPr>
        <w:t xml:space="preserve">          "Path": "/api/approvals/{**rest}"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"commercial-invoices": {</w:t>
      </w:r>
    </w:p>
    <w:p>
      <w:pPr>
        <w:pStyle w:val="CodeBlock"/>
      </w:pPr>
      <w:r>
        <w:rPr>
          <w:rFonts w:ascii="Courier New" w:hAnsi="Courier New" w:eastAsia="Courier New" w:cs="Courier New"/>
          <w:color w:val="000000"/>
          <w:sz w:val="20"/>
        </w:rPr>
        <w:t xml:space="preserve">        "ClusterId": "commercial",</w:t>
      </w:r>
    </w:p>
    <w:p>
      <w:pPr>
        <w:pStyle w:val="CodeBlock"/>
      </w:pPr>
      <w:r>
        <w:rPr>
          <w:rFonts w:ascii="Courier New" w:hAnsi="Courier New" w:eastAsia="Courier New" w:cs="Courier New"/>
          <w:color w:val="000000"/>
          <w:sz w:val="20"/>
        </w:rPr>
        <w:t xml:space="preserve">        "Order": 10,</w:t>
      </w:r>
    </w:p>
    <w:p>
      <w:pPr>
        <w:pStyle w:val="CodeBlock"/>
      </w:pPr>
      <w:r>
        <w:rPr>
          <w:rFonts w:ascii="Courier New" w:hAnsi="Courier New" w:eastAsia="Courier New" w:cs="Courier New"/>
          <w:color w:val="000000"/>
          <w:sz w:val="20"/>
        </w:rPr>
        <w:t xml:space="preserve">        "Match": {</w:t>
      </w:r>
    </w:p>
    <w:p>
      <w:pPr>
        <w:pStyle w:val="CodeBlock"/>
      </w:pPr>
      <w:r>
        <w:rPr>
          <w:rFonts w:ascii="Courier New" w:hAnsi="Courier New" w:eastAsia="Courier New" w:cs="Courier New"/>
          <w:color w:val="000000"/>
          <w:sz w:val="20"/>
        </w:rPr>
        <w:t xml:space="preserve">          "Path": "/api/invoices/{**rest}"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"ordering-orders": {</w:t>
      </w:r>
    </w:p>
    <w:p>
      <w:pPr>
        <w:pStyle w:val="CodeBlock"/>
      </w:pPr>
      <w:r>
        <w:rPr>
          <w:rFonts w:ascii="Courier New" w:hAnsi="Courier New" w:eastAsia="Courier New" w:cs="Courier New"/>
          <w:color w:val="000000"/>
          <w:sz w:val="20"/>
        </w:rPr>
        <w:t xml:space="preserve">        "ClusterId": "ordering",</w:t>
      </w:r>
    </w:p>
    <w:p>
      <w:pPr>
        <w:pStyle w:val="CodeBlock"/>
      </w:pPr>
      <w:r>
        <w:rPr>
          <w:rFonts w:ascii="Courier New" w:hAnsi="Courier New" w:eastAsia="Courier New" w:cs="Courier New"/>
          <w:color w:val="000000"/>
          <w:sz w:val="20"/>
        </w:rPr>
        <w:t xml:space="preserve">        "Order": 10,</w:t>
      </w:r>
    </w:p>
    <w:p>
      <w:pPr>
        <w:pStyle w:val="CodeBlock"/>
      </w:pPr>
      <w:r>
        <w:rPr>
          <w:rFonts w:ascii="Courier New" w:hAnsi="Courier New" w:eastAsia="Courier New" w:cs="Courier New"/>
          <w:color w:val="000000"/>
          <w:sz w:val="20"/>
        </w:rPr>
        <w:t xml:space="preserve">        "Match": {</w:t>
      </w:r>
    </w:p>
    <w:p>
      <w:pPr>
        <w:pStyle w:val="CodeBlock"/>
      </w:pPr>
      <w:r>
        <w:rPr>
          <w:rFonts w:ascii="Courier New" w:hAnsi="Courier New" w:eastAsia="Courier New" w:cs="Courier New"/>
          <w:color w:val="000000"/>
          <w:sz w:val="20"/>
        </w:rPr>
        <w:t xml:space="preserve">          "Path": "/api/orders/{**rest}"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"logistics-receipts": {</w:t>
      </w:r>
    </w:p>
    <w:p>
      <w:pPr>
        <w:pStyle w:val="CodeBlock"/>
      </w:pPr>
      <w:r>
        <w:rPr>
          <w:rFonts w:ascii="Courier New" w:hAnsi="Courier New" w:eastAsia="Courier New" w:cs="Courier New"/>
          <w:color w:val="000000"/>
          <w:sz w:val="20"/>
        </w:rPr>
        <w:t xml:space="preserve">        "ClusterId": "logistics",</w:t>
      </w:r>
    </w:p>
    <w:p>
      <w:pPr>
        <w:pStyle w:val="CodeBlock"/>
      </w:pPr>
      <w:r>
        <w:rPr>
          <w:rFonts w:ascii="Courier New" w:hAnsi="Courier New" w:eastAsia="Courier New" w:cs="Courier New"/>
          <w:color w:val="000000"/>
          <w:sz w:val="20"/>
        </w:rPr>
        <w:t xml:space="preserve">        "Order": 10,</w:t>
      </w:r>
    </w:p>
    <w:p>
      <w:pPr>
        <w:pStyle w:val="CodeBlock"/>
      </w:pPr>
      <w:r>
        <w:rPr>
          <w:rFonts w:ascii="Courier New" w:hAnsi="Courier New" w:eastAsia="Courier New" w:cs="Courier New"/>
          <w:color w:val="000000"/>
          <w:sz w:val="20"/>
        </w:rPr>
        <w:t xml:space="preserve">        "Match": {</w:t>
      </w:r>
    </w:p>
    <w:p>
      <w:pPr>
        <w:pStyle w:val="CodeBlock"/>
      </w:pPr>
      <w:r>
        <w:rPr>
          <w:rFonts w:ascii="Courier New" w:hAnsi="Courier New" w:eastAsia="Courier New" w:cs="Courier New"/>
          <w:color w:val="000000"/>
          <w:sz w:val="20"/>
        </w:rPr>
        <w:t xml:space="preserve">          "Path": "/api/receipts/{**rest}"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"notifications": {</w:t>
      </w:r>
    </w:p>
    <w:p>
      <w:pPr>
        <w:pStyle w:val="CodeBlock"/>
      </w:pPr>
      <w:r>
        <w:rPr>
          <w:rFonts w:ascii="Courier New" w:hAnsi="Courier New" w:eastAsia="Courier New" w:cs="Courier New"/>
          <w:color w:val="000000"/>
          <w:sz w:val="20"/>
        </w:rPr>
        <w:t xml:space="preserve">        "ClusterId": "notifications",</w:t>
      </w:r>
    </w:p>
    <w:p>
      <w:pPr>
        <w:pStyle w:val="CodeBlock"/>
      </w:pPr>
      <w:r>
        <w:rPr>
          <w:rFonts w:ascii="Courier New" w:hAnsi="Courier New" w:eastAsia="Courier New" w:cs="Courier New"/>
          <w:color w:val="000000"/>
          <w:sz w:val="20"/>
        </w:rPr>
        <w:t xml:space="preserve">        "Order": 10,</w:t>
      </w:r>
    </w:p>
    <w:p>
      <w:pPr>
        <w:pStyle w:val="CodeBlock"/>
      </w:pPr>
      <w:r>
        <w:rPr>
          <w:rFonts w:ascii="Courier New" w:hAnsi="Courier New" w:eastAsia="Courier New" w:cs="Courier New"/>
          <w:color w:val="000000"/>
          <w:sz w:val="20"/>
        </w:rPr>
        <w:t xml:space="preserve">        "Match": {</w:t>
      </w:r>
    </w:p>
    <w:p>
      <w:pPr>
        <w:pStyle w:val="CodeBlock"/>
      </w:pPr>
      <w:r>
        <w:rPr>
          <w:rFonts w:ascii="Courier New" w:hAnsi="Courier New" w:eastAsia="Courier New" w:cs="Courier New"/>
          <w:color w:val="000000"/>
          <w:sz w:val="20"/>
        </w:rPr>
        <w:t xml:space="preserve">          "Path": "/api/notifications/{**rest}"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"retail": {</w:t>
      </w:r>
    </w:p>
    <w:p>
      <w:pPr>
        <w:pStyle w:val="CodeBlock"/>
      </w:pPr>
      <w:r>
        <w:rPr>
          <w:rFonts w:ascii="Courier New" w:hAnsi="Courier New" w:eastAsia="Courier New" w:cs="Courier New"/>
          <w:color w:val="000000"/>
          <w:sz w:val="20"/>
        </w:rPr>
        <w:t xml:space="preserve">        "ClusterId": "retail",</w:t>
      </w:r>
    </w:p>
    <w:p>
      <w:pPr>
        <w:pStyle w:val="CodeBlock"/>
      </w:pPr>
      <w:r>
        <w:rPr>
          <w:rFonts w:ascii="Courier New" w:hAnsi="Courier New" w:eastAsia="Courier New" w:cs="Courier New"/>
          <w:color w:val="000000"/>
          <w:sz w:val="20"/>
        </w:rPr>
        <w:t xml:space="preserve">        "Order": 10,</w:t>
      </w:r>
    </w:p>
    <w:p>
      <w:pPr>
        <w:pStyle w:val="CodeBlock"/>
      </w:pPr>
      <w:r>
        <w:rPr>
          <w:rFonts w:ascii="Courier New" w:hAnsi="Courier New" w:eastAsia="Courier New" w:cs="Courier New"/>
          <w:color w:val="000000"/>
          <w:sz w:val="20"/>
        </w:rPr>
        <w:t xml:space="preserve">        "Match": {</w:t>
      </w:r>
    </w:p>
    <w:p>
      <w:pPr>
        <w:pStyle w:val="CodeBlock"/>
      </w:pPr>
      <w:r>
        <w:rPr>
          <w:rFonts w:ascii="Courier New" w:hAnsi="Courier New" w:eastAsia="Courier New" w:cs="Courier New"/>
          <w:color w:val="000000"/>
          <w:sz w:val="20"/>
        </w:rPr>
        <w:t xml:space="preserve">          "Path": "/api/retail/{**rest}"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"monolith": {</w:t>
      </w:r>
    </w:p>
    <w:p>
      <w:pPr>
        <w:pStyle w:val="CodeBlock"/>
      </w:pPr>
      <w:r>
        <w:rPr>
          <w:rFonts w:ascii="Courier New" w:hAnsi="Courier New" w:eastAsia="Courier New" w:cs="Courier New"/>
          <w:color w:val="000000"/>
          <w:sz w:val="20"/>
        </w:rPr>
        <w:t xml:space="preserve">        "ClusterId": "monolith",</w:t>
      </w:r>
    </w:p>
    <w:p>
      <w:pPr>
        <w:pStyle w:val="CodeBlock"/>
      </w:pPr>
      <w:r>
        <w:rPr>
          <w:rFonts w:ascii="Courier New" w:hAnsi="Courier New" w:eastAsia="Courier New" w:cs="Courier New"/>
          <w:color w:val="000000"/>
          <w:sz w:val="20"/>
        </w:rPr>
        <w:t xml:space="preserve">        "Order": 100,</w:t>
      </w:r>
    </w:p>
    <w:p>
      <w:pPr>
        <w:pStyle w:val="CodeBlock"/>
      </w:pPr>
      <w:r>
        <w:rPr>
          <w:rFonts w:ascii="Courier New" w:hAnsi="Courier New" w:eastAsia="Courier New" w:cs="Courier New"/>
          <w:color w:val="000000"/>
          <w:sz w:val="20"/>
        </w:rPr>
        <w:t xml:space="preserve">        "Match": {</w:t>
      </w:r>
    </w:p>
    <w:p>
      <w:pPr>
        <w:pStyle w:val="CodeBlock"/>
      </w:pPr>
      <w:r>
        <w:rPr>
          <w:rFonts w:ascii="Courier New" w:hAnsi="Courier New" w:eastAsia="Courier New" w:cs="Courier New"/>
          <w:color w:val="000000"/>
          <w:sz w:val="20"/>
        </w:rPr>
        <w:t xml:space="preserve">          "Path": "/api/{**rest}"</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"Clusters": {</w:t>
      </w:r>
    </w:p>
    <w:p>
      <w:pPr>
        <w:pStyle w:val="CodeBlock"/>
      </w:pPr>
      <w:r>
        <w:rPr>
          <w:rFonts w:ascii="Courier New" w:hAnsi="Courier New" w:eastAsia="Courier New" w:cs="Courier New"/>
          <w:color w:val="000000"/>
          <w:sz w:val="20"/>
        </w:rPr>
        <w:t xml:space="preserve">      "auth": {</w:t>
      </w:r>
    </w:p>
    <w:p>
      <w:pPr>
        <w:pStyle w:val="CodeBlock"/>
      </w:pPr>
      <w:r>
        <w:rPr>
          <w:rFonts w:ascii="Courier New" w:hAnsi="Courier New" w:eastAsia="Courier New" w:cs="Courier New"/>
          <w:color w:val="000000"/>
          <w:sz w:val="20"/>
        </w:rPr>
        <w:t xml:space="preserve">        "Destinations": {</w:t>
      </w:r>
    </w:p>
    <w:p>
      <w:pPr>
        <w:pStyle w:val="CodeBlock"/>
      </w:pPr>
      <w:r>
        <w:rPr>
          <w:rFonts w:ascii="Courier New" w:hAnsi="Courier New" w:eastAsia="Courier New" w:cs="Courier New"/>
          <w:color w:val="000000"/>
          <w:sz w:val="20"/>
        </w:rPr>
        <w:t xml:space="preserve">          "auth-1": {</w:t>
      </w:r>
    </w:p>
    <w:p>
      <w:pPr>
        <w:pStyle w:val="CodeBlock"/>
      </w:pPr>
      <w:r>
        <w:rPr>
          <w:rFonts w:ascii="Courier New" w:hAnsi="Courier New" w:eastAsia="Courier New" w:cs="Courier New"/>
          <w:color w:val="000000"/>
          <w:sz w:val="20"/>
        </w:rPr>
        <w:t xml:space="preserve">            "Address": "http://auth:8080/"</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"monolith": {</w:t>
      </w:r>
    </w:p>
    <w:p>
      <w:pPr>
        <w:pStyle w:val="CodeBlock"/>
      </w:pPr>
      <w:r>
        <w:rPr>
          <w:rFonts w:ascii="Courier New" w:hAnsi="Courier New" w:eastAsia="Courier New" w:cs="Courier New"/>
          <w:color w:val="000000"/>
          <w:sz w:val="20"/>
        </w:rPr>
        <w:t xml:space="preserve">        "Destinations": {</w:t>
      </w:r>
    </w:p>
    <w:p>
      <w:pPr>
        <w:pStyle w:val="CodeBlock"/>
      </w:pPr>
      <w:r>
        <w:rPr>
          <w:rFonts w:ascii="Courier New" w:hAnsi="Courier New" w:eastAsia="Courier New" w:cs="Courier New"/>
          <w:color w:val="000000"/>
          <w:sz w:val="20"/>
        </w:rPr>
        <w:t xml:space="preserve">          "monolith-1": {</w:t>
      </w:r>
    </w:p>
    <w:p>
      <w:pPr>
        <w:pStyle w:val="CodeBlock"/>
      </w:pPr>
      <w:r>
        <w:rPr>
          <w:rFonts w:ascii="Courier New" w:hAnsi="Courier New" w:eastAsia="Courier New" w:cs="Courier New"/>
          <w:color w:val="000000"/>
          <w:sz w:val="20"/>
        </w:rPr>
        <w:t xml:space="preserve">            "Address": "http://api:8080/"</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"catalog": {</w:t>
      </w:r>
    </w:p>
    <w:p>
      <w:pPr>
        <w:pStyle w:val="CodeBlock"/>
      </w:pPr>
      <w:r>
        <w:rPr>
          <w:rFonts w:ascii="Courier New" w:hAnsi="Courier New" w:eastAsia="Courier New" w:cs="Courier New"/>
          <w:color w:val="000000"/>
          <w:sz w:val="20"/>
        </w:rPr>
        <w:t xml:space="preserve">        "Destinations": {</w:t>
      </w:r>
    </w:p>
    <w:p>
      <w:pPr>
        <w:pStyle w:val="CodeBlock"/>
      </w:pPr>
      <w:r>
        <w:rPr>
          <w:rFonts w:ascii="Courier New" w:hAnsi="Courier New" w:eastAsia="Courier New" w:cs="Courier New"/>
          <w:color w:val="000000"/>
          <w:sz w:val="20"/>
        </w:rPr>
        <w:t xml:space="preserve">          "catalog-1": {</w:t>
      </w:r>
    </w:p>
    <w:p>
      <w:pPr>
        <w:pStyle w:val="CodeBlock"/>
      </w:pPr>
      <w:r>
        <w:rPr>
          <w:rFonts w:ascii="Courier New" w:hAnsi="Courier New" w:eastAsia="Courier New" w:cs="Courier New"/>
          <w:color w:val="000000"/>
          <w:sz w:val="20"/>
        </w:rPr>
        <w:t xml:space="preserve">            "Address": "http://catalog:8080/"</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"matching": {</w:t>
      </w:r>
    </w:p>
    <w:p>
      <w:pPr>
        <w:pStyle w:val="CodeBlock"/>
      </w:pPr>
      <w:r>
        <w:rPr>
          <w:rFonts w:ascii="Courier New" w:hAnsi="Courier New" w:eastAsia="Courier New" w:cs="Courier New"/>
          <w:color w:val="000000"/>
          <w:sz w:val="20"/>
        </w:rPr>
        <w:t xml:space="preserve">        "Destinations": {</w:t>
      </w:r>
    </w:p>
    <w:p>
      <w:pPr>
        <w:pStyle w:val="CodeBlock"/>
      </w:pPr>
      <w:r>
        <w:rPr>
          <w:rFonts w:ascii="Courier New" w:hAnsi="Courier New" w:eastAsia="Courier New" w:cs="Courier New"/>
          <w:color w:val="000000"/>
          <w:sz w:val="20"/>
        </w:rPr>
        <w:t xml:space="preserve">          "matching-1": {</w:t>
      </w:r>
    </w:p>
    <w:p>
      <w:pPr>
        <w:pStyle w:val="CodeBlock"/>
      </w:pPr>
      <w:r>
        <w:rPr>
          <w:rFonts w:ascii="Courier New" w:hAnsi="Courier New" w:eastAsia="Courier New" w:cs="Courier New"/>
          <w:color w:val="000000"/>
          <w:sz w:val="20"/>
        </w:rPr>
        <w:t xml:space="preserve">            "Address": "http://matching:8080/"</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"quoting": {</w:t>
      </w:r>
    </w:p>
    <w:p>
      <w:pPr>
        <w:pStyle w:val="CodeBlock"/>
      </w:pPr>
      <w:r>
        <w:rPr>
          <w:rFonts w:ascii="Courier New" w:hAnsi="Courier New" w:eastAsia="Courier New" w:cs="Courier New"/>
          <w:color w:val="000000"/>
          <w:sz w:val="20"/>
        </w:rPr>
        <w:t xml:space="preserve">        "Destinations": {</w:t>
      </w:r>
    </w:p>
    <w:p>
      <w:pPr>
        <w:pStyle w:val="CodeBlock"/>
      </w:pPr>
      <w:r>
        <w:rPr>
          <w:rFonts w:ascii="Courier New" w:hAnsi="Courier New" w:eastAsia="Courier New" w:cs="Courier New"/>
          <w:color w:val="000000"/>
          <w:sz w:val="20"/>
        </w:rPr>
        <w:t xml:space="preserve">          "quoting-1": {</w:t>
      </w:r>
    </w:p>
    <w:p>
      <w:pPr>
        <w:pStyle w:val="CodeBlock"/>
      </w:pPr>
      <w:r>
        <w:rPr>
          <w:rFonts w:ascii="Courier New" w:hAnsi="Courier New" w:eastAsia="Courier New" w:cs="Courier New"/>
          <w:color w:val="000000"/>
          <w:sz w:val="20"/>
        </w:rPr>
        <w:t xml:space="preserve">            "Address": "http://quoting:8080/"</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"commercial": {</w:t>
      </w:r>
    </w:p>
    <w:p>
      <w:pPr>
        <w:pStyle w:val="CodeBlock"/>
      </w:pPr>
      <w:r>
        <w:rPr>
          <w:rFonts w:ascii="Courier New" w:hAnsi="Courier New" w:eastAsia="Courier New" w:cs="Courier New"/>
          <w:color w:val="000000"/>
          <w:sz w:val="20"/>
        </w:rPr>
        <w:t xml:space="preserve">        "Destinations": {</w:t>
      </w:r>
    </w:p>
    <w:p>
      <w:pPr>
        <w:pStyle w:val="CodeBlock"/>
      </w:pPr>
      <w:r>
        <w:rPr>
          <w:rFonts w:ascii="Courier New" w:hAnsi="Courier New" w:eastAsia="Courier New" w:cs="Courier New"/>
          <w:color w:val="000000"/>
          <w:sz w:val="20"/>
        </w:rPr>
        <w:t xml:space="preserve">          "commercial-1": {</w:t>
      </w:r>
    </w:p>
    <w:p>
      <w:pPr>
        <w:pStyle w:val="CodeBlock"/>
      </w:pPr>
      <w:r>
        <w:rPr>
          <w:rFonts w:ascii="Courier New" w:hAnsi="Courier New" w:eastAsia="Courier New" w:cs="Courier New"/>
          <w:color w:val="000000"/>
          <w:sz w:val="20"/>
        </w:rPr>
        <w:t xml:space="preserve">            "Address": "http://commercial:8080/"</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"ordering": {</w:t>
      </w:r>
    </w:p>
    <w:p>
      <w:pPr>
        <w:pStyle w:val="CodeBlock"/>
      </w:pPr>
      <w:r>
        <w:rPr>
          <w:rFonts w:ascii="Courier New" w:hAnsi="Courier New" w:eastAsia="Courier New" w:cs="Courier New"/>
          <w:color w:val="000000"/>
          <w:sz w:val="20"/>
        </w:rPr>
        <w:t xml:space="preserve">        "Destinations": {</w:t>
      </w:r>
    </w:p>
    <w:p>
      <w:pPr>
        <w:pStyle w:val="CodeBlock"/>
      </w:pPr>
      <w:r>
        <w:rPr>
          <w:rFonts w:ascii="Courier New" w:hAnsi="Courier New" w:eastAsia="Courier New" w:cs="Courier New"/>
          <w:color w:val="000000"/>
          <w:sz w:val="20"/>
        </w:rPr>
        <w:t xml:space="preserve">          "ordering-1": {</w:t>
      </w:r>
    </w:p>
    <w:p>
      <w:pPr>
        <w:pStyle w:val="CodeBlock"/>
      </w:pPr>
      <w:r>
        <w:rPr>
          <w:rFonts w:ascii="Courier New" w:hAnsi="Courier New" w:eastAsia="Courier New" w:cs="Courier New"/>
          <w:color w:val="000000"/>
          <w:sz w:val="20"/>
        </w:rPr>
        <w:t xml:space="preserve">            "Address": "http://ordering:8080/"</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"logistics": {</w:t>
      </w:r>
    </w:p>
    <w:p>
      <w:pPr>
        <w:pStyle w:val="CodeBlock"/>
      </w:pPr>
      <w:r>
        <w:rPr>
          <w:rFonts w:ascii="Courier New" w:hAnsi="Courier New" w:eastAsia="Courier New" w:cs="Courier New"/>
          <w:color w:val="000000"/>
          <w:sz w:val="20"/>
        </w:rPr>
        <w:t xml:space="preserve">        "Destinations": {</w:t>
      </w:r>
    </w:p>
    <w:p>
      <w:pPr>
        <w:pStyle w:val="CodeBlock"/>
      </w:pPr>
      <w:r>
        <w:rPr>
          <w:rFonts w:ascii="Courier New" w:hAnsi="Courier New" w:eastAsia="Courier New" w:cs="Courier New"/>
          <w:color w:val="000000"/>
          <w:sz w:val="20"/>
        </w:rPr>
        <w:t xml:space="preserve">          "logistics-1": {</w:t>
      </w:r>
    </w:p>
    <w:p>
      <w:pPr>
        <w:pStyle w:val="CodeBlock"/>
      </w:pPr>
      <w:r>
        <w:rPr>
          <w:rFonts w:ascii="Courier New" w:hAnsi="Courier New" w:eastAsia="Courier New" w:cs="Courier New"/>
          <w:color w:val="000000"/>
          <w:sz w:val="20"/>
        </w:rPr>
        <w:t xml:space="preserve">            "Address": "http://logistics:8080/"</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"notifications": {</w:t>
      </w:r>
    </w:p>
    <w:p>
      <w:pPr>
        <w:pStyle w:val="CodeBlock"/>
      </w:pPr>
      <w:r>
        <w:rPr>
          <w:rFonts w:ascii="Courier New" w:hAnsi="Courier New" w:eastAsia="Courier New" w:cs="Courier New"/>
          <w:color w:val="000000"/>
          <w:sz w:val="20"/>
        </w:rPr>
        <w:t xml:space="preserve">        "Destinations": {</w:t>
      </w:r>
    </w:p>
    <w:p>
      <w:pPr>
        <w:pStyle w:val="CodeBlock"/>
      </w:pPr>
      <w:r>
        <w:rPr>
          <w:rFonts w:ascii="Courier New" w:hAnsi="Courier New" w:eastAsia="Courier New" w:cs="Courier New"/>
          <w:color w:val="000000"/>
          <w:sz w:val="20"/>
        </w:rPr>
        <w:t xml:space="preserve">          "notifications-1": {</w:t>
      </w:r>
    </w:p>
    <w:p>
      <w:pPr>
        <w:pStyle w:val="CodeBlock"/>
      </w:pPr>
      <w:r>
        <w:rPr>
          <w:rFonts w:ascii="Courier New" w:hAnsi="Courier New" w:eastAsia="Courier New" w:cs="Courier New"/>
          <w:color w:val="000000"/>
          <w:sz w:val="20"/>
        </w:rPr>
        <w:t xml:space="preserve">            "Address": "http://notifications:8080/"</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"retail": {</w:t>
      </w:r>
    </w:p>
    <w:p>
      <w:pPr>
        <w:pStyle w:val="CodeBlock"/>
      </w:pPr>
      <w:r>
        <w:rPr>
          <w:rFonts w:ascii="Courier New" w:hAnsi="Courier New" w:eastAsia="Courier New" w:cs="Courier New"/>
          <w:color w:val="000000"/>
          <w:sz w:val="20"/>
        </w:rPr>
        <w:t xml:space="preserve">        "Destinations": {</w:t>
      </w:r>
    </w:p>
    <w:p>
      <w:pPr>
        <w:pStyle w:val="CodeBlock"/>
      </w:pPr>
      <w:r>
        <w:rPr>
          <w:rFonts w:ascii="Courier New" w:hAnsi="Courier New" w:eastAsia="Courier New" w:cs="Courier New"/>
          <w:color w:val="000000"/>
          <w:sz w:val="20"/>
        </w:rPr>
        <w:t xml:space="preserve">          "retail-1": {</w:t>
      </w:r>
    </w:p>
    <w:p>
      <w:pPr>
        <w:pStyle w:val="CodeBlock"/>
      </w:pPr>
      <w:r>
        <w:rPr>
          <w:rFonts w:ascii="Courier New" w:hAnsi="Courier New" w:eastAsia="Courier New" w:cs="Courier New"/>
          <w:color w:val="000000"/>
          <w:sz w:val="20"/>
        </w:rPr>
        <w:t xml:space="preserve">            "Address": "http://retail:8080/"</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w:t>
      </w:r>
    </w:p>
    <w:p>
      <w:pPr>
        <w:pStyle w:val="CodeBlock"/>
      </w:pPr>
      <w:r>
        <w:rPr>
          <w:rFonts w:ascii="Courier New" w:hAnsi="Courier New" w:eastAsia="Courier New" w:cs="Courier New"/>
          <w:color w:val="000000"/>
          <w:sz w:val="20"/>
        </w:rPr>
        <w:t xml:space="preserve">  "AllowedHosts": "*"</w:t>
      </w:r>
    </w:p>
    <w:p>
      <w:pPr>
        <w:pStyle w:val="CodeBlock"/>
      </w:pPr>
      <w:r>
        <w:rPr>
          <w:rFonts w:ascii="Courier New" w:hAnsi="Courier New" w:eastAsia="Courier New" w:cs="Courier New"/>
          <w:color w:val="000000"/>
          <w:sz w:val="20"/>
        </w:rPr>
        <w:t>}</w:t>
      </w:r>
    </w:p>
    <w:sectPr w:rsidR="00FC693F" w:rsidRPr="0006063C" w:rsidSect="00034616">
      <w:footerReference w:type="default" r:id="rId9"/>
      <w:footerReference w:type="first" r:id="rId10"/>
      <w:pgSz w:w="11906" w:h="16838"/>
      <w:pgMar w:top="1134" w:right="850"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fldChar w:fldCharType="begin" w:dirty="true"/>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09"/>
        </w:tabs>
        <w:ind w:left="709" w:hanging="354"/>
      </w:pPr>
      <w:rPr>
        <w:rFonts w:ascii="Times New Roman" w:hAnsi="Times New Roman"/>
      </w:rPr>
    </w:lvl>
  </w:abstractNum>
  <w:num w:numId="10">
    <w:abstractNumId w:val="9"/>
  </w:num>
  <w:abstractNum w:abstractNumId="10">
    <w:multiLevelType w:val="singleLevel"/>
    <w:lvl w:ilvl="0">
      <w:start w:val="1"/>
      <w:numFmt w:val="bullet"/>
      <w:lvlText w:val="–"/>
      <w:suff w:val="tab"/>
      <w:pPr>
        <w:tabs>
          <w:tab w:val="num" w:pos="709"/>
        </w:tabs>
        <w:ind w:left="709" w:hanging="354"/>
      </w:pPr>
      <w:rPr>
        <w:rFonts w:ascii="Times New Roman" w:hAnsi="Times New Roman"/>
      </w:rPr>
    </w:lvl>
  </w:abstractNum>
  <w:num w:numId="11">
    <w:abstractNumId w:val="10"/>
  </w:num>
  <w:abstractNum w:abstractNumId="11">
    <w:multiLevelType w:val="singleLevel"/>
    <w:lvl w:ilvl="0">
      <w:start w:val="1"/>
      <w:numFmt w:val="bullet"/>
      <w:lvlText w:val="–"/>
      <w:suff w:val="tab"/>
      <w:pPr>
        <w:tabs>
          <w:tab w:val="num" w:pos="709"/>
        </w:tabs>
        <w:ind w:left="709" w:hanging="354"/>
      </w:pPr>
      <w:rPr>
        <w:rFonts w:ascii="Times New Roman" w:hAnsi="Times New Roman"/>
      </w:rPr>
    </w:lvl>
  </w:abstractNum>
  <w:num w:numId="12">
    <w:abstractNumId w:val="11"/>
  </w:num>
  <w:abstractNum w:abstractNumId="12">
    <w:multiLevelType w:val="singleLevel"/>
    <w:lvl w:ilvl="0">
      <w:start w:val="1"/>
      <w:numFmt w:val="decimal"/>
      <w:lvlText w:val="%1."/>
      <w:suff w:val="tab"/>
      <w:pPr>
        <w:tabs>
          <w:tab w:val="num" w:pos="709"/>
        </w:tabs>
        <w:ind w:left="709" w:hanging="354"/>
      </w:pPr>
    </w:lvl>
  </w:abstractNum>
  <w:num w:numId="13">
    <w:abstractNumId w:val="12"/>
  </w:num>
  <w:abstractNum w:abstractNumId="13">
    <w:multiLevelType w:val="singleLevel"/>
    <w:lvl w:ilvl="0">
      <w:start w:val="1"/>
      <w:numFmt w:val="decimal"/>
      <w:lvlText w:val="%1."/>
      <w:suff w:val="tab"/>
      <w:pPr>
        <w:tabs>
          <w:tab w:val="num" w:pos="709"/>
        </w:tabs>
        <w:ind w:left="709" w:hanging="354"/>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eastAsia="Times New Roman" w:cs="Times New Roman"/>
      <w:color w:val="000000"/>
      <w:sz w:val="28"/>
      <w:lang w:val="ru-RU" w:eastAsia="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360" w:line="360" w:lineRule="auto"/>
      <w:ind w:firstLine="0"/>
      <w:outlineLvl w:val="0"/>
    </w:pPr>
    <w:rPr>
      <w:rFonts w:asciiTheme="majorHAnsi" w:eastAsiaTheme="majorEastAsia" w:hAnsiTheme="majorHAnsi" w:cstheme="majorBidi" w:ascii="Times New Roman" w:hAnsi="Times New Roman" w:eastAsia="Times New Roman" w:cs="Times New Roman"/>
      <w:b/>
      <w:bCs/>
      <w:color w:val="000000"/>
      <w:sz w:val="28"/>
      <w:szCs w:val="28"/>
      <w:lang w:val="ru-RU" w:eastAsia="ru-RU"/>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709"/>
      <w:outlineLvl w:val="1"/>
    </w:pPr>
    <w:rPr>
      <w:rFonts w:asciiTheme="majorHAnsi" w:eastAsiaTheme="majorEastAsia" w:hAnsiTheme="majorHAnsi" w:cstheme="majorBidi" w:ascii="Times New Roman" w:hAnsi="Times New Roman" w:eastAsia="Times New Roman" w:cs="Times New Roman"/>
      <w:b/>
      <w:bCs/>
      <w:color w:val="000000"/>
      <w:sz w:val="28"/>
      <w:szCs w:val="26"/>
      <w:lang w:val="ru-RU" w:eastAsia="ru-RU"/>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709"/>
      <w:outlineLvl w:val="2"/>
    </w:pPr>
    <w:rPr>
      <w:rFonts w:asciiTheme="majorHAnsi" w:eastAsiaTheme="majorEastAsia" w:hAnsiTheme="majorHAnsi" w:cstheme="majorBidi" w:ascii="Times New Roman" w:hAnsi="Times New Roman" w:eastAsia="Times New Roman" w:cs="Times New Roman"/>
      <w:b/>
      <w:bCs/>
      <w:color w:val="000000"/>
      <w:sz w:val="28"/>
      <w:lang w:val="ru-RU" w:eastAsia="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pPr>
      <w:spacing w:line="360" w:lineRule="auto" w:after="360"/>
      <w:ind w:firstLine="0"/>
      <w:jc w:val="center"/>
    </w:pPr>
    <w:rPr>
      <w:rFonts w:ascii="Times New Roman" w:hAnsi="Times New Roman" w:eastAsia="Times New Roman" w:cs="Times New Roman"/>
      <w:b/>
      <w:color w:val="000000"/>
      <w:sz w:val="28"/>
      <w:lang w:val="ru-RU" w:eastAsia="ru-RU"/>
    </w:rPr>
  </w:style>
  <w:style w:type="paragraph" w:customStyle="1" w:styleId="GOSTCaption">
    <w:name w:val="GOST Caption"/>
    <w:pPr>
      <w:keepNext/>
      <w:spacing w:line="240" w:lineRule="auto" w:before="120" w:after="120"/>
      <w:ind w:firstLine="0"/>
    </w:pPr>
    <w:rPr>
      <w:rFonts w:ascii="Times New Roman" w:hAnsi="Times New Roman" w:eastAsia="Times New Roman" w:cs="Times New Roman"/>
      <w:color w:val="000000"/>
      <w:sz w:val="28"/>
      <w:lang w:val="ru-RU" w:eastAsia="ru-RU"/>
    </w:rPr>
  </w:style>
  <w:style w:type="paragraph" w:customStyle="1" w:styleId="FigurePlaceholder">
    <w:name w:val="Figure Placeholder"/>
    <w:pPr>
      <w:keepNext/>
      <w:spacing w:line="240" w:lineRule="auto" w:before="240" w:after="120"/>
      <w:ind w:firstLine="0"/>
      <w:jc w:val="center"/>
    </w:pPr>
    <w:rPr>
      <w:rFonts w:ascii="Times New Roman" w:hAnsi="Times New Roman" w:eastAsia="Times New Roman" w:cs="Times New Roman"/>
      <w:i/>
      <w:color w:val="000000"/>
      <w:sz w:val="28"/>
      <w:lang w:val="ru-RU" w:eastAsia="ru-RU"/>
    </w:rPr>
  </w:style>
  <w:style w:type="paragraph" w:customStyle="1" w:styleId="CodeBlock">
    <w:name w:val="Code Block"/>
    <w:pPr>
      <w:widowControl w:val="0"/>
      <w:spacing w:line="240" w:lineRule="auto" w:before="0" w:after="0"/>
      <w:ind w:firstLine="0" w:left="425" w:right="142"/>
      <w:jc w:val="left"/>
    </w:pPr>
    <w:rPr>
      <w:rFonts w:ascii="Courier New" w:hAnsi="Courier New" w:eastAsia="Courier New" w:cs="Courier New"/>
      <w:color w:val="000000"/>
      <w:sz w:val="20"/>
      <w:lang w:val="ru-RU" w:eastAsia="ru-RU"/>
    </w:rPr>
  </w:style>
  <w:style w:type="paragraph" w:customStyle="1" w:styleId="AppendixSubtitle">
    <w:name w:val="Appendix Subtitle"/>
    <w:pPr>
      <w:spacing w:line="360" w:lineRule="auto" w:after="360"/>
      <w:ind w:firstLine="0"/>
      <w:jc w:val="center"/>
    </w:pPr>
    <w:rPr>
      <w:rFonts w:ascii="Times New Roman" w:hAnsi="Times New Roman" w:eastAsia="Times New Roman" w:cs="Times New Roman"/>
      <w:b/>
      <w:color w:val="000000"/>
      <w:sz w:val="28"/>
      <w:lang w:val="ru-RU" w:eastAsia="ru-R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Распределённая информационная система автоматизации закупочных процессов и интеллектуального подбора оборудования</dc:title>
  <dc:subject>Пояснительная записка к курсовой работе</dc:subject>
  <dc:creator>[ФИО студента]</dc:creator>
  <cp:keywords>закупки, коммерческое предложение, микросервисы, TF-IDF, логистическая регрессия</cp:keywords>
  <dc:description>generated by python-docx</dc:description>
  <cp:lastModifiedBy/>
  <cp:revision>1</cp:revision>
  <dcterms:created xsi:type="dcterms:W3CDTF">2013-12-23T23:15:00Z</dcterms:created>
  <dcterms:modified xsi:type="dcterms:W3CDTF">2013-12-23T23:15:00Z</dcterms:modified>
  <cp:category/>
</cp:coreProperties>
</file>