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Microsoft YaHei" w:hAnsi="Microsoft YaHei" w:eastAsia="Microsoft YaHei"/>
          <w:b/>
          <w:color w:val="6E7772"/>
          <w:sz w:val="18"/>
        </w:rPr>
        <w:t>GAME DESIGN DOCUMENT  /  VERSION 1.0</w:t>
      </w:r>
    </w:p>
    <w:p>
      <w:pPr>
        <w:pStyle w:val="Title"/>
        <w:spacing w:before="240" w:after="100"/>
      </w:pPr>
      <w:r>
        <w:rPr>
          <w:rFonts w:ascii="Microsoft YaHei" w:hAnsi="Microsoft YaHei" w:eastAsia="Microsoft YaHei"/>
          <w:b/>
          <w:color w:val="1B2420"/>
          <w:sz w:val="64"/>
        </w:rPr>
        <w:t>都市大亨 环城争霸</w:t>
      </w:r>
    </w:p>
    <w:p>
      <w:pPr>
        <w:spacing w:after="240"/>
      </w:pPr>
      <w:r>
        <w:rPr>
          <w:rFonts w:ascii="Microsoft YaHei" w:hAnsi="Microsoft YaHei" w:eastAsia="Microsoft YaHei"/>
          <w:b/>
          <w:color w:val="1B2420"/>
          <w:sz w:val="36"/>
        </w:rPr>
        <w:t>游戏设计文档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4F5A55"/>
          <w:sz w:val="22"/>
        </w:rPr>
        <w:t>一份面向项目评审与后续开发的城市经营桌游设计说明</w:t>
      </w:r>
    </w:p>
    <w:p>
      <w:pPr>
        <w:spacing w:before="100" w:after="180"/>
        <w:jc w:val="center"/>
      </w:pPr>
      <w:r>
        <w:drawing>
          <wp:inline xmlns:a="http://schemas.openxmlformats.org/drawingml/2006/main" xmlns:pic="http://schemas.openxmlformats.org/drawingml/2006/picture">
            <wp:extent cx="3977639" cy="3977639"/>
            <wp:docPr id="1" name="Picture 1" descr="都市大亨环城争霸 40 格环形棋盘缩略图" title="都市大亨环城争霸 40 格环形棋盘缩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40"/>
        <w:jc w:val="center"/>
      </w:pPr>
      <w:r>
        <w:rPr>
          <w:rFonts w:ascii="Microsoft YaHei" w:hAnsi="Microsoft YaHei" w:eastAsia="Microsoft YaHei"/>
          <w:b w:val="0"/>
          <w:color w:val="4F5A55"/>
          <w:sz w:val="20"/>
        </w:rPr>
        <w:t>2 至 4 人  /  30 至 60 分钟  /  浏览器静态原型</w:t>
      </w:r>
    </w:p>
    <w:p>
      <w:pPr>
        <w:spacing w:after="40"/>
        <w:ind w:left="1944"/>
      </w:pPr>
      <w:r>
        <w:rPr>
          <w:rFonts w:ascii="Microsoft YaHei" w:hAnsi="Microsoft YaHei" w:eastAsia="Microsoft YaHei"/>
          <w:b/>
          <w:color w:val="6E7772"/>
          <w:sz w:val="16"/>
        </w:rPr>
        <w:t>文档版本</w:t>
      </w:r>
      <w:r>
        <w:rPr>
          <w:rFonts w:ascii="Microsoft YaHei" w:hAnsi="Microsoft YaHei" w:eastAsia="Microsoft YaHei"/>
          <w:color w:val="1B2420"/>
          <w:sz w:val="18"/>
        </w:rPr>
        <w:t xml:space="preserve">    v1.0</w:t>
      </w:r>
    </w:p>
    <w:p>
      <w:pPr>
        <w:spacing w:after="40"/>
        <w:ind w:left="1944"/>
      </w:pPr>
      <w:r>
        <w:rPr>
          <w:rFonts w:ascii="Microsoft YaHei" w:hAnsi="Microsoft YaHei" w:eastAsia="Microsoft YaHei"/>
          <w:b/>
          <w:color w:val="6E7772"/>
          <w:sz w:val="16"/>
        </w:rPr>
        <w:t>完成日期</w:t>
      </w:r>
      <w:r>
        <w:rPr>
          <w:rFonts w:ascii="Microsoft YaHei" w:hAnsi="Microsoft YaHei" w:eastAsia="Microsoft YaHei"/>
          <w:color w:val="1B2420"/>
          <w:sz w:val="18"/>
        </w:rPr>
        <w:t xml:space="preserve">    2026 年 10 月 26 日</w:t>
      </w:r>
    </w:p>
    <w:p>
      <w:pPr>
        <w:spacing w:after="40"/>
        <w:ind w:left="1944"/>
      </w:pPr>
      <w:r>
        <w:rPr>
          <w:rFonts w:ascii="Microsoft YaHei" w:hAnsi="Microsoft YaHei" w:eastAsia="Microsoft YaHei"/>
          <w:b/>
          <w:color w:val="6E7772"/>
          <w:sz w:val="16"/>
        </w:rPr>
        <w:t>项目负责人</w:t>
      </w:r>
      <w:r>
        <w:rPr>
          <w:rFonts w:ascii="Microsoft YaHei" w:hAnsi="Microsoft YaHei" w:eastAsia="Microsoft YaHei"/>
          <w:color w:val="1B2420"/>
          <w:sz w:val="18"/>
        </w:rPr>
        <w:t xml:space="preserve">    NyaShark</w:t>
      </w:r>
    </w:p>
    <w:p>
      <w:pPr>
        <w:spacing w:after="40"/>
        <w:ind w:left="1944"/>
      </w:pPr>
      <w:r>
        <w:rPr>
          <w:rFonts w:ascii="Microsoft YaHei" w:hAnsi="Microsoft YaHei" w:eastAsia="Microsoft YaHei"/>
          <w:b/>
          <w:color w:val="6E7772"/>
          <w:sz w:val="16"/>
        </w:rPr>
        <w:t>公开仓库</w:t>
      </w:r>
      <w:r>
        <w:rPr>
          <w:rFonts w:ascii="Microsoft YaHei" w:hAnsi="Microsoft YaHei" w:eastAsia="Microsoft YaHei"/>
          <w:color w:val="1B2420"/>
          <w:sz w:val="18"/>
        </w:rPr>
        <w:t xml:space="preserve">    github.com/NyaShark/city-tycoon-arena</w:t>
      </w:r>
    </w:p>
    <w:p>
      <w:r>
        <w:br w:type="page"/>
      </w:r>
    </w:p>
    <w:p>
      <w:pPr>
        <w:pStyle w:val="Heading1"/>
        <w:keepNext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00  文档说明</w:t>
      </w:r>
    </w:p>
    <w:p>
      <w:r>
        <w:rPr>
          <w:rFonts w:ascii="Microsoft YaHei" w:hAnsi="Microsoft YaHei" w:eastAsia="Microsoft YaHei"/>
          <w:b w:val="0"/>
        </w:rPr>
        <w:t>本文档描述《都市大亨：环城争霸》当前可运行的浏览器版本，用于说明产品目标、规则结构、内容规模、技术实现与验收状态。读者可以根据本文档直接判断游戏的设计重点和完成程度，也可以据此继续扩展内容。</w:t>
      </w:r>
    </w:p>
    <w:p>
      <w:r>
        <w:rPr>
          <w:rFonts w:ascii="Microsoft YaHei" w:hAnsi="Microsoft YaHei" w:eastAsia="Microsoft YaHei"/>
          <w:b w:val="0"/>
        </w:rPr>
        <w:t>项目的核心判断是把传统大富翁的“买地与收租”扩展为一套现金、组合、周期和投资互相牵制的经营系统。玩家既可能因为现金流断裂出局，也可能通过拍卖、股票和组合升级反超。现有代码已经实现这套规则，并有可重复的自动化测试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项目概况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  项目基础信息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5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项目信息</w:t>
            </w:r>
          </w:p>
        </w:tc>
        <w:tc>
          <w:tcPr>
            <w:tcW w:type="dxa" w:w="737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产品名称</w:t>
            </w:r>
          </w:p>
        </w:tc>
        <w:tc>
          <w:tcPr>
            <w:tcW w:type="dxa" w:w="737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都市大亨：环城争霸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产品类型</w:t>
            </w:r>
          </w:p>
        </w:tc>
        <w:tc>
          <w:tcPr>
            <w:tcW w:type="dxa" w:w="737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多人回合制城市经营桌游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目标平台</w:t>
            </w:r>
          </w:p>
        </w:tc>
        <w:tc>
          <w:tcPr>
            <w:tcW w:type="dxa" w:w="737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桌面浏览器，移动端自适应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单局人数</w:t>
            </w:r>
          </w:p>
        </w:tc>
        <w:tc>
          <w:tcPr>
            <w:tcW w:type="dxa" w:w="737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 至 4 人，可混合真人与 AI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当前版本</w:t>
            </w:r>
          </w:p>
        </w:tc>
        <w:tc>
          <w:tcPr>
            <w:tcW w:type="dxa" w:w="737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v1.0 可运行原型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运行方式</w:t>
            </w:r>
          </w:p>
        </w:tc>
        <w:tc>
          <w:tcPr>
            <w:tcW w:type="dxa" w:w="737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原生 HTML、CSS、JavaScript ES Modules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存档机制</w:t>
            </w:r>
          </w:p>
        </w:tc>
        <w:tc>
          <w:tcPr>
            <w:tcW w:type="dxa" w:w="737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浏览器 localStorage 自动存档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4F5A55"/>
                <w:sz w:val="16"/>
              </w:rPr>
              <w:t>公开仓库</w:t>
            </w:r>
          </w:p>
        </w:tc>
        <w:tc>
          <w:tcPr>
            <w:tcW w:type="dxa" w:w="737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https://github.com/NyaShark/city-tycoon-arena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 w:val="0"/>
        </w:rPr>
        <w:t>文档地图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2  文档结构与阅读重点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786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514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250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评审关注点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01 至 02</w:t>
            </w:r>
          </w:p>
        </w:tc>
        <w:tc>
          <w:tcPr>
            <w:tcW w:type="dxa" w:w="51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产品定位、目标体验与核心回合循环</w:t>
            </w:r>
          </w:p>
        </w:tc>
        <w:tc>
          <w:tcPr>
            <w:tcW w:type="dxa" w:w="25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游戏要解决什么问题</w:t>
            </w:r>
          </w:p>
        </w:tc>
      </w:tr>
      <w:tr>
        <w:trPr>
          <w:cantSplit/>
        </w:trPr>
        <w:tc>
          <w:tcPr>
            <w:tcW w:type="dxa" w:w="17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03 至 04</w:t>
            </w:r>
          </w:p>
        </w:tc>
        <w:tc>
          <w:tcPr>
            <w:tcW w:type="dxa" w:w="51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棋盘规模、地产组合、租金、升级与拍卖</w:t>
            </w:r>
          </w:p>
        </w:tc>
        <w:tc>
          <w:tcPr>
            <w:tcW w:type="dxa" w:w="25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内容结构是否成立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05 至 06</w:t>
            </w:r>
          </w:p>
        </w:tc>
        <w:tc>
          <w:tcPr>
            <w:tcW w:type="dxa" w:w="51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楼市周期、股票、事件与城市公共系统</w:t>
            </w:r>
          </w:p>
        </w:tc>
        <w:tc>
          <w:tcPr>
            <w:tcW w:type="dxa" w:w="25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经济系统是否闭环</w:t>
            </w:r>
          </w:p>
        </w:tc>
      </w:tr>
      <w:tr>
        <w:trPr>
          <w:cantSplit/>
        </w:trPr>
        <w:tc>
          <w:tcPr>
            <w:tcW w:type="dxa" w:w="17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07</w:t>
            </w:r>
          </w:p>
        </w:tc>
        <w:tc>
          <w:tcPr>
            <w:tcW w:type="dxa" w:w="51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AI 如何评估购买、出价、升级与股票</w:t>
            </w:r>
          </w:p>
        </w:tc>
        <w:tc>
          <w:tcPr>
            <w:tcW w:type="dxa" w:w="25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电脑是否具备基本博弈能力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08</w:t>
            </w:r>
          </w:p>
        </w:tc>
        <w:tc>
          <w:tcPr>
            <w:tcW w:type="dxa" w:w="51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桌面与移动端的信息架构和反馈</w:t>
            </w:r>
          </w:p>
        </w:tc>
        <w:tc>
          <w:tcPr>
            <w:tcW w:type="dxa" w:w="25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界面是否可读、可用</w:t>
            </w:r>
          </w:p>
        </w:tc>
      </w:tr>
      <w:tr>
        <w:trPr>
          <w:cantSplit/>
        </w:trPr>
        <w:tc>
          <w:tcPr>
            <w:tcW w:type="dxa" w:w="17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09</w:t>
            </w:r>
          </w:p>
        </w:tc>
        <w:tc>
          <w:tcPr>
            <w:tcW w:type="dxa" w:w="51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规则层、界面层、数据层与存档</w:t>
            </w:r>
          </w:p>
        </w:tc>
        <w:tc>
          <w:tcPr>
            <w:tcW w:type="dxa" w:w="25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代码是否可维护、可测试</w:t>
            </w:r>
          </w:p>
        </w:tc>
      </w:tr>
      <w:tr>
        <w:trPr>
          <w:cantSplit/>
        </w:trPr>
        <w:tc>
          <w:tcPr>
            <w:tcW w:type="dxa" w:w="17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10 至 11</w:t>
            </w:r>
          </w:p>
        </w:tc>
        <w:tc>
          <w:tcPr>
            <w:tcW w:type="dxa" w:w="51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测试结果、剩余风险、参数与迭代计划</w:t>
            </w:r>
          </w:p>
        </w:tc>
        <w:tc>
          <w:tcPr>
            <w:tcW w:type="dxa" w:w="25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交付可信度和下一步</w:t>
            </w:r>
          </w:p>
        </w:tc>
      </w:tr>
      <w:tr>
        <w:trPr>
          <w:cantSplit/>
        </w:trPr>
        <w:tc>
          <w:tcPr>
            <w:tcW w:type="dxa" w:w="17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12</w:t>
            </w:r>
          </w:p>
        </w:tc>
        <w:tc>
          <w:tcPr>
            <w:tcW w:type="dxa" w:w="51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仓库、运行命令与测试入口</w:t>
            </w:r>
          </w:p>
        </w:tc>
        <w:tc>
          <w:tcPr>
            <w:tcW w:type="dxa" w:w="25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如何复核项目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01  产品定位与目标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1.1  产品概念</w:t>
      </w:r>
    </w:p>
    <w:p>
      <w:r>
        <w:rPr>
          <w:rFonts w:ascii="Microsoft YaHei" w:hAnsi="Microsoft YaHei" w:eastAsia="Microsoft YaHei"/>
          <w:b w:val="0"/>
        </w:rPr>
        <w:t>《都市大亨：环城争霸》是一款面向桌面浏览器的轻中度经营桌游。玩家轮流掷骰环城移动，在地产、交通、公用事业、事件和税务格上做出购买、升级、融资与投资决策。游戏保留传统棋盘游戏的易理解入口，同时加入完整的经济系统，让每次决策都要在扩张与控制现金之间取舍。</w:t>
      </w:r>
    </w:p>
    <w:p>
      <w:r>
        <w:rPr>
          <w:rFonts w:ascii="Microsoft YaHei" w:hAnsi="Microsoft YaHei" w:eastAsia="Microsoft YaHei"/>
          <w:b w:val="0"/>
        </w:rPr>
        <w:t>产品的主要受众是愿意在单局 30 至 60 分钟内进行策略判断的玩家，也适合作为课堂或项目评审中的可交互演示。真人与 AI 可以混合入场，因此两名玩家也能获得接近四人局的互动密度。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1.2  玩家体验目标</w:t>
      </w:r>
    </w:p>
    <w:p>
      <w:pPr>
        <w:pStyle w:val="ListNumber"/>
      </w:pPr>
      <w:r>
        <w:rPr>
          <w:rFonts w:ascii="Microsoft YaHei" w:hAnsi="Microsoft YaHei" w:eastAsia="Microsoft YaHei"/>
        </w:rPr>
        <w:t>每个落点都应产生可理解的后果，玩家能够从界面与日志中判断收益、成本和下一步动作。</w:t>
      </w:r>
    </w:p>
    <w:p>
      <w:pPr>
        <w:pStyle w:val="ListNumber"/>
      </w:pPr>
      <w:r>
        <w:rPr>
          <w:rFonts w:ascii="Microsoft YaHei" w:hAnsi="Microsoft YaHei" w:eastAsia="Microsoft YaHei"/>
        </w:rPr>
        <w:t>地产组合比单点购买更有价值，集齐同组地产后才能均衡升级，推动玩家争夺完整街区。</w:t>
      </w:r>
    </w:p>
    <w:p>
      <w:pPr>
        <w:pStyle w:val="ListNumber"/>
      </w:pPr>
      <w:r>
        <w:rPr>
          <w:rFonts w:ascii="Microsoft YaHei" w:hAnsi="Microsoft YaHei" w:eastAsia="Microsoft YaHei"/>
        </w:rPr>
        <w:t>现金不是单纯的分数，而是购买力、抗风险能力与拍场筹码，过度扩张可能让玩家在一次高租金或税务后破产。</w:t>
      </w:r>
    </w:p>
    <w:p>
      <w:pPr>
        <w:pStyle w:val="ListNumber"/>
      </w:pPr>
      <w:r>
        <w:rPr>
          <w:rFonts w:ascii="Microsoft YaHei" w:hAnsi="Microsoft YaHei" w:eastAsia="Microsoft YaHei"/>
        </w:rPr>
        <w:t>市场和股票让局面持续变化，但不应该压过棋盘决策；它们用于制造再评估的时机，而不是取代地产经营。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1.3  当前交付范围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3  当前版本功能边界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91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48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602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本地多人</w:t>
            </w:r>
          </w:p>
        </w:tc>
        <w:tc>
          <w:tcPr>
            <w:tcW w:type="dxa" w:w="14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 至 4 名真人玩家轮流操作</w:t>
            </w:r>
          </w:p>
        </w:tc>
      </w:tr>
      <w:tr>
        <w:trPr>
          <w:cantSplit/>
        </w:trPr>
        <w:tc>
          <w:tcPr>
            <w:tcW w:type="dxa" w:w="19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AI 对手</w:t>
            </w:r>
          </w:p>
        </w:tc>
        <w:tc>
          <w:tcPr>
            <w:tcW w:type="dxa" w:w="14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稳健、进取、冒险三档决策风格</w:t>
            </w:r>
          </w:p>
        </w:tc>
      </w:tr>
      <w:tr>
        <w:trPr>
          <w:cantSplit/>
        </w:trPr>
        <w:tc>
          <w:tcPr>
            <w:tcW w:type="dxa" w:w="19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地产经营</w:t>
            </w:r>
          </w:p>
        </w:tc>
        <w:tc>
          <w:tcPr>
            <w:tcW w:type="dxa" w:w="14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购买、组合、均衡升级、抵押、赎回</w:t>
            </w:r>
          </w:p>
        </w:tc>
      </w:tr>
      <w:tr>
        <w:trPr>
          <w:cantSplit/>
        </w:trPr>
        <w:tc>
          <w:tcPr>
            <w:tcW w:type="dxa" w:w="19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公开拍卖</w:t>
            </w:r>
          </w:p>
        </w:tc>
        <w:tc>
          <w:tcPr>
            <w:tcW w:type="dxa" w:w="14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真人可与 AI 轮流出价，支持流拍</w:t>
            </w:r>
          </w:p>
        </w:tc>
      </w:tr>
      <w:tr>
        <w:trPr>
          <w:cantSplit/>
        </w:trPr>
        <w:tc>
          <w:tcPr>
            <w:tcW w:type="dxa" w:w="19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股票与股息</w:t>
            </w:r>
          </w:p>
        </w:tc>
        <w:tc>
          <w:tcPr>
            <w:tcW w:type="dxa" w:w="14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三支股票、手续费、持仓与股息</w:t>
            </w:r>
          </w:p>
        </w:tc>
      </w:tr>
      <w:tr>
        <w:trPr>
          <w:cantSplit/>
        </w:trPr>
        <w:tc>
          <w:tcPr>
            <w:tcW w:type="dxa" w:w="19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市场周期</w:t>
            </w:r>
          </w:p>
        </w:tc>
        <w:tc>
          <w:tcPr>
            <w:tcW w:type="dxa" w:w="14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调整期、平稳期、扩张期影响租金与股价</w:t>
            </w:r>
          </w:p>
        </w:tc>
      </w:tr>
      <w:tr>
        <w:trPr>
          <w:cantSplit/>
        </w:trPr>
        <w:tc>
          <w:tcPr>
            <w:tcW w:type="dxa" w:w="19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城市事件</w:t>
            </w:r>
          </w:p>
        </w:tc>
        <w:tc>
          <w:tcPr>
            <w:tcW w:type="dxa" w:w="14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10 类事件覆盖收入、支出、市场与投资</w:t>
            </w:r>
          </w:p>
        </w:tc>
      </w:tr>
      <w:tr>
        <w:trPr>
          <w:cantSplit/>
        </w:trPr>
        <w:tc>
          <w:tcPr>
            <w:tcW w:type="dxa" w:w="19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存档与恢复</w:t>
            </w:r>
          </w:p>
        </w:tc>
        <w:tc>
          <w:tcPr>
            <w:tcW w:type="dxa" w:w="14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已完成</w:t>
            </w:r>
          </w:p>
        </w:tc>
        <w:tc>
          <w:tcPr>
            <w:tcW w:type="dxa" w:w="602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完整状态自动保存到浏览器</w:t>
            </w:r>
          </w:p>
        </w:tc>
      </w:tr>
      <w:tr>
        <w:trPr>
          <w:cantSplit/>
        </w:trPr>
        <w:tc>
          <w:tcPr>
            <w:tcW w:type="dxa" w:w="19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玩家间交易</w:t>
            </w:r>
          </w:p>
        </w:tc>
        <w:tc>
          <w:tcPr>
            <w:tcW w:type="dxa" w:w="14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未实现</w:t>
            </w:r>
          </w:p>
        </w:tc>
        <w:tc>
          <w:tcPr>
            <w:tcW w:type="dxa" w:w="602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可作为下一阶段开发项</w:t>
            </w:r>
          </w:p>
        </w:tc>
      </w:tr>
      <w:tr>
        <w:trPr>
          <w:cantSplit/>
        </w:trPr>
        <w:tc>
          <w:tcPr>
            <w:tcW w:type="dxa" w:w="19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固定回合上限</w:t>
            </w:r>
          </w:p>
        </w:tc>
        <w:tc>
          <w:tcPr>
            <w:tcW w:type="dxa" w:w="14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未实现</w:t>
            </w:r>
          </w:p>
        </w:tc>
        <w:tc>
          <w:tcPr>
            <w:tcW w:type="dxa" w:w="602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当前以最后存活者为胜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02  核心玩法循环</w:t>
      </w:r>
    </w:p>
    <w:p>
      <w:r>
        <w:rPr>
          <w:rFonts w:ascii="Microsoft YaHei" w:hAnsi="Microsoft YaHei" w:eastAsia="Microsoft YaHei"/>
          <w:b w:val="0"/>
        </w:rPr>
        <w:t>一局游戏由连续回合组成。每一回合都围绕“移动、结算、决策、更新”展开，玩家的现金、地产、股票和城市市场状态会跨回合保留。连续掷出双点可以延长同一玩家的行动，但第三次双点会直接进入看守所，从而限制极端连续行动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2617590"/>
            <wp:docPr id="2" name="Picture 2" descr="单回合核心玩法循环图，依次为投掷与移动、落地结算、交易与建设、收益与市场更新。" title="单回合核心玩法循环图，依次为投掷与移动、落地结算、交易与建设、收益与市场更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1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YaHei" w:hAnsi="Microsoft YaHei" w:eastAsia="Microsoft YaHei"/>
          <w:color w:val="6E7772"/>
          <w:sz w:val="16"/>
        </w:rPr>
        <w:t>图 1  单回合的核心体验循环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2.1  单回合流程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4  单回合状态与决策点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40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64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系统输入</w:t>
            </w:r>
          </w:p>
        </w:tc>
        <w:tc>
          <w:tcPr>
            <w:tcW w:type="dxa" w:w="274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系统输出</w:t>
            </w:r>
          </w:p>
        </w:tc>
        <w:tc>
          <w:tcPr>
            <w:tcW w:type="dxa" w:w="2816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玩家决策</w:t>
            </w:r>
          </w:p>
        </w:tc>
      </w:tr>
      <w:tr>
        <w:trPr>
          <w:cantSplit/>
        </w:trPr>
        <w:tc>
          <w:tcPr>
            <w:tcW w:type="dxa" w:w="140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回合开始</w:t>
            </w:r>
          </w:p>
        </w:tc>
        <w:tc>
          <w:tcPr>
            <w:tcW w:type="dxa" w:w="24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当前玩家状态、市场周期</w:t>
            </w:r>
          </w:p>
        </w:tc>
        <w:tc>
          <w:tcPr>
            <w:tcW w:type="dxa" w:w="27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可掷骰状态或看守所选项</w:t>
            </w:r>
          </w:p>
        </w:tc>
        <w:tc>
          <w:tcPr>
            <w:tcW w:type="dxa" w:w="28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支付保释金或尝试掷出双点</w:t>
            </w:r>
          </w:p>
        </w:tc>
      </w:tr>
      <w:tr>
        <w:trPr>
          <w:cantSplit/>
        </w:trPr>
        <w:tc>
          <w:tcPr>
            <w:tcW w:type="dxa" w:w="140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移动</w:t>
            </w:r>
          </w:p>
        </w:tc>
        <w:tc>
          <w:tcPr>
            <w:tcW w:type="dxa" w:w="246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两枚六面骰</w:t>
            </w:r>
          </w:p>
        </w:tc>
        <w:tc>
          <w:tcPr>
            <w:tcW w:type="dxa" w:w="27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落点、是否经过启程</w:t>
            </w:r>
          </w:p>
        </w:tc>
        <w:tc>
          <w:tcPr>
            <w:tcW w:type="dxa" w:w="281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无法直接改变骰点</w:t>
            </w:r>
          </w:p>
        </w:tc>
      </w:tr>
      <w:tr>
        <w:trPr>
          <w:cantSplit/>
        </w:trPr>
        <w:tc>
          <w:tcPr>
            <w:tcW w:type="dxa" w:w="140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落点结算</w:t>
            </w:r>
          </w:p>
        </w:tc>
        <w:tc>
          <w:tcPr>
            <w:tcW w:type="dxa" w:w="24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格子类型、持有人、市场价格</w:t>
            </w:r>
          </w:p>
        </w:tc>
        <w:tc>
          <w:tcPr>
            <w:tcW w:type="dxa" w:w="27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购买请求、租金、税务或事件</w:t>
            </w:r>
          </w:p>
        </w:tc>
        <w:tc>
          <w:tcPr>
            <w:tcW w:type="dxa" w:w="28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买入或放弃，进入拍卖</w:t>
            </w:r>
          </w:p>
        </w:tc>
      </w:tr>
      <w:tr>
        <w:trPr>
          <w:cantSplit/>
        </w:trPr>
        <w:tc>
          <w:tcPr>
            <w:tcW w:type="dxa" w:w="140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经营操作</w:t>
            </w:r>
          </w:p>
        </w:tc>
        <w:tc>
          <w:tcPr>
            <w:tcW w:type="dxa" w:w="246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现金、地产组合、股票价格</w:t>
            </w:r>
          </w:p>
        </w:tc>
        <w:tc>
          <w:tcPr>
            <w:tcW w:type="dxa" w:w="27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可用动作与限制原因</w:t>
            </w:r>
          </w:p>
        </w:tc>
        <w:tc>
          <w:tcPr>
            <w:tcW w:type="dxa" w:w="281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升级、抵押、赎回、买卖股票</w:t>
            </w:r>
          </w:p>
        </w:tc>
      </w:tr>
      <w:tr>
        <w:trPr>
          <w:cantSplit/>
        </w:trPr>
        <w:tc>
          <w:tcPr>
            <w:tcW w:type="dxa" w:w="140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回合结束</w:t>
            </w:r>
          </w:p>
        </w:tc>
        <w:tc>
          <w:tcPr>
            <w:tcW w:type="dxa" w:w="24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是否掷出双点、当前玩家</w:t>
            </w:r>
          </w:p>
        </w:tc>
        <w:tc>
          <w:tcPr>
            <w:tcW w:type="dxa" w:w="27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下一位玩家或额外行动</w:t>
            </w:r>
          </w:p>
        </w:tc>
        <w:tc>
          <w:tcPr>
            <w:tcW w:type="dxa" w:w="281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根据风险结束或继续行动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2.2  行动节奏</w:t>
      </w:r>
    </w:p>
    <w:p>
      <w:r>
        <w:rPr>
          <w:rFonts w:ascii="Microsoft YaHei" w:hAnsi="Microsoft YaHei" w:eastAsia="Microsoft YaHei"/>
          <w:b w:val="0"/>
        </w:rPr>
        <w:t>正常回合中，玩家先掷骰并完成落点处理，然后可以整理资产或交易股票，最后结束回合。若掷出双点，结束回合后仍由同一玩家继续行动；若在回合中连续第三次掷出双点，角色立即进入看守所，当前回合失去后续移动机会。</w:t>
      </w:r>
    </w:p>
    <w:p>
      <w:r>
        <w:rPr>
          <w:rFonts w:ascii="Microsoft YaHei" w:hAnsi="Microsoft YaHei" w:eastAsia="Microsoft YaHei"/>
          <w:b w:val="0"/>
        </w:rPr>
        <w:t>AI 回合复用同一套规则，只把购买、出价、升级和股票选择替换为可解释的启发式判断。这样真人对手与电脑对手共享完全相同的经济约束，不依赖隐藏资源或作弊。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2.3  胜负条件</w:t>
      </w:r>
    </w:p>
    <w:p>
      <w:r>
        <w:rPr>
          <w:rFonts w:ascii="Microsoft YaHei" w:hAnsi="Microsoft YaHei" w:eastAsia="Microsoft YaHei"/>
          <w:b w:val="0"/>
        </w:rPr>
        <w:t>当场上只剩一名未破产玩家时，该玩家成为胜者。支付租金或税款时，如果现金不足，系统会依次自动卖出股票、拆除建筑和抵押地产来筹资；仍然不足时才执行破产，并将资产转交给债权人或收归城市。</w:t>
      </w:r>
    </w:p>
    <w:p>
      <w:r>
        <w:rPr>
          <w:rFonts w:ascii="Microsoft YaHei" w:hAnsi="Microsoft YaHei" w:eastAsia="Microsoft YaHei"/>
          <w:b w:val="0"/>
        </w:rPr>
        <w:t>当前版本没有固定回合上限，因此单局时长由破产速度决定。后续可以加入目标净资产或固定回合数，满足课堂演示时对时长可预测性的要求。</w:t>
      </w:r>
    </w:p>
    <w:p>
      <w:pPr>
        <w:pStyle w:val="Heading1"/>
        <w:keepNext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03  棋盘与内容结构</w:t>
      </w:r>
    </w:p>
    <w:p>
      <w:r>
        <w:rPr>
          <w:rFonts w:ascii="Microsoft YaHei" w:hAnsi="Microsoft YaHei" w:eastAsia="Microsoft YaHei"/>
          <w:b w:val="0"/>
        </w:rPr>
        <w:t>棋盘由 40 个格子组成环形路径，四个角落分别承担启程、看守所、市民公园和市政厅功能。其余格子分布 24 处可经营地产、4 座交通枢纽、3 家公用事业、2 个事件入口、2 个税务点和 1 个违规稽查点。内容密度足以让每轮移动触及不同决策，同时保持 11×11 的单一屏幕结构。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5166360"/>
            <wp:docPr id="3" name="Picture 3" descr="都市大亨 40 格环形棋盘，展示地产颜色分组、交通枢纽、公用事业、事件、税务与四个角落。" title="都市大亨 40 格环形棋盘，展示地产颜色分组、交通枢纽、公用事业、事件、税务与四个角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YaHei" w:hAnsi="Microsoft YaHei" w:eastAsia="Microsoft YaHei"/>
          <w:color w:val="6E7772"/>
          <w:sz w:val="16"/>
        </w:rPr>
        <w:t>图 2  当前版本的 40 格环形棋盘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3.1  格子分布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5  棋盘内容分布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54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4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3590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44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5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地产</w:t>
            </w:r>
          </w:p>
        </w:tc>
        <w:tc>
          <w:tcPr>
            <w:tcW w:type="dxa" w:w="8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24</w:t>
            </w:r>
          </w:p>
        </w:tc>
        <w:tc>
          <w:tcPr>
            <w:tcW w:type="dxa" w:w="359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购买、升级、收取组合租金</w:t>
            </w:r>
          </w:p>
        </w:tc>
        <w:tc>
          <w:tcPr>
            <w:tcW w:type="dxa" w:w="34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望潮码头、中央市集、金融塔</w:t>
            </w:r>
          </w:p>
        </w:tc>
      </w:tr>
      <w:tr>
        <w:trPr>
          <w:cantSplit/>
        </w:trPr>
        <w:tc>
          <w:tcPr>
            <w:tcW w:type="dxa" w:w="154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交通枢纽</w:t>
            </w:r>
          </w:p>
        </w:tc>
        <w:tc>
          <w:tcPr>
            <w:tcW w:type="dxa" w:w="8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4</w:t>
            </w:r>
          </w:p>
        </w:tc>
        <w:tc>
          <w:tcPr>
            <w:tcW w:type="dxa" w:w="359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持有数量提升租金倍率</w:t>
            </w:r>
          </w:p>
        </w:tc>
        <w:tc>
          <w:tcPr>
            <w:tcW w:type="dxa" w:w="344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北站、中央站、机场快线</w:t>
            </w:r>
          </w:p>
        </w:tc>
      </w:tr>
      <w:tr>
        <w:trPr>
          <w:cantSplit/>
        </w:trPr>
        <w:tc>
          <w:tcPr>
            <w:tcW w:type="dxa" w:w="15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公用事业</w:t>
            </w:r>
          </w:p>
        </w:tc>
        <w:tc>
          <w:tcPr>
            <w:tcW w:type="dxa" w:w="8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3</w:t>
            </w:r>
          </w:p>
        </w:tc>
        <w:tc>
          <w:tcPr>
            <w:tcW w:type="dxa" w:w="359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租金按骰点与持有数量计算</w:t>
            </w:r>
          </w:p>
        </w:tc>
        <w:tc>
          <w:tcPr>
            <w:tcW w:type="dxa" w:w="34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电力公司、水务集团、通信网络</w:t>
            </w:r>
          </w:p>
        </w:tc>
      </w:tr>
      <w:tr>
        <w:trPr>
          <w:cantSplit/>
        </w:trPr>
        <w:tc>
          <w:tcPr>
            <w:tcW w:type="dxa" w:w="154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事件</w:t>
            </w:r>
          </w:p>
        </w:tc>
        <w:tc>
          <w:tcPr>
            <w:tcW w:type="dxa" w:w="8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</w:t>
            </w:r>
          </w:p>
        </w:tc>
        <w:tc>
          <w:tcPr>
            <w:tcW w:type="dxa" w:w="359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抽取收入、支出或市场事件</w:t>
            </w:r>
          </w:p>
        </w:tc>
        <w:tc>
          <w:tcPr>
            <w:tcW w:type="dxa" w:w="344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城市事件、市场事件</w:t>
            </w:r>
          </w:p>
        </w:tc>
      </w:tr>
      <w:tr>
        <w:trPr>
          <w:cantSplit/>
        </w:trPr>
        <w:tc>
          <w:tcPr>
            <w:tcW w:type="dxa" w:w="15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税务</w:t>
            </w:r>
          </w:p>
        </w:tc>
        <w:tc>
          <w:tcPr>
            <w:tcW w:type="dxa" w:w="8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</w:t>
            </w:r>
          </w:p>
        </w:tc>
        <w:tc>
          <w:tcPr>
            <w:tcW w:type="dxa" w:w="359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把资金送入城市基金池</w:t>
            </w:r>
          </w:p>
        </w:tc>
        <w:tc>
          <w:tcPr>
            <w:tcW w:type="dxa" w:w="34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营改税、资产核税</w:t>
            </w:r>
          </w:p>
        </w:tc>
      </w:tr>
      <w:tr>
        <w:trPr>
          <w:cantSplit/>
        </w:trPr>
        <w:tc>
          <w:tcPr>
            <w:tcW w:type="dxa" w:w="154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角落</w:t>
            </w:r>
          </w:p>
        </w:tc>
        <w:tc>
          <w:tcPr>
            <w:tcW w:type="dxa" w:w="8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4</w:t>
            </w:r>
          </w:p>
        </w:tc>
        <w:tc>
          <w:tcPr>
            <w:tcW w:type="dxa" w:w="359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启程、拘押、公园和市政厅</w:t>
            </w:r>
          </w:p>
        </w:tc>
        <w:tc>
          <w:tcPr>
            <w:tcW w:type="dxa" w:w="344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启程、看守所、市民公园、市政厅</w:t>
            </w:r>
          </w:p>
        </w:tc>
      </w:tr>
      <w:tr>
        <w:trPr>
          <w:cantSplit/>
        </w:trPr>
        <w:tc>
          <w:tcPr>
            <w:tcW w:type="dxa" w:w="15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其他</w:t>
            </w:r>
          </w:p>
        </w:tc>
        <w:tc>
          <w:tcPr>
            <w:tcW w:type="dxa" w:w="8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</w:t>
            </w:r>
          </w:p>
        </w:tc>
        <w:tc>
          <w:tcPr>
            <w:tcW w:type="dxa" w:w="359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立即送入看守所</w:t>
            </w:r>
          </w:p>
        </w:tc>
        <w:tc>
          <w:tcPr>
            <w:tcW w:type="dxa" w:w="344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违规稽查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3.2  地产组合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6  八个地产组的价格与组合价值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63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街区</w:t>
            </w:r>
          </w:p>
        </w:tc>
        <w:tc>
          <w:tcPr>
            <w:tcW w:type="dxa" w:w="1773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地产格编号</w:t>
            </w:r>
          </w:p>
        </w:tc>
        <w:tc>
          <w:tcPr>
            <w:tcW w:type="dxa" w:w="141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价格区间</w:t>
            </w:r>
          </w:p>
        </w:tc>
        <w:tc>
          <w:tcPr>
            <w:tcW w:type="dxa" w:w="141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基础租金</w:t>
            </w:r>
          </w:p>
        </w:tc>
        <w:tc>
          <w:tcPr>
            <w:tcW w:type="dxa" w:w="319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组合效果</w:t>
            </w:r>
          </w:p>
        </w:tc>
      </w:tr>
      <w:tr>
        <w:trPr>
          <w:cantSplit/>
        </w:trPr>
        <w:tc>
          <w:tcPr>
            <w:tcW w:type="dxa" w:w="163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港湾街区</w:t>
            </w:r>
          </w:p>
        </w:tc>
        <w:tc>
          <w:tcPr>
            <w:tcW w:type="dxa" w:w="17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 / 3 / 6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620 至 820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70 至 110</w:t>
            </w:r>
          </w:p>
        </w:tc>
        <w:tc>
          <w:tcPr>
            <w:tcW w:type="dxa" w:w="319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青庭街区</w:t>
            </w:r>
          </w:p>
        </w:tc>
        <w:tc>
          <w:tcPr>
            <w:tcW w:type="dxa" w:w="17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7 / 9 / 11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900 至 1100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120 至 160</w:t>
            </w:r>
          </w:p>
        </w:tc>
        <w:tc>
          <w:tcPr>
            <w:tcW w:type="dxa" w:w="319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文教街区</w:t>
            </w:r>
          </w:p>
        </w:tc>
        <w:tc>
          <w:tcPr>
            <w:tcW w:type="dxa" w:w="17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12 / 13 / 14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1200 至 1400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190 至 240</w:t>
            </w:r>
          </w:p>
        </w:tc>
        <w:tc>
          <w:tcPr>
            <w:tcW w:type="dxa" w:w="319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中央市集</w:t>
            </w:r>
          </w:p>
        </w:tc>
        <w:tc>
          <w:tcPr>
            <w:tcW w:type="dxa" w:w="17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16 / 18 / 19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1500 至 1700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280 至 340</w:t>
            </w:r>
          </w:p>
        </w:tc>
        <w:tc>
          <w:tcPr>
            <w:tcW w:type="dxa" w:w="319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科创走廊</w:t>
            </w:r>
          </w:p>
        </w:tc>
        <w:tc>
          <w:tcPr>
            <w:tcW w:type="dxa" w:w="17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21 / 22 / 24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1800 至 2000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380 至 450</w:t>
            </w:r>
          </w:p>
        </w:tc>
        <w:tc>
          <w:tcPr>
            <w:tcW w:type="dxa" w:w="319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极光天际</w:t>
            </w:r>
          </w:p>
        </w:tc>
        <w:tc>
          <w:tcPr>
            <w:tcW w:type="dxa" w:w="17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26 / 27 / 31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2100 至 2400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500 至 590</w:t>
            </w:r>
          </w:p>
        </w:tc>
        <w:tc>
          <w:tcPr>
            <w:tcW w:type="dxa" w:w="319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霓虹娱乐</w:t>
            </w:r>
          </w:p>
        </w:tc>
        <w:tc>
          <w:tcPr>
            <w:tcW w:type="dxa" w:w="17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32 / 33 / 34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2500 至 2800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640 至 760</w:t>
            </w:r>
          </w:p>
        </w:tc>
        <w:tc>
          <w:tcPr>
            <w:tcW w:type="dxa" w:w="319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  <w:tr>
        <w:trPr>
          <w:cantSplit/>
        </w:trPr>
        <w:tc>
          <w:tcPr>
            <w:tcW w:type="dxa" w:w="163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皇冠金融</w:t>
            </w:r>
          </w:p>
        </w:tc>
        <w:tc>
          <w:tcPr>
            <w:tcW w:type="dxa" w:w="17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36 / 37 / 39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2950 至 3300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850 至 1000</w:t>
            </w:r>
          </w:p>
        </w:tc>
        <w:tc>
          <w:tcPr>
            <w:tcW w:type="dxa" w:w="319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集齐 3 处后基础租金翻倍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</w:rPr>
        <w:t>每处地产都属于一个三人组合。组内地产不要求彼此相邻，但地图把它们安排在相邻路段，玩家可以从颜色带直接判断组合关系。组合完成后，未升级地产的基础租金翻倍，升级后的租金沿用等级倍率。</w:t>
      </w:r>
    </w:p>
    <w:p>
      <w:pPr>
        <w:pStyle w:val="Heading1"/>
        <w:keepNext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04  地产经营系统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4.1  购买与所有权</w:t>
      </w:r>
    </w:p>
    <w:p>
      <w:r>
        <w:rPr>
          <w:rFonts w:ascii="Microsoft YaHei" w:hAnsi="Microsoft YaHei" w:eastAsia="Microsoft YaHei"/>
          <w:b w:val="0"/>
        </w:rPr>
        <w:t>玩家落在无主地产时，系统给出买入价格和放弃选项。买入会立即扣除现金并把地产标记为当前玩家所有；放弃则触发公开拍卖，其他有支付能力的玩家可以参与竞价。已抵押地产不产生租金，但仍占有一个组合席位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4.2  租金计算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7  租金公式与设计意图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05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资产状态</w:t>
            </w:r>
          </w:p>
        </w:tc>
        <w:tc>
          <w:tcPr>
            <w:tcW w:type="dxa" w:w="503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计算方式</w:t>
            </w:r>
          </w:p>
        </w:tc>
        <w:tc>
          <w:tcPr>
            <w:tcW w:type="dxa" w:w="2340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设计意图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普通地产，未升级</w:t>
            </w:r>
          </w:p>
        </w:tc>
        <w:tc>
          <w:tcPr>
            <w:tcW w:type="dxa" w:w="50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基础租金 × 市场租金倍率</w:t>
            </w:r>
          </w:p>
        </w:tc>
        <w:tc>
          <w:tcPr>
            <w:tcW w:type="dxa" w:w="23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低门槛参与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完整地产组，未升级</w:t>
            </w:r>
          </w:p>
        </w:tc>
        <w:tc>
          <w:tcPr>
            <w:tcW w:type="dxa" w:w="503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基础租金 × 2 × 市场倍率</w:t>
            </w:r>
          </w:p>
        </w:tc>
        <w:tc>
          <w:tcPr>
            <w:tcW w:type="dxa" w:w="234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奖励集齐街区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升级地产</w:t>
            </w:r>
          </w:p>
        </w:tc>
        <w:tc>
          <w:tcPr>
            <w:tcW w:type="dxa" w:w="50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基础租金 × 等级倍率 × 市场倍率</w:t>
            </w:r>
          </w:p>
        </w:tc>
        <w:tc>
          <w:tcPr>
            <w:tcW w:type="dxa" w:w="23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提供长期现金回报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交通枢纽</w:t>
            </w:r>
          </w:p>
        </w:tc>
        <w:tc>
          <w:tcPr>
            <w:tcW w:type="dxa" w:w="503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基础租金 × 2^(持有数-1) × 市场倍率，持满 4 座再乘 2</w:t>
            </w:r>
          </w:p>
        </w:tc>
        <w:tc>
          <w:tcPr>
            <w:tcW w:type="dxa" w:w="234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鼓励跨路段扩张</w:t>
            </w:r>
          </w:p>
        </w:tc>
      </w:tr>
      <w:tr>
        <w:trPr>
          <w:cantSplit/>
        </w:trPr>
        <w:tc>
          <w:tcPr>
            <w:tcW w:type="dxa" w:w="20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公用事业</w:t>
            </w:r>
          </w:p>
        </w:tc>
        <w:tc>
          <w:tcPr>
            <w:tcW w:type="dxa" w:w="50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骰点合计 × 持有倍率 [8, 20, 36] × 市场倍率</w:t>
            </w:r>
          </w:p>
        </w:tc>
        <w:tc>
          <w:tcPr>
            <w:tcW w:type="dxa" w:w="234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让骰点和持有数量共同影响收益</w:t>
            </w:r>
          </w:p>
        </w:tc>
      </w:tr>
      <w:tr>
        <w:trPr>
          <w:cantSplit/>
        </w:trPr>
        <w:tc>
          <w:tcPr>
            <w:tcW w:type="dxa" w:w="20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抵押地产</w:t>
            </w:r>
          </w:p>
        </w:tc>
        <w:tc>
          <w:tcPr>
            <w:tcW w:type="dxa" w:w="503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租金为 0</w:t>
            </w:r>
          </w:p>
        </w:tc>
        <w:tc>
          <w:tcPr>
            <w:tcW w:type="dxa" w:w="234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以流动性换现金流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</w:rPr>
        <w:t>地产升级倍率依次为 1.0、2.6、6.0、12.0、20.0。以基础租金 100 元为例，零级到四级的租金分别为 100、260、600、1200、2000 元，再乘以市场周期倍率。市场扩张期会放大高等级地产的风险和回报。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4.3  均衡升级</w:t>
      </w:r>
    </w:p>
    <w:p>
      <w:r>
        <w:rPr>
          <w:rFonts w:ascii="Microsoft YaHei" w:hAnsi="Microsoft YaHei" w:eastAsia="Microsoft YaHei"/>
          <w:b w:val="0"/>
        </w:rPr>
        <w:t>地产升级不是单点堆叠。玩家必须集齐同组全部地产，并且只能升级当前等级最低的一处。这样，组合内的三级建筑会自然形成一组彼此相关的资产，避免把全部资金压在一处地产上。每处地产最高四级，拆除建筑可以回收升级成本的 50%。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4.4  抵押与赎回</w:t>
      </w:r>
    </w:p>
    <w:p>
      <w:r>
        <w:rPr>
          <w:rFonts w:ascii="Microsoft YaHei" w:hAnsi="Microsoft YaHei" w:eastAsia="Microsoft YaHei"/>
          <w:b w:val="0"/>
        </w:rPr>
        <w:t>玩家可以抵押没有建筑的地产，立即获得地产价格的 50%，但该地产不再收取租金。赎回成本为地产价格的 55%，对应 10% 的融资成本。现金不足时，系统会自动执行股票卖出、建筑拆除和地产抵押，保证一次结算能够做出明确结果，而不是把玩家留在无法支付的中间状态。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4.5  公开拍卖</w:t>
      </w:r>
    </w:p>
    <w:p>
      <w:r>
        <w:rPr>
          <w:rFonts w:ascii="Microsoft YaHei" w:hAnsi="Microsoft YaHei" w:eastAsia="Microsoft YaHei"/>
          <w:b w:val="0"/>
        </w:rPr>
        <w:t>拍卖从地产价格的 50% 起拍，每次加价至少为地产价格的 5%，并按 25 元的整数单位对齐。所有未破产且现金足够的玩家进入拍卖顺序，轮流出价或退出。只剩领先者时，地产成交并立即转移所有权；如果所有玩家退出，则流拍并收归银行。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05  市场周期与股票投资</w:t>
      </w:r>
    </w:p>
    <w:p>
      <w:r>
        <w:rPr>
          <w:rFonts w:ascii="Microsoft YaHei" w:hAnsi="Microsoft YaHei" w:eastAsia="Microsoft YaHei"/>
          <w:b w:val="0"/>
        </w:rPr>
        <w:t>市场周期把棋盘上的地产收益与屏幕外的投资变化连接起来。每轮结束都会更新股票价格；市场周期按一定节奏在调整、平稳和扩张之间切换。玩家可以通过市政厅格主动推动市场向前，也可能在城市事件中遇到突然的市场变化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5.1  三种市场状态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8  市场周期参数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63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41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租金倍率</w:t>
            </w:r>
          </w:p>
        </w:tc>
        <w:tc>
          <w:tcPr>
            <w:tcW w:type="dxa" w:w="141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股价倍率</w:t>
            </w:r>
          </w:p>
        </w:tc>
        <w:tc>
          <w:tcPr>
            <w:tcW w:type="dxa" w:w="4964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局面影响</w:t>
            </w:r>
          </w:p>
        </w:tc>
      </w:tr>
      <w:tr>
        <w:trPr>
          <w:cantSplit/>
        </w:trPr>
        <w:tc>
          <w:tcPr>
            <w:tcW w:type="dxa" w:w="163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调整期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0.82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0.92</w:t>
            </w:r>
          </w:p>
        </w:tc>
        <w:tc>
          <w:tcPr>
            <w:tcW w:type="dxa" w:w="49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租金和股价同步走低，现金更珍贵</w:t>
            </w:r>
          </w:p>
        </w:tc>
      </w:tr>
      <w:tr>
        <w:trPr>
          <w:cantSplit/>
        </w:trPr>
        <w:tc>
          <w:tcPr>
            <w:tcW w:type="dxa" w:w="163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平稳期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1.00</w:t>
            </w:r>
          </w:p>
        </w:tc>
        <w:tc>
          <w:tcPr>
            <w:tcW w:type="dxa" w:w="141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1.00</w:t>
            </w:r>
          </w:p>
        </w:tc>
        <w:tc>
          <w:tcPr>
            <w:tcW w:type="dxa" w:w="496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基准状态，便于比较资产质量</w:t>
            </w:r>
          </w:p>
        </w:tc>
      </w:tr>
      <w:tr>
        <w:trPr>
          <w:cantSplit/>
        </w:trPr>
        <w:tc>
          <w:tcPr>
            <w:tcW w:type="dxa" w:w="163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扩张期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1.28</w:t>
            </w:r>
          </w:p>
        </w:tc>
        <w:tc>
          <w:tcPr>
            <w:tcW w:type="dxa" w:w="141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1.11</w:t>
            </w:r>
          </w:p>
        </w:tc>
        <w:tc>
          <w:tcPr>
            <w:tcW w:type="dxa" w:w="496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高等级地产与股票同时受益，风险也更高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5.2  股票交易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9  三支股票的基准参数</w:t>
      </w:r>
    </w:p>
    <w:tbl>
      <w:tblPr>
        <w:tblW w:type="dxa" w:w="835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152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244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1584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基准价</w:t>
            </w:r>
          </w:p>
        </w:tc>
        <w:tc>
          <w:tcPr>
            <w:tcW w:type="dxa" w:w="1584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波动率</w:t>
            </w:r>
          </w:p>
        </w:tc>
        <w:tc>
          <w:tcPr>
            <w:tcW w:type="dxa" w:w="1584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股息率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HBR</w:t>
            </w:r>
          </w:p>
        </w:tc>
        <w:tc>
          <w:tcPr>
            <w:tcW w:type="dxa" w:w="244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港湾物流</w:t>
            </w:r>
          </w:p>
        </w:tc>
        <w:tc>
          <w:tcPr>
            <w:tcW w:type="dxa" w:w="158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148</w:t>
            </w:r>
          </w:p>
        </w:tc>
        <w:tc>
          <w:tcPr>
            <w:tcW w:type="dxa" w:w="158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5.5%</w:t>
            </w:r>
          </w:p>
        </w:tc>
        <w:tc>
          <w:tcPr>
            <w:tcW w:type="dxa" w:w="158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2.2%</w:t>
            </w:r>
          </w:p>
        </w:tc>
      </w:tr>
      <w:tr>
        <w:trPr>
          <w:cantSplit/>
        </w:trPr>
        <w:tc>
          <w:tcPr>
            <w:tcW w:type="dxa" w:w="115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GRN</w:t>
            </w:r>
          </w:p>
        </w:tc>
        <w:tc>
          <w:tcPr>
            <w:tcW w:type="dxa" w:w="244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青庭能源</w:t>
            </w:r>
          </w:p>
        </w:tc>
        <w:tc>
          <w:tcPr>
            <w:tcW w:type="dxa" w:w="158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96</w:t>
            </w:r>
          </w:p>
        </w:tc>
        <w:tc>
          <w:tcPr>
            <w:tcW w:type="dxa" w:w="158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9.5%</w:t>
            </w:r>
          </w:p>
        </w:tc>
        <w:tc>
          <w:tcPr>
            <w:tcW w:type="dxa" w:w="158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0.9%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NEO</w:t>
            </w:r>
          </w:p>
        </w:tc>
        <w:tc>
          <w:tcPr>
            <w:tcW w:type="dxa" w:w="244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新域传媒</w:t>
            </w:r>
          </w:p>
        </w:tc>
        <w:tc>
          <w:tcPr>
            <w:tcW w:type="dxa" w:w="158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214</w:t>
            </w:r>
          </w:p>
        </w:tc>
        <w:tc>
          <w:tcPr>
            <w:tcW w:type="dxa" w:w="158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7.2%</w:t>
            </w:r>
          </w:p>
        </w:tc>
        <w:tc>
          <w:tcPr>
            <w:tcW w:type="dxa" w:w="158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1.4%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</w:rPr>
        <w:t>股票买卖按成交金额收取 0.5% 的手续费，最低 1 元。玩家可以随时买入或卖出一股，但必须遵循现金与持股限制。每次经过启程，系统按当前持仓市值发放对应股息，股息直接进入现金。</w:t>
      </w:r>
    </w:p>
    <w:p>
      <w:r>
        <w:rPr>
          <w:rFonts w:ascii="Microsoft YaHei" w:hAnsi="Microsoft YaHei" w:eastAsia="Microsoft YaHei"/>
          <w:b w:val="0"/>
        </w:rPr>
        <w:t>股票并不提供单独的棋盘格子，而是作为贯穿全局的现金工具存在。玩家在扩张地产、参与拍卖和保留流动性之间做取舍时，股票提供了另一种调度资金的方式，也让市场扩张期的资产估值更有层次。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5.3  市场与决策的关系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10  市场状态下的主要策略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68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市场状态</w:t>
            </w:r>
          </w:p>
        </w:tc>
        <w:tc>
          <w:tcPr>
            <w:tcW w:type="dxa" w:w="2956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地产玩家</w:t>
            </w:r>
          </w:p>
        </w:tc>
        <w:tc>
          <w:tcPr>
            <w:tcW w:type="dxa" w:w="2604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股票玩家</w:t>
            </w:r>
          </w:p>
        </w:tc>
        <w:tc>
          <w:tcPr>
            <w:tcW w:type="dxa" w:w="2182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现金策略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调整期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优先保留低等级高现金流资产</w:t>
            </w:r>
          </w:p>
        </w:tc>
        <w:tc>
          <w:tcPr>
            <w:tcW w:type="dxa" w:w="26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可分批吸纳高股息标的</w:t>
            </w:r>
          </w:p>
        </w:tc>
        <w:tc>
          <w:tcPr>
            <w:tcW w:type="dxa" w:w="218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减少新增建筑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平稳期</w:t>
            </w:r>
          </w:p>
        </w:tc>
        <w:tc>
          <w:tcPr>
            <w:tcW w:type="dxa" w:w="295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按组合完整度稳健扩张</w:t>
            </w:r>
          </w:p>
        </w:tc>
        <w:tc>
          <w:tcPr>
            <w:tcW w:type="dxa" w:w="2604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根据价格与基准价比较</w:t>
            </w:r>
          </w:p>
        </w:tc>
        <w:tc>
          <w:tcPr>
            <w:tcW w:type="dxa" w:w="218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关注拍卖机会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扩张期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高等级地产收益显著，但持有成本上升</w:t>
            </w:r>
          </w:p>
        </w:tc>
        <w:tc>
          <w:tcPr>
            <w:tcW w:type="dxa" w:w="2604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估值扩张，注意回撤</w:t>
            </w:r>
          </w:p>
        </w:tc>
        <w:tc>
          <w:tcPr>
            <w:tcW w:type="dxa" w:w="218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避免把所有现金投入单一资产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06  城市事件与公共系统</w:t>
      </w:r>
    </w:p>
    <w:p>
      <w:r>
        <w:rPr>
          <w:rFonts w:ascii="Microsoft YaHei" w:hAnsi="Microsoft YaHei" w:eastAsia="Microsoft YaHei"/>
          <w:b w:val="0"/>
        </w:rPr>
        <w:t>事件系统用于打破单纯的地产扩张节奏。事件可以在短期内改变现金、股票、租金或整个市场状态，也让原本保守的玩家有机会通过拍卖和投资追赶。事件强度设有上限，避免单张卡牌直接决定胜负。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11  十类城市事件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97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事件</w:t>
            </w:r>
          </w:p>
        </w:tc>
        <w:tc>
          <w:tcPr>
            <w:tcW w:type="dxa" w:w="450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效果</w:t>
            </w:r>
          </w:p>
        </w:tc>
        <w:tc>
          <w:tcPr>
            <w:tcW w:type="dxa" w:w="2956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设计意图</w:t>
            </w:r>
          </w:p>
        </w:tc>
      </w:tr>
      <w:tr>
        <w:trPr>
          <w:cantSplit/>
        </w:trPr>
        <w:tc>
          <w:tcPr>
            <w:tcW w:type="dxa" w:w="197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城市更新补助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获得 480 元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提供短期现金缓冲</w:t>
            </w:r>
          </w:p>
        </w:tc>
      </w:tr>
      <w:tr>
        <w:trPr>
          <w:cantSplit/>
        </w:trPr>
        <w:tc>
          <w:tcPr>
            <w:tcW w:type="dxa" w:w="197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管网集中检修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每处地产支付 60 元，最高 480 元</w:t>
            </w:r>
          </w:p>
        </w:tc>
        <w:tc>
          <w:tcPr>
            <w:tcW w:type="dxa" w:w="295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惩罚无现金的过度扩张</w:t>
            </w:r>
          </w:p>
        </w:tc>
      </w:tr>
      <w:tr>
        <w:trPr>
          <w:cantSplit/>
        </w:trPr>
        <w:tc>
          <w:tcPr>
            <w:tcW w:type="dxa" w:w="197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资本市场派息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按股票市值获得 3% 股息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奖励持仓投资</w:t>
            </w:r>
          </w:p>
        </w:tc>
      </w:tr>
      <w:tr>
        <w:trPr>
          <w:cantSplit/>
        </w:trPr>
        <w:tc>
          <w:tcPr>
            <w:tcW w:type="dxa" w:w="197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投资信心回升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市场进入扩张期</w:t>
            </w:r>
          </w:p>
        </w:tc>
        <w:tc>
          <w:tcPr>
            <w:tcW w:type="dxa" w:w="295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制造资产重估窗口</w:t>
            </w:r>
          </w:p>
        </w:tc>
      </w:tr>
      <w:tr>
        <w:trPr>
          <w:cantSplit/>
        </w:trPr>
        <w:tc>
          <w:tcPr>
            <w:tcW w:type="dxa" w:w="197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融资窗口收紧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市场进入调整期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让现金和低杠杆更有价值</w:t>
            </w:r>
          </w:p>
        </w:tc>
      </w:tr>
      <w:tr>
        <w:trPr>
          <w:cantSplit/>
        </w:trPr>
        <w:tc>
          <w:tcPr>
            <w:tcW w:type="dxa" w:w="197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税务抽查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支付现金的 10%，最低 100 元、最高 600 元</w:t>
            </w:r>
          </w:p>
        </w:tc>
        <w:tc>
          <w:tcPr>
            <w:tcW w:type="dxa" w:w="295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降低囤积现金的绝对安全</w:t>
            </w:r>
          </w:p>
        </w:tc>
      </w:tr>
      <w:tr>
        <w:trPr>
          <w:cantSplit/>
        </w:trPr>
        <w:tc>
          <w:tcPr>
            <w:tcW w:type="dxa" w:w="197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城市旅游季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每处地产获得 80 元，最高 720 元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奖励多资产布局</w:t>
            </w:r>
          </w:p>
        </w:tc>
      </w:tr>
      <w:tr>
        <w:trPr>
          <w:cantSplit/>
        </w:trPr>
        <w:tc>
          <w:tcPr>
            <w:tcW w:type="dxa" w:w="197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临时摊位收入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获得 260 元</w:t>
            </w:r>
          </w:p>
        </w:tc>
        <w:tc>
          <w:tcPr>
            <w:tcW w:type="dxa" w:w="295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低波动收入事件</w:t>
            </w:r>
          </w:p>
        </w:tc>
      </w:tr>
      <w:tr>
        <w:trPr>
          <w:cantSplit/>
        </w:trPr>
        <w:tc>
          <w:tcPr>
            <w:tcW w:type="dxa" w:w="197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原始股配售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获得 2 股青庭能源</w:t>
            </w:r>
          </w:p>
        </w:tc>
        <w:tc>
          <w:tcPr>
            <w:tcW w:type="dxa" w:w="295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把随机事件转化为投资选择</w:t>
            </w:r>
          </w:p>
        </w:tc>
      </w:tr>
      <w:tr>
        <w:trPr>
          <w:cantSplit/>
        </w:trPr>
        <w:tc>
          <w:tcPr>
            <w:tcW w:type="dxa" w:w="197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5"/>
              </w:rPr>
              <w:t>商圈联合促销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其他每位玩家支付 120 元</w:t>
            </w:r>
          </w:p>
        </w:tc>
        <w:tc>
          <w:tcPr>
            <w:tcW w:type="dxa" w:w="295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5"/>
              </w:rPr>
              <w:t>强化多人互动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b w:val="0"/>
        </w:rPr>
        <w:t>公共资源与强制规则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12  城市公共系统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68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</w:t>
            </w:r>
          </w:p>
        </w:tc>
        <w:tc>
          <w:tcPr>
            <w:tcW w:type="dxa" w:w="485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当前规则</w:t>
            </w:r>
          </w:p>
        </w:tc>
        <w:tc>
          <w:tcPr>
            <w:tcW w:type="dxa" w:w="2886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玩家影响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营改税</w:t>
            </w:r>
          </w:p>
        </w:tc>
        <w:tc>
          <w:tcPr>
            <w:tcW w:type="dxa" w:w="48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支付当前现金的 8%，最低 200 元、最高 1200 元</w:t>
            </w:r>
          </w:p>
        </w:tc>
        <w:tc>
          <w:tcPr>
            <w:tcW w:type="dxa" w:w="28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进入城市基金池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资产核税</w:t>
            </w:r>
          </w:p>
        </w:tc>
        <w:tc>
          <w:tcPr>
            <w:tcW w:type="dxa" w:w="48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固定 150 元 + 每处地产 60 元，最高 1800 元</w:t>
            </w:r>
          </w:p>
        </w:tc>
        <w:tc>
          <w:tcPr>
            <w:tcW w:type="dxa" w:w="28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对多地产玩家形成压力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看守所</w:t>
            </w:r>
          </w:p>
        </w:tc>
        <w:tc>
          <w:tcPr>
            <w:tcW w:type="dxa" w:w="48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保释金 240 元；也可尝试掷出双点离开</w:t>
            </w:r>
          </w:p>
        </w:tc>
        <w:tc>
          <w:tcPr>
            <w:tcW w:type="dxa" w:w="28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暂停移动或支付现金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市民公园</w:t>
            </w:r>
          </w:p>
        </w:tc>
        <w:tc>
          <w:tcPr>
            <w:tcW w:type="dxa" w:w="48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领取当前基金池全部金额，随后清空</w:t>
            </w:r>
          </w:p>
        </w:tc>
        <w:tc>
          <w:tcPr>
            <w:tcW w:type="dxa" w:w="28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公共资金回流给幸运落点玩家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市政厅</w:t>
            </w:r>
          </w:p>
        </w:tc>
        <w:tc>
          <w:tcPr>
            <w:tcW w:type="dxa" w:w="485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获得 480 元，并把市场周期向前推进一级</w:t>
            </w:r>
          </w:p>
        </w:tc>
        <w:tc>
          <w:tcPr>
            <w:tcW w:type="dxa" w:w="288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主动改变租金和股价环境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违规稽查</w:t>
            </w:r>
          </w:p>
        </w:tc>
        <w:tc>
          <w:tcPr>
            <w:tcW w:type="dxa" w:w="485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立即进入看守所</w:t>
            </w:r>
          </w:p>
        </w:tc>
        <w:tc>
          <w:tcPr>
            <w:tcW w:type="dxa" w:w="288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压缩高资产玩家的行动节奏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07  AI 对手设计</w:t>
      </w:r>
    </w:p>
    <w:p>
      <w:r>
        <w:rPr>
          <w:rFonts w:ascii="Microsoft YaHei" w:hAnsi="Microsoft YaHei" w:eastAsia="Microsoft YaHei"/>
          <w:b w:val="0"/>
        </w:rPr>
        <w:t>AI 的目标不是模拟完整的人类谈判，而是提供稳定的经济压力。每个电脑玩家会根据自身档位设定现金安全线、拍卖上限和股票配置比例，再结合地产组完整度评估购买意愿。AI 不读取未来随机结果，也不使用隐藏资金。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7.1  三档策略人格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13  AI 策略档位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19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档位</w:t>
            </w:r>
          </w:p>
        </w:tc>
        <w:tc>
          <w:tcPr>
            <w:tcW w:type="dxa" w:w="147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现金安全线</w:t>
            </w:r>
          </w:p>
        </w:tc>
        <w:tc>
          <w:tcPr>
            <w:tcW w:type="dxa" w:w="204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拍卖估值</w:t>
            </w:r>
          </w:p>
        </w:tc>
        <w:tc>
          <w:tcPr>
            <w:tcW w:type="dxa" w:w="161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股票预留金</w:t>
            </w:r>
          </w:p>
        </w:tc>
        <w:tc>
          <w:tcPr>
            <w:tcW w:type="dxa" w:w="309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行为倾向</w:t>
            </w:r>
          </w:p>
        </w:tc>
      </w:tr>
      <w:tr>
        <w:trPr>
          <w:cantSplit/>
        </w:trPr>
        <w:tc>
          <w:tcPr>
            <w:tcW w:type="dxa" w:w="11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稳健</w:t>
            </w:r>
          </w:p>
        </w:tc>
        <w:tc>
          <w:tcPr>
            <w:tcW w:type="dxa" w:w="147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1100 元</w:t>
            </w:r>
          </w:p>
        </w:tc>
        <w:tc>
          <w:tcPr>
            <w:tcW w:type="dxa" w:w="204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地产价格的 66% 左右</w:t>
            </w:r>
          </w:p>
        </w:tc>
        <w:tc>
          <w:tcPr>
            <w:tcW w:type="dxa" w:w="161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1600 元</w:t>
            </w:r>
          </w:p>
        </w:tc>
        <w:tc>
          <w:tcPr>
            <w:tcW w:type="dxa" w:w="30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保留现金，偏好低风险组合</w:t>
            </w:r>
          </w:p>
        </w:tc>
      </w:tr>
      <w:tr>
        <w:trPr>
          <w:cantSplit/>
        </w:trPr>
        <w:tc>
          <w:tcPr>
            <w:tcW w:type="dxa" w:w="119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进取</w:t>
            </w:r>
          </w:p>
        </w:tc>
        <w:tc>
          <w:tcPr>
            <w:tcW w:type="dxa" w:w="147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650 元</w:t>
            </w:r>
          </w:p>
        </w:tc>
        <w:tc>
          <w:tcPr>
            <w:tcW w:type="dxa" w:w="204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地产价格的 78% 左右</w:t>
            </w:r>
          </w:p>
        </w:tc>
        <w:tc>
          <w:tcPr>
            <w:tcW w:type="dxa" w:w="161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1000 元</w:t>
            </w:r>
          </w:p>
        </w:tc>
        <w:tc>
          <w:tcPr>
            <w:tcW w:type="dxa" w:w="309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主动争夺组合与拍卖</w:t>
            </w:r>
          </w:p>
        </w:tc>
      </w:tr>
      <w:tr>
        <w:trPr>
          <w:cantSplit/>
        </w:trPr>
        <w:tc>
          <w:tcPr>
            <w:tcW w:type="dxa" w:w="11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冒险</w:t>
            </w:r>
          </w:p>
        </w:tc>
        <w:tc>
          <w:tcPr>
            <w:tcW w:type="dxa" w:w="147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300 元</w:t>
            </w:r>
          </w:p>
        </w:tc>
        <w:tc>
          <w:tcPr>
            <w:tcW w:type="dxa" w:w="204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地产价格的 90% 左右</w:t>
            </w:r>
          </w:p>
        </w:tc>
        <w:tc>
          <w:tcPr>
            <w:tcW w:type="dxa" w:w="161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550 元</w:t>
            </w:r>
          </w:p>
        </w:tc>
        <w:tc>
          <w:tcPr>
            <w:tcW w:type="dxa" w:w="30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高杠杆扩张，抗风险能力较低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7.2  决策顺序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14  AI 主要决策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689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450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AI 判断</w:t>
            </w:r>
          </w:p>
        </w:tc>
        <w:tc>
          <w:tcPr>
            <w:tcW w:type="dxa" w:w="323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防错约束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购买地产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现金扣除地价后是否仍高于安全线；同组已持有数量会提高估值</w:t>
            </w:r>
          </w:p>
        </w:tc>
        <w:tc>
          <w:tcPr>
            <w:tcW w:type="dxa" w:w="323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现金不足直接放弃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参与拍卖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当前最低报价是否低于自身估值上限</w:t>
            </w:r>
          </w:p>
        </w:tc>
        <w:tc>
          <w:tcPr>
            <w:tcW w:type="dxa" w:w="323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不得超过可承受现金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升级建筑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组合是否完整、升级后租金、现金安全线</w:t>
            </w:r>
          </w:p>
        </w:tc>
        <w:tc>
          <w:tcPr>
            <w:tcW w:type="dxa" w:w="323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遵循均衡升级规则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购买股票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市场是否处于扩张期，股价相对基准价是否合理</w:t>
            </w:r>
          </w:p>
        </w:tc>
        <w:tc>
          <w:tcPr>
            <w:tcW w:type="dxa" w:w="323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保留自用现金</w:t>
            </w:r>
          </w:p>
        </w:tc>
      </w:tr>
      <w:tr>
        <w:trPr>
          <w:cantSplit/>
        </w:trPr>
        <w:tc>
          <w:tcPr>
            <w:tcW w:type="dxa" w:w="1689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抵押与赎回</w:t>
            </w:r>
          </w:p>
        </w:tc>
        <w:tc>
          <w:tcPr>
            <w:tcW w:type="dxa" w:w="450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现金低于安全线时优先融资，现金充裕时赎回</w:t>
            </w:r>
          </w:p>
        </w:tc>
        <w:tc>
          <w:tcPr>
            <w:tcW w:type="dxa" w:w="323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与真人共享清算规则</w:t>
            </w:r>
          </w:p>
        </w:tc>
      </w:tr>
      <w:tr>
        <w:trPr>
          <w:cantSplit/>
        </w:trPr>
        <w:tc>
          <w:tcPr>
            <w:tcW w:type="dxa" w:w="1689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看守所处理</w:t>
            </w:r>
          </w:p>
        </w:tc>
        <w:tc>
          <w:tcPr>
            <w:tcW w:type="dxa" w:w="450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现金充足时保释，否则尝试双点</w:t>
            </w:r>
          </w:p>
        </w:tc>
        <w:tc>
          <w:tcPr>
            <w:tcW w:type="dxa" w:w="323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最多三次失败后强制保释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7.3  AI 的边界</w:t>
      </w:r>
    </w:p>
    <w:p>
      <w:r>
        <w:rPr>
          <w:rFonts w:ascii="Microsoft YaHei" w:hAnsi="Microsoft YaHei" w:eastAsia="Microsoft YaHei"/>
          <w:b w:val="0"/>
        </w:rPr>
        <w:t>当前 AI 不会主动提出玩家间交易，不会进行复杂的跨回合谈判，也不会根据所有对手的现金进行完整博弈搜索。它的优点是决策可解释、运行成本低、与真人规则一致；下一阶段可以加入交易报价、风险评分和局面模拟，但需要先确保 AI 不会为了短期收益破坏基本经济平衡。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08  界面与玩家体验</w:t>
      </w:r>
    </w:p>
    <w:p>
      <w:r>
        <w:rPr>
          <w:rFonts w:ascii="Microsoft YaHei" w:hAnsi="Microsoft YaHei" w:eastAsia="Microsoft YaHei"/>
          <w:b w:val="0"/>
        </w:rPr>
        <w:t>界面围绕“棋盘是主视图，决策是右侧面板”组织。棋盘以颜色带呈现地产组，以玩家色点显示当前位置；右侧面板集中展示当前玩家、现金、骰子、主行动和城市日志。资产与股市放在同一控制面板的标签页中，减少切屏成本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4" name="Picture 4" descr="都市大亨桌面端运行界面，左侧为玩家信息，中间为棋盘，右侧为回合操作、资产与股市面板。" title="都市大亨桌面端运行界面，左侧为玩家信息，中间为棋盘，右侧为回合操作、资产与股市面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-game-14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YaHei" w:hAnsi="Microsoft YaHei" w:eastAsia="Microsoft YaHei"/>
          <w:color w:val="6E7772"/>
          <w:sz w:val="16"/>
        </w:rPr>
        <w:t>图 3  桌面端实际运行界面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8.1  信息架构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15  界面信息架构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40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4223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主要内容</w:t>
            </w:r>
          </w:p>
        </w:tc>
        <w:tc>
          <w:tcPr>
            <w:tcW w:type="dxa" w:w="380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玩家需要解决的问题</w:t>
            </w:r>
          </w:p>
        </w:tc>
      </w:tr>
      <w:tr>
        <w:trPr>
          <w:cantSplit/>
        </w:trPr>
        <w:tc>
          <w:tcPr>
            <w:tcW w:type="dxa" w:w="140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顶栏</w:t>
            </w:r>
          </w:p>
        </w:tc>
        <w:tc>
          <w:tcPr>
            <w:tcW w:type="dxa" w:w="422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回合、市场、基金池、音效和新局</w:t>
            </w:r>
          </w:p>
        </w:tc>
        <w:tc>
          <w:tcPr>
            <w:tcW w:type="dxa" w:w="38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快速确认当前局面</w:t>
            </w:r>
          </w:p>
        </w:tc>
      </w:tr>
      <w:tr>
        <w:trPr>
          <w:cantSplit/>
        </w:trPr>
        <w:tc>
          <w:tcPr>
            <w:tcW w:type="dxa" w:w="140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左侧玩家区</w:t>
            </w:r>
          </w:p>
        </w:tc>
        <w:tc>
          <w:tcPr>
            <w:tcW w:type="dxa" w:w="422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现金、地产数量、持股、行动者与资产排行</w:t>
            </w:r>
          </w:p>
        </w:tc>
        <w:tc>
          <w:tcPr>
            <w:tcW w:type="dxa" w:w="38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比较自己和对手</w:t>
            </w:r>
          </w:p>
        </w:tc>
      </w:tr>
      <w:tr>
        <w:trPr>
          <w:cantSplit/>
        </w:trPr>
        <w:tc>
          <w:tcPr>
            <w:tcW w:type="dxa" w:w="140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中央棋盘</w:t>
            </w:r>
          </w:p>
        </w:tc>
        <w:tc>
          <w:tcPr>
            <w:tcW w:type="dxa" w:w="422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40 格内容、持有状态、建筑等级、玩家位置</w:t>
            </w:r>
          </w:p>
        </w:tc>
        <w:tc>
          <w:tcPr>
            <w:tcW w:type="dxa" w:w="38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判断全局空间与组合</w:t>
            </w:r>
          </w:p>
        </w:tc>
      </w:tr>
      <w:tr>
        <w:trPr>
          <w:cantSplit/>
        </w:trPr>
        <w:tc>
          <w:tcPr>
            <w:tcW w:type="dxa" w:w="140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右侧操作区</w:t>
            </w:r>
          </w:p>
        </w:tc>
        <w:tc>
          <w:tcPr>
            <w:tcW w:type="dxa" w:w="422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骰子、主行动、当前地产、日志</w:t>
            </w:r>
          </w:p>
        </w:tc>
        <w:tc>
          <w:tcPr>
            <w:tcW w:type="dxa" w:w="38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完成本回合决策</w:t>
            </w:r>
          </w:p>
        </w:tc>
      </w:tr>
      <w:tr>
        <w:trPr>
          <w:cantSplit/>
        </w:trPr>
        <w:tc>
          <w:tcPr>
            <w:tcW w:type="dxa" w:w="140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资产页</w:t>
            </w:r>
          </w:p>
        </w:tc>
        <w:tc>
          <w:tcPr>
            <w:tcW w:type="dxa" w:w="422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升级、拆除、抵押、赎回</w:t>
            </w:r>
          </w:p>
        </w:tc>
        <w:tc>
          <w:tcPr>
            <w:tcW w:type="dxa" w:w="38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调整现金与杠杆</w:t>
            </w:r>
          </w:p>
        </w:tc>
      </w:tr>
      <w:tr>
        <w:trPr>
          <w:cantSplit/>
        </w:trPr>
        <w:tc>
          <w:tcPr>
            <w:tcW w:type="dxa" w:w="140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股市页</w:t>
            </w:r>
          </w:p>
        </w:tc>
        <w:tc>
          <w:tcPr>
            <w:tcW w:type="dxa" w:w="422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价格、涨跌、持仓、买卖</w:t>
            </w:r>
          </w:p>
        </w:tc>
        <w:tc>
          <w:tcPr>
            <w:tcW w:type="dxa" w:w="38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配置投资组合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8.2  反馈与可读性</w:t>
      </w:r>
    </w:p>
    <w:p>
      <w:r>
        <w:rPr>
          <w:rFonts w:ascii="Microsoft YaHei" w:hAnsi="Microsoft YaHei" w:eastAsia="Microsoft YaHei"/>
          <w:b w:val="0"/>
        </w:rPr>
        <w:t>掷骰、棋子移动、拍卖、事件卡和破产结算都有独立的视觉反馈。动作完成后会写入城市动态日志，并在现金变化、租金收入、建造和突发事件上使用不同颜色。不能执行的操作会给出禁用状态和原因，避免玩家在面板中反复试错。</w:t>
      </w:r>
    </w:p>
    <w:p>
      <w:r>
        <w:rPr>
          <w:rFonts w:ascii="Microsoft YaHei" w:hAnsi="Microsoft YaHei" w:eastAsia="Microsoft YaHei"/>
          <w:b w:val="0"/>
        </w:rPr>
        <w:t>在 1440×900 桌面视口与 390×844 手机视口中，棋盘都保持正方形；手机端面板纵向堆叠。界面支持键盘焦点、按钮标签、减少动效偏好和音效开关。</w:t>
      </w:r>
    </w:p>
    <w:p>
      <w:pPr>
        <w:pStyle w:val="Heading1"/>
        <w:keepNext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09  技术架构与实现</w:t>
      </w:r>
    </w:p>
    <w:p>
      <w:r>
        <w:rPr>
          <w:rFonts w:ascii="Microsoft YaHei" w:hAnsi="Microsoft YaHei" w:eastAsia="Microsoft YaHei"/>
          <w:b w:val="0"/>
        </w:rPr>
        <w:t>项目采用无框架的前端实现，核心目的是让游戏规则和界面展示分离。规则引擎是纯 JavaScript 类，不依赖 DOM；界面层负责事件、动画和弹窗；静态数据目录集中维护棋盘、地产组、股票和事件卡。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80" cy="2691705"/>
            <wp:docPr id="5" name="Picture 5" descr="项目架构图，表现层连接交互控制层，交互控制层连接纯规则引擎，右侧为静态数据、本地存档和静态分发。" title="项目架构图，表现层连接交互控制层，交互控制层连接纯规则引擎，右侧为静态数据、本地存档和静态分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9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YaHei" w:hAnsi="Microsoft YaHei" w:eastAsia="Microsoft YaHei"/>
          <w:color w:val="6E7772"/>
          <w:sz w:val="16"/>
        </w:rPr>
        <w:t>图 4  项目分层与数据流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9.1  代码模块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16  主要代码模块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572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64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21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可测试性</w:t>
            </w:r>
          </w:p>
        </w:tc>
      </w:tr>
      <w:tr>
        <w:trPr>
          <w:cantSplit/>
        </w:trPr>
        <w:tc>
          <w:tcPr>
            <w:tcW w:type="dxa" w:w="15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js/data.js</w:t>
            </w:r>
          </w:p>
        </w:tc>
        <w:tc>
          <w:tcPr>
            <w:tcW w:type="dxa" w:w="46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棋盘、地产、股票、事件、预设与 AI 配置</w:t>
            </w:r>
          </w:p>
        </w:tc>
        <w:tc>
          <w:tcPr>
            <w:tcW w:type="dxa" w:w="3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纯数据，便于审阅</w:t>
            </w:r>
          </w:p>
        </w:tc>
      </w:tr>
      <w:tr>
        <w:trPr>
          <w:cantSplit/>
        </w:trPr>
        <w:tc>
          <w:tcPr>
            <w:tcW w:type="dxa" w:w="15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js/engine.js</w:t>
            </w:r>
          </w:p>
        </w:tc>
        <w:tc>
          <w:tcPr>
            <w:tcW w:type="dxa" w:w="46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规则状态、回合、拍卖、租金、股票与破产</w:t>
            </w:r>
          </w:p>
        </w:tc>
        <w:tc>
          <w:tcPr>
            <w:tcW w:type="dxa" w:w="3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独立单元测试</w:t>
            </w:r>
          </w:p>
        </w:tc>
      </w:tr>
      <w:tr>
        <w:trPr>
          <w:cantSplit/>
        </w:trPr>
        <w:tc>
          <w:tcPr>
            <w:tcW w:type="dxa" w:w="15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js/ui.js</w:t>
            </w:r>
          </w:p>
        </w:tc>
        <w:tc>
          <w:tcPr>
            <w:tcW w:type="dxa" w:w="46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DOM 渲染、交互、动画、弹窗和存档</w:t>
            </w:r>
          </w:p>
        </w:tc>
        <w:tc>
          <w:tcPr>
            <w:tcW w:type="dxa" w:w="3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浏览器验收</w:t>
            </w:r>
          </w:p>
        </w:tc>
      </w:tr>
      <w:tr>
        <w:trPr>
          <w:cantSplit/>
        </w:trPr>
        <w:tc>
          <w:tcPr>
            <w:tcW w:type="dxa" w:w="15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js/icons.js</w:t>
            </w:r>
          </w:p>
        </w:tc>
        <w:tc>
          <w:tcPr>
            <w:tcW w:type="dxa" w:w="46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界面图标集合</w:t>
            </w:r>
          </w:p>
        </w:tc>
        <w:tc>
          <w:tcPr>
            <w:tcW w:type="dxa" w:w="3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静态资源</w:t>
            </w:r>
          </w:p>
        </w:tc>
      </w:tr>
      <w:tr>
        <w:trPr>
          <w:cantSplit/>
        </w:trPr>
        <w:tc>
          <w:tcPr>
            <w:tcW w:type="dxa" w:w="15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js/main.js</w:t>
            </w:r>
          </w:p>
        </w:tc>
        <w:tc>
          <w:tcPr>
            <w:tcW w:type="dxa" w:w="464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应用启动入口</w:t>
            </w:r>
          </w:p>
        </w:tc>
        <w:tc>
          <w:tcPr>
            <w:tcW w:type="dxa" w:w="3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轻量装配</w:t>
            </w:r>
          </w:p>
        </w:tc>
      </w:tr>
      <w:tr>
        <w:trPr>
          <w:cantSplit/>
        </w:trPr>
        <w:tc>
          <w:tcPr>
            <w:tcW w:type="dxa" w:w="15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styles.css</w:t>
            </w:r>
          </w:p>
        </w:tc>
        <w:tc>
          <w:tcPr>
            <w:tcW w:type="dxa" w:w="464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桌面与移动端布局、主题和动效</w:t>
            </w:r>
          </w:p>
        </w:tc>
        <w:tc>
          <w:tcPr>
            <w:tcW w:type="dxa" w:w="3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视觉检查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9.2  状态与存档</w:t>
      </w:r>
    </w:p>
    <w:p>
      <w:r>
        <w:rPr>
          <w:rFonts w:ascii="Microsoft YaHei" w:hAnsi="Microsoft YaHei" w:eastAsia="Microsoft YaHei"/>
          <w:b w:val="0"/>
        </w:rPr>
        <w:t>游戏状态包含玩家、棋盘持有关系、建筑等级、抵押状态、股票价格、市场周期、基金池、当前回合和日志。存档使用带版本号的 JSON 写入 localStorage，恢复时会检查版本与必要字段，避免旧格式直接破坏对局。</w:t>
      </w:r>
    </w:p>
    <w:p>
      <w:r>
        <w:rPr>
          <w:rFonts w:ascii="Microsoft YaHei" w:hAnsi="Microsoft YaHei" w:eastAsia="Microsoft YaHei"/>
          <w:b w:val="0"/>
        </w:rPr>
        <w:t>规则层使用可注入随机数生成器，自动测试可以用固定种子重复模拟完整对局。所有玩家名称在插入页面前都会做 HTML 转义，减少用户输入进入页面的风险。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10  测试与验收</w:t>
      </w:r>
    </w:p>
    <w:p>
      <w:r>
        <w:rPr>
          <w:rFonts w:ascii="Microsoft YaHei" w:hAnsi="Microsoft YaHei" w:eastAsia="Microsoft YaHei"/>
          <w:b w:val="0"/>
        </w:rPr>
        <w:t>当前版本把规则正确性放在视觉细节之前。纯规则测试覆盖核心经济路径，浏览器测试覆盖实际点击、响应式布局和多 AI 回合。下表列出已经执行的验收项和当前结果。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17  规则与自动化验收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872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5976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验证内容</w:t>
            </w:r>
          </w:p>
        </w:tc>
        <w:tc>
          <w:tcPr>
            <w:tcW w:type="dxa" w:w="1368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棋盘数据</w:t>
            </w:r>
          </w:p>
        </w:tc>
        <w:tc>
          <w:tcPr>
            <w:tcW w:type="dxa" w:w="59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40 格、24 地产、4 交通、3 公用事业</w:t>
            </w:r>
          </w:p>
        </w:tc>
        <w:tc>
          <w:tcPr>
            <w:tcW w:type="dxa" w:w="13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组合租金</w:t>
            </w:r>
          </w:p>
        </w:tc>
        <w:tc>
          <w:tcPr>
            <w:tcW w:type="dxa" w:w="597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完整街区翻倍、升级倍率与市场倍率</w:t>
            </w:r>
          </w:p>
        </w:tc>
        <w:tc>
          <w:tcPr>
            <w:tcW w:type="dxa" w:w="136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均衡升级</w:t>
            </w:r>
          </w:p>
        </w:tc>
        <w:tc>
          <w:tcPr>
            <w:tcW w:type="dxa" w:w="59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未集齐或升级顺序不正确时阻止操作</w:t>
            </w:r>
          </w:p>
        </w:tc>
        <w:tc>
          <w:tcPr>
            <w:tcW w:type="dxa" w:w="13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抵押赎回</w:t>
            </w:r>
          </w:p>
        </w:tc>
        <w:tc>
          <w:tcPr>
            <w:tcW w:type="dxa" w:w="597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现金变化、租金关闭与赎回成本</w:t>
            </w:r>
          </w:p>
        </w:tc>
        <w:tc>
          <w:tcPr>
            <w:tcW w:type="dxa" w:w="136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股票交易</w:t>
            </w:r>
          </w:p>
        </w:tc>
        <w:tc>
          <w:tcPr>
            <w:tcW w:type="dxa" w:w="59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手续费、持股、卖出与现金变化</w:t>
            </w:r>
          </w:p>
        </w:tc>
        <w:tc>
          <w:tcPr>
            <w:tcW w:type="dxa" w:w="13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公开拍卖</w:t>
            </w:r>
          </w:p>
        </w:tc>
        <w:tc>
          <w:tcPr>
            <w:tcW w:type="dxa" w:w="597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出价、退出、成交与所有权转移</w:t>
            </w:r>
          </w:p>
        </w:tc>
        <w:tc>
          <w:tcPr>
            <w:tcW w:type="dxa" w:w="136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破产清算</w:t>
            </w:r>
          </w:p>
        </w:tc>
        <w:tc>
          <w:tcPr>
            <w:tcW w:type="dxa" w:w="59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自动筹资、资产转移和胜利判定</w:t>
            </w:r>
          </w:p>
        </w:tc>
        <w:tc>
          <w:tcPr>
            <w:tcW w:type="dxa" w:w="13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存档恢复</w:t>
            </w:r>
          </w:p>
        </w:tc>
        <w:tc>
          <w:tcPr>
            <w:tcW w:type="dxa" w:w="5976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经济状态、地产与市场完整恢复</w:t>
            </w:r>
          </w:p>
        </w:tc>
        <w:tc>
          <w:tcPr>
            <w:tcW w:type="dxa" w:w="1368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AI 长局模拟</w:t>
            </w:r>
          </w:p>
        </w:tc>
        <w:tc>
          <w:tcPr>
            <w:tcW w:type="dxa" w:w="59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固定种子完整对局无非法状态</w:t>
            </w:r>
          </w:p>
        </w:tc>
        <w:tc>
          <w:tcPr>
            <w:tcW w:type="dxa" w:w="1368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10.1  浏览器验收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18  浏览器验收结果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21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21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检查结果</w:t>
            </w:r>
          </w:p>
        </w:tc>
      </w:tr>
      <w:tr>
        <w:trPr>
          <w:cantSplit/>
        </w:trPr>
        <w:tc>
          <w:tcPr>
            <w:tcW w:type="dxa" w:w="2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1440×900 桌面</w:t>
            </w:r>
          </w:p>
        </w:tc>
        <w:tc>
          <w:tcPr>
            <w:tcW w:type="dxa" w:w="721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棋盘、玩家区、控制区均无横向溢出；40 个格子尺寸一致</w:t>
            </w:r>
          </w:p>
        </w:tc>
      </w:tr>
      <w:tr>
        <w:trPr>
          <w:cantSplit/>
        </w:trPr>
        <w:tc>
          <w:tcPr>
            <w:tcW w:type="dxa" w:w="2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390×844 手机</w:t>
            </w:r>
          </w:p>
        </w:tc>
        <w:tc>
          <w:tcPr>
            <w:tcW w:type="dxa" w:w="721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棋盘为 360×360；面板纵向堆叠；无横向溢出</w:t>
            </w:r>
          </w:p>
        </w:tc>
      </w:tr>
      <w:tr>
        <w:trPr>
          <w:cantSplit/>
        </w:trPr>
        <w:tc>
          <w:tcPr>
            <w:tcW w:type="dxa" w:w="2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购买与拍卖</w:t>
            </w:r>
          </w:p>
        </w:tc>
        <w:tc>
          <w:tcPr>
            <w:tcW w:type="dxa" w:w="721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可放弃购买并进入拍卖，真人出价后成交，资产数量正确变化</w:t>
            </w:r>
          </w:p>
        </w:tc>
      </w:tr>
      <w:tr>
        <w:trPr>
          <w:cantSplit/>
        </w:trPr>
        <w:tc>
          <w:tcPr>
            <w:tcW w:type="dxa" w:w="2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资产与股票</w:t>
            </w:r>
          </w:p>
        </w:tc>
        <w:tc>
          <w:tcPr>
            <w:tcW w:type="dxa" w:w="721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标签页可切换，买入股票后现金与持仓同步更新</w:t>
            </w:r>
          </w:p>
        </w:tc>
      </w:tr>
      <w:tr>
        <w:trPr>
          <w:cantSplit/>
        </w:trPr>
        <w:tc>
          <w:tcPr>
            <w:tcW w:type="dxa" w:w="2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AI 连续回合</w:t>
            </w:r>
          </w:p>
        </w:tc>
        <w:tc>
          <w:tcPr>
            <w:tcW w:type="dxa" w:w="721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三名 AI 完成购买、升级、股票与回合切换，控制台无报错</w:t>
            </w:r>
          </w:p>
        </w:tc>
      </w:tr>
      <w:tr>
        <w:trPr>
          <w:cantSplit/>
        </w:trPr>
        <w:tc>
          <w:tcPr>
            <w:tcW w:type="dxa" w:w="2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存档恢复</w:t>
            </w:r>
          </w:p>
        </w:tc>
        <w:tc>
          <w:tcPr>
            <w:tcW w:type="dxa" w:w="721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刷新页面后可继续上局，现金与棋盘状态保持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10.2  剩余风险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19  当前版本的主要风险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072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073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28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处理建议</w:t>
            </w:r>
          </w:p>
        </w:tc>
      </w:tr>
      <w:tr>
        <w:trPr>
          <w:cantSplit/>
        </w:trPr>
        <w:tc>
          <w:tcPr>
            <w:tcW w:type="dxa" w:w="20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单局时长不可预测</w:t>
            </w:r>
          </w:p>
        </w:tc>
        <w:tc>
          <w:tcPr>
            <w:tcW w:type="dxa" w:w="30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课堂演示可能超过预期</w:t>
            </w:r>
          </w:p>
        </w:tc>
        <w:tc>
          <w:tcPr>
            <w:tcW w:type="dxa" w:w="4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增加固定回合或目标净资产模式</w:t>
            </w:r>
          </w:p>
        </w:tc>
      </w:tr>
      <w:tr>
        <w:trPr>
          <w:cantSplit/>
        </w:trPr>
        <w:tc>
          <w:tcPr>
            <w:tcW w:type="dxa" w:w="20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AI 不进行玩家交易</w:t>
            </w:r>
          </w:p>
        </w:tc>
        <w:tc>
          <w:tcPr>
            <w:tcW w:type="dxa" w:w="30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长期对局可能偏向资产累积</w:t>
            </w:r>
          </w:p>
        </w:tc>
        <w:tc>
          <w:tcPr>
            <w:tcW w:type="dxa" w:w="4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加入交易报价与接受阈值</w:t>
            </w:r>
          </w:p>
        </w:tc>
      </w:tr>
      <w:tr>
        <w:trPr>
          <w:cantSplit/>
        </w:trPr>
        <w:tc>
          <w:tcPr>
            <w:tcW w:type="dxa" w:w="20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手机端格子文字较小</w:t>
            </w:r>
          </w:p>
        </w:tc>
        <w:tc>
          <w:tcPr>
            <w:tcW w:type="dxa" w:w="30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触屏查看具体地产需要点击放大</w:t>
            </w:r>
          </w:p>
        </w:tc>
        <w:tc>
          <w:tcPr>
            <w:tcW w:type="dxa" w:w="4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增加点击后的详情层与手势缩放</w:t>
            </w:r>
          </w:p>
        </w:tc>
      </w:tr>
      <w:tr>
        <w:trPr>
          <w:cantSplit/>
        </w:trPr>
        <w:tc>
          <w:tcPr>
            <w:tcW w:type="dxa" w:w="20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随机事件波动较大</w:t>
            </w:r>
          </w:p>
        </w:tc>
        <w:tc>
          <w:tcPr>
            <w:tcW w:type="dxa" w:w="30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少数局面可能快速拉开差距</w:t>
            </w:r>
          </w:p>
        </w:tc>
        <w:tc>
          <w:tcPr>
            <w:tcW w:type="dxa" w:w="4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增加事件强度和触发频率参数</w:t>
            </w:r>
          </w:p>
        </w:tc>
      </w:tr>
      <w:tr>
        <w:trPr>
          <w:cantSplit/>
        </w:trPr>
        <w:tc>
          <w:tcPr>
            <w:tcW w:type="dxa" w:w="207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存档只存在本机</w:t>
            </w:r>
          </w:p>
        </w:tc>
        <w:tc>
          <w:tcPr>
            <w:tcW w:type="dxa" w:w="3073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换浏览器或清理缓存会丢失对局</w:t>
            </w:r>
          </w:p>
        </w:tc>
        <w:tc>
          <w:tcPr>
            <w:tcW w:type="dxa" w:w="4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提供 JSON 导入与导出</w:t>
            </w:r>
          </w:p>
        </w:tc>
      </w:tr>
      <w:tr>
        <w:trPr>
          <w:cantSplit/>
        </w:trPr>
        <w:tc>
          <w:tcPr>
            <w:tcW w:type="dxa" w:w="207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地产颜色识别有限</w:t>
            </w:r>
          </w:p>
        </w:tc>
        <w:tc>
          <w:tcPr>
            <w:tcW w:type="dxa" w:w="3073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色弱玩家较难快速区分组合</w:t>
            </w:r>
          </w:p>
        </w:tc>
        <w:tc>
          <w:tcPr>
            <w:tcW w:type="dxa" w:w="4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为街区增加纹理或字母编号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10.3  验收结论</w:t>
      </w:r>
    </w:p>
    <w:p>
      <w:r>
        <w:rPr>
          <w:rFonts w:ascii="Microsoft YaHei" w:hAnsi="Microsoft YaHei" w:eastAsia="Microsoft YaHei"/>
          <w:b w:val="0"/>
        </w:rPr>
        <w:t>当前版本已经达到可运行原型标准：核心规则完整，真人与 AI 使用同一套经济约束，地产、拍卖、股票、市场和破产路径均有自动化或浏览器验证。仓库可以在没有构建工具的情况下直接启动，并保留全部规则与测试代码。</w:t>
      </w:r>
    </w:p>
    <w:p>
      <w:r>
        <w:rPr>
          <w:rFonts w:ascii="Microsoft YaHei" w:hAnsi="Microsoft YaHei" w:eastAsia="Microsoft YaHei"/>
          <w:b w:val="0"/>
        </w:rPr>
        <w:t>现阶段最重要的交付边界是单局时长和玩家谈判。前者影响课堂演示，后者影响多人局的长期变化。两项功能进入开发前，应先补足对应的目标模式与 AI 接受阈值，避免只增加系统数量而不改善对局节奏。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11  平衡参数与迭代计划</w:t>
      </w: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11.1  对局规模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20  对局规模预设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71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001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初始现金</w:t>
            </w:r>
          </w:p>
        </w:tc>
        <w:tc>
          <w:tcPr>
            <w:tcW w:type="dxa" w:w="228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经过启程工资</w:t>
            </w:r>
          </w:p>
        </w:tc>
        <w:tc>
          <w:tcPr>
            <w:tcW w:type="dxa" w:w="3430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适用场景</w:t>
            </w:r>
          </w:p>
        </w:tc>
      </w:tr>
      <w:tr>
        <w:trPr>
          <w:cantSplit/>
        </w:trPr>
        <w:tc>
          <w:tcPr>
            <w:tcW w:type="dxa" w:w="17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短局</w:t>
            </w:r>
          </w:p>
        </w:tc>
        <w:tc>
          <w:tcPr>
            <w:tcW w:type="dxa" w:w="20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5000 元</w:t>
            </w:r>
          </w:p>
        </w:tc>
        <w:tc>
          <w:tcPr>
            <w:tcW w:type="dxa" w:w="2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1500 元</w:t>
            </w:r>
          </w:p>
        </w:tc>
        <w:tc>
          <w:tcPr>
            <w:tcW w:type="dxa" w:w="34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课堂演示、快速体验</w:t>
            </w:r>
          </w:p>
        </w:tc>
      </w:tr>
      <w:tr>
        <w:trPr>
          <w:cantSplit/>
        </w:trPr>
        <w:tc>
          <w:tcPr>
            <w:tcW w:type="dxa" w:w="17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标准</w:t>
            </w:r>
          </w:p>
        </w:tc>
        <w:tc>
          <w:tcPr>
            <w:tcW w:type="dxa" w:w="2001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7200 元</w:t>
            </w:r>
          </w:p>
        </w:tc>
        <w:tc>
          <w:tcPr>
            <w:tcW w:type="dxa" w:w="2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2000 元</w:t>
            </w:r>
          </w:p>
        </w:tc>
        <w:tc>
          <w:tcPr>
            <w:tcW w:type="dxa" w:w="343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默认对局</w:t>
            </w:r>
          </w:p>
        </w:tc>
      </w:tr>
      <w:tr>
        <w:trPr>
          <w:cantSplit/>
        </w:trPr>
        <w:tc>
          <w:tcPr>
            <w:tcW w:type="dxa" w:w="17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长局</w:t>
            </w:r>
          </w:p>
        </w:tc>
        <w:tc>
          <w:tcPr>
            <w:tcW w:type="dxa" w:w="2001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10000 元</w:t>
            </w:r>
          </w:p>
        </w:tc>
        <w:tc>
          <w:tcPr>
            <w:tcW w:type="dxa" w:w="2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2400 元</w:t>
            </w:r>
          </w:p>
        </w:tc>
        <w:tc>
          <w:tcPr>
            <w:tcW w:type="dxa" w:w="34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完整经济与 AI 对抗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11.2  关键常量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21  影响平衡的关键常量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28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21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3930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调整后会改变什么</w:t>
            </w:r>
          </w:p>
        </w:tc>
      </w:tr>
      <w:tr>
        <w:trPr>
          <w:cantSplit/>
        </w:trPr>
        <w:tc>
          <w:tcPr>
            <w:tcW w:type="dxa" w:w="2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保释金</w:t>
            </w:r>
          </w:p>
        </w:tc>
        <w:tc>
          <w:tcPr>
            <w:tcW w:type="dxa" w:w="3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240 元</w:t>
            </w:r>
          </w:p>
        </w:tc>
        <w:tc>
          <w:tcPr>
            <w:tcW w:type="dxa" w:w="39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看守所回合的机会成本</w:t>
            </w:r>
          </w:p>
        </w:tc>
      </w:tr>
      <w:tr>
        <w:trPr>
          <w:cantSplit/>
        </w:trPr>
        <w:tc>
          <w:tcPr>
            <w:tcW w:type="dxa" w:w="2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最高建筑等级</w:t>
            </w:r>
          </w:p>
        </w:tc>
        <w:tc>
          <w:tcPr>
            <w:tcW w:type="dxa" w:w="3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4 级</w:t>
            </w:r>
          </w:p>
        </w:tc>
        <w:tc>
          <w:tcPr>
            <w:tcW w:type="dxa" w:w="393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后期租金上限与资本压力</w:t>
            </w:r>
          </w:p>
        </w:tc>
      </w:tr>
      <w:tr>
        <w:trPr>
          <w:cantSplit/>
        </w:trPr>
        <w:tc>
          <w:tcPr>
            <w:tcW w:type="dxa" w:w="2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股票手续费</w:t>
            </w:r>
          </w:p>
        </w:tc>
        <w:tc>
          <w:tcPr>
            <w:tcW w:type="dxa" w:w="3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0.5%，最低 1 元</w:t>
            </w:r>
          </w:p>
        </w:tc>
        <w:tc>
          <w:tcPr>
            <w:tcW w:type="dxa" w:w="39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短线交易频率</w:t>
            </w:r>
          </w:p>
        </w:tc>
      </w:tr>
      <w:tr>
        <w:trPr>
          <w:cantSplit/>
        </w:trPr>
        <w:tc>
          <w:tcPr>
            <w:tcW w:type="dxa" w:w="2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市场切换周期</w:t>
            </w:r>
          </w:p>
        </w:tc>
        <w:tc>
          <w:tcPr>
            <w:tcW w:type="dxa" w:w="3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每 3 轮评估一次</w:t>
            </w:r>
          </w:p>
        </w:tc>
        <w:tc>
          <w:tcPr>
            <w:tcW w:type="dxa" w:w="393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经济波动频率</w:t>
            </w:r>
          </w:p>
        </w:tc>
      </w:tr>
      <w:tr>
        <w:trPr>
          <w:cantSplit/>
        </w:trPr>
        <w:tc>
          <w:tcPr>
            <w:tcW w:type="dxa" w:w="228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拍卖起拍价</w:t>
            </w:r>
          </w:p>
        </w:tc>
        <w:tc>
          <w:tcPr>
            <w:tcW w:type="dxa" w:w="321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地产价格的 50%</w:t>
            </w:r>
          </w:p>
        </w:tc>
        <w:tc>
          <w:tcPr>
            <w:tcW w:type="dxa" w:w="393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流拍概率与竞价强度</w:t>
            </w:r>
          </w:p>
        </w:tc>
      </w:tr>
      <w:tr>
        <w:trPr>
          <w:cantSplit/>
        </w:trPr>
        <w:tc>
          <w:tcPr>
            <w:tcW w:type="dxa" w:w="228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破产自动清算</w:t>
            </w:r>
          </w:p>
        </w:tc>
        <w:tc>
          <w:tcPr>
            <w:tcW w:type="dxa" w:w="321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股票 → 建筑 → 抵押</w:t>
            </w:r>
          </w:p>
        </w:tc>
        <w:tc>
          <w:tcPr>
            <w:tcW w:type="dxa" w:w="393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玩家的被动损失路径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80"/>
      </w:pPr>
      <w:r>
        <w:rPr>
          <w:rFonts w:ascii="Microsoft YaHei" w:hAnsi="Microsoft YaHei" w:eastAsia="Microsoft YaHei"/>
          <w:b/>
          <w:color w:val="1B2420"/>
          <w:sz w:val="24"/>
        </w:rPr>
        <w:t>11.3  后续开发优先级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22  下一阶段开发排序</w:t>
      </w:r>
    </w:p>
    <w:tbl>
      <w:tblPr>
        <w:tblW w:type="dxa" w:w="9431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135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397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900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价值</w:t>
            </w:r>
          </w:p>
        </w:tc>
      </w:tr>
      <w:tr>
        <w:trPr>
          <w:cantSplit/>
        </w:trPr>
        <w:tc>
          <w:tcPr>
            <w:tcW w:type="dxa" w:w="11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P0</w:t>
            </w:r>
          </w:p>
        </w:tc>
        <w:tc>
          <w:tcPr>
            <w:tcW w:type="dxa" w:w="43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固定回合与目标净资产模式</w:t>
            </w:r>
          </w:p>
        </w:tc>
        <w:tc>
          <w:tcPr>
            <w:tcW w:type="dxa" w:w="3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让单局时长更适合课堂与评审</w:t>
            </w:r>
          </w:p>
        </w:tc>
      </w:tr>
      <w:tr>
        <w:trPr>
          <w:cantSplit/>
        </w:trPr>
        <w:tc>
          <w:tcPr>
            <w:tcW w:type="dxa" w:w="113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P0</w:t>
            </w:r>
          </w:p>
        </w:tc>
        <w:tc>
          <w:tcPr>
            <w:tcW w:type="dxa" w:w="439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玩家间地产与现金交易</w:t>
            </w:r>
          </w:p>
        </w:tc>
        <w:tc>
          <w:tcPr>
            <w:tcW w:type="dxa" w:w="390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增加谈判和多人互动</w:t>
            </w:r>
          </w:p>
        </w:tc>
      </w:tr>
      <w:tr>
        <w:trPr>
          <w:cantSplit/>
        </w:trPr>
        <w:tc>
          <w:tcPr>
            <w:tcW w:type="dxa" w:w="11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P1</w:t>
            </w:r>
          </w:p>
        </w:tc>
        <w:tc>
          <w:tcPr>
            <w:tcW w:type="dxa" w:w="43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第二张地图与区域能力</w:t>
            </w:r>
          </w:p>
        </w:tc>
        <w:tc>
          <w:tcPr>
            <w:tcW w:type="dxa" w:w="3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扩展重复游玩内容</w:t>
            </w:r>
          </w:p>
        </w:tc>
      </w:tr>
      <w:tr>
        <w:trPr>
          <w:cantSplit/>
        </w:trPr>
        <w:tc>
          <w:tcPr>
            <w:tcW w:type="dxa" w:w="113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P1</w:t>
            </w:r>
          </w:p>
        </w:tc>
        <w:tc>
          <w:tcPr>
            <w:tcW w:type="dxa" w:w="439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事件选择分支</w:t>
            </w:r>
          </w:p>
        </w:tc>
        <w:tc>
          <w:tcPr>
            <w:tcW w:type="dxa" w:w="390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把被动抽卡变成经营决策</w:t>
            </w:r>
          </w:p>
        </w:tc>
      </w:tr>
      <w:tr>
        <w:trPr>
          <w:cantSplit/>
        </w:trPr>
        <w:tc>
          <w:tcPr>
            <w:tcW w:type="dxa" w:w="11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P1</w:t>
            </w:r>
          </w:p>
        </w:tc>
        <w:tc>
          <w:tcPr>
            <w:tcW w:type="dxa" w:w="43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AI 风险与交易评估</w:t>
            </w:r>
          </w:p>
        </w:tc>
        <w:tc>
          <w:tcPr>
            <w:tcW w:type="dxa" w:w="3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提高长期对局质量</w:t>
            </w:r>
          </w:p>
        </w:tc>
      </w:tr>
      <w:tr>
        <w:trPr>
          <w:cantSplit/>
        </w:trPr>
        <w:tc>
          <w:tcPr>
            <w:tcW w:type="dxa" w:w="1135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P2</w:t>
            </w:r>
          </w:p>
        </w:tc>
        <w:tc>
          <w:tcPr>
            <w:tcW w:type="dxa" w:w="4397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成就、战报与复盘导出</w:t>
            </w:r>
          </w:p>
        </w:tc>
        <w:tc>
          <w:tcPr>
            <w:tcW w:type="dxa" w:w="390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支持教学和开发迭代</w:t>
            </w:r>
          </w:p>
        </w:tc>
      </w:tr>
      <w:tr>
        <w:trPr>
          <w:cantSplit/>
        </w:trPr>
        <w:tc>
          <w:tcPr>
            <w:tcW w:type="dxa" w:w="1135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P2</w:t>
            </w:r>
          </w:p>
        </w:tc>
        <w:tc>
          <w:tcPr>
            <w:tcW w:type="dxa" w:w="4397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更完整的无障碍与色弱配色</w:t>
            </w:r>
          </w:p>
        </w:tc>
        <w:tc>
          <w:tcPr>
            <w:tcW w:type="dxa" w:w="3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扩大可用人群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color w:val="1B2420"/>
          <w:sz w:val="36"/>
        </w:rPr>
        <w:t>12  附录与运行说明</w:t>
      </w:r>
    </w:p>
    <w:p>
      <w:r>
        <w:rPr>
          <w:rFonts w:ascii="Microsoft YaHei" w:hAnsi="Microsoft YaHei" w:eastAsia="Microsoft YaHei"/>
          <w:b w:val="0"/>
        </w:rPr>
        <w:t>项目代码、测试和设计资源已公开在 GitHub。仓库采用 MIT 兼容的开源审查方式即可直接查看，核心入口为 index.html，规则测试位于 tests/engine.test.js。</w:t>
      </w:r>
    </w:p>
    <w:p>
      <w:pPr>
        <w:keepNext/>
        <w:spacing w:before="100" w:after="60"/>
      </w:pPr>
      <w:r>
        <w:rPr>
          <w:rFonts w:ascii="Microsoft YaHei" w:hAnsi="Microsoft YaHei" w:eastAsia="Microsoft YaHei"/>
          <w:b/>
          <w:color w:val="4F5A55"/>
          <w:sz w:val="16"/>
        </w:rPr>
        <w:t>表 23  项目访问与运行信息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900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532"/>
            <w:shd w:fill="2B393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地址或命令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公开仓库</w:t>
            </w:r>
          </w:p>
        </w:tc>
        <w:tc>
          <w:tcPr>
            <w:tcW w:type="dxa" w:w="75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https://github.com/NyaShark/city-tycoon-arena</w:t>
            </w:r>
          </w:p>
        </w:tc>
      </w:tr>
      <w:tr>
        <w:trPr>
          <w:cantSplit/>
        </w:trPr>
        <w:tc>
          <w:tcPr>
            <w:tcW w:type="dxa" w:w="190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本地运行</w:t>
            </w:r>
          </w:p>
        </w:tc>
        <w:tc>
          <w:tcPr>
            <w:tcW w:type="dxa" w:w="753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npm run serve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本地地址</w:t>
            </w:r>
          </w:p>
        </w:tc>
        <w:tc>
          <w:tcPr>
            <w:tcW w:type="dxa" w:w="75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http://127.0.0.1:4173</w:t>
            </w:r>
          </w:p>
        </w:tc>
      </w:tr>
      <w:tr>
        <w:trPr>
          <w:cantSplit/>
        </w:trPr>
        <w:tc>
          <w:tcPr>
            <w:tcW w:type="dxa" w:w="1900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自动化测试</w:t>
            </w:r>
          </w:p>
        </w:tc>
        <w:tc>
          <w:tcPr>
            <w:tcW w:type="dxa" w:w="7532"/>
            <w:shd w:fill="F5F7F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npm test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静态 CDN 游戏入口</w:t>
            </w:r>
          </w:p>
        </w:tc>
        <w:tc>
          <w:tcPr>
            <w:tcW w:type="dxa" w:w="75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B2420"/>
                <w:sz w:val="16"/>
              </w:rPr>
              <w:t>https://gcore.jsdelivr.net/gh/NyaShark/city-tycoon-arena@main/play.svg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</w:rPr>
        <w:t>本文档以当前仓库中的实际实现为准。规则参数、内容数量和界面描述均可在 js/data.js、js/engine.js 与 js/ui.js 中核对；后续若调整平衡或新增系统，应同步更新对应章节与测试表。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979" w:right="1037" w:bottom="936" w:left="1037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Microsoft YaHei" w:hAnsi="Microsoft YaHei" w:eastAsia="Microsoft YaHei"/>
        <w:color w:val="6E7772"/>
        <w:sz w:val="16"/>
      </w:rPr>
      <w:t>城市经营桌游设计文档</w:t>
    </w:r>
    <w:r>
      <w:rPr>
        <w:rFonts w:ascii="Microsoft YaHei" w:hAnsi="Microsoft YaHei" w:eastAsia="Microsoft YaHei"/>
        <w:color w:val="6E7772"/>
        <w:sz w:val="16"/>
      </w:rPr>
      <w:tab/>
    </w:r>
    <w:r>
      <w:rPr>
        <w:rFonts w:ascii="Microsoft YaHei" w:hAnsi="Microsoft YaHei" w:eastAsia="Microsoft YaHei"/>
        <w:color w:val="6E7772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E7772"/>
        <w:sz w:val="15"/>
      </w:rPr>
      <w:t>都市大亨 环城争霸  /  GDD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 w:before="0"/>
    </w:pPr>
    <w:rPr>
      <w:rFonts w:ascii="Microsoft YaHei" w:hAnsi="Microsoft YaHei" w:eastAsia="Microsoft YaHei"/>
      <w:b w:val="0"/>
      <w:color w:val="1B24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4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42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42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B242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1B242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b w:val="0"/>
      <w:color w:val="1B242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Microsoft YaHei"/>
      <w:b w:val="0"/>
      <w:color w:val="1B242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Microsoft YaHei" w:hAnsi="Microsoft YaHei" w:eastAsia="Microsoft YaHei"/>
      <w:b w:val="0"/>
      <w:bCs/>
      <w:color w:val="6E777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都市大亨 环城争霸 游戏设计文档</dc:title>
  <dc:subject>浏览器城市经营桌游 GDD</dc:subject>
  <dc:creator>NyaShark</dc:creator>
  <cp:keywords>游戏设计, GDD, 大富翁, 城市经营, 地产, 股票, AI</cp:keywords>
  <dc:description>《都市大亨：环城争霸》游戏设计文档，版本 1.0。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