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color w:val="999999"/>
          <w:spacing w:val="60"/>
          <w:sz w:val="18"/>
          <w:szCs w:val="18"/>
        </w:rPr>
        <w:t xml:space="preserve">PORTFOLIO PM IA — MAI 2026</w:t>
      </w:r>
    </w:p>
    <w:p>
      <w:pPr>
        <w:pBdr>
          <w:bottom w:val="single" w:color="1A1A2E" w:sz="4" w:space="1"/>
        </w:pBdr>
        <w:spacing w:after="80" w:before="0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PersonaLens — Lead Persona Engine V1</w:t>
      </w:r>
    </w:p>
    <w:p>
      <w:pPr>
        <w:spacing w:after="400" w:before="8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Pipeline IA de génération automatique de personas B2B dans le CRM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RÉSULTATS CLÉS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&lt; 15 sec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Temps génération</w:t>
            </w:r>
          </w:p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vs 30 min manuelles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~0,02 €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Coût / lead</w:t>
            </w:r>
          </w:p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GPT-4o seul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6 leads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Testés</w:t>
            </w:r>
          </w:p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5 secteurs différents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6"/>
                <w:szCs w:val="36"/>
              </w:rPr>
              <w:t xml:space="preserve">83/100</w:t>
            </w:r>
          </w:p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Score confiance moy.</w:t>
            </w:r>
          </w:p>
          <w:p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sur leads complets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PROBLÈME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Une équipe sales de 15 personnes perd 354 000 €/an en qualification manuelle, personas obsolètes et désalignement sales/marketing. Créer une persona prend 30 minutes. Elle est souvent ignorée faute d'être intégrée dans le CRM au bon moment.</w:t>
      </w:r>
    </w:p>
    <w:p>
      <w:pPr>
        <w:spacing w:after="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SOLUTION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 n8n entièrement automatisé : de l'entrée d'un lead à la persona card enrichie dans le CRM en moins de 15 secondes. Chaque persona inclut profil contextuel, motivations, objections, déclencheurs d'achat et conseils commerciaux actionnables.</w:t>
      </w:r>
    </w:p>
    <w:p>
      <w:pPr>
        <w:spacing w:after="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PIPELINE CONSTRUIT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Leads Input (Google Sheets) → Filter nouveaux leads → GPT-4o (génération persona JSON) → Code JS (parsing + validation qualité) → CRM Output (upsert par email) → Marquage traité</w:t>
      </w:r>
    </w:p>
    <w:p>
      <w:pPr>
        <w:spacing w:after="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FEATURES IMPLÉMENTÉES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 enrichie — profil 5 lignes, motivations, objections, déclencheurs achat, accroche idéale, arguments clés, erreurs à éviter, prochaine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Score de complétude des données (0-100%) sur 7 champs obligatoires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Détection email générique (gmail, test.com...) + alerte email incohérent avec le domaine entreprise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Statut intelligent à 4 niveaux : Fiable / À vérifier / Données incomplètes / À vérifier — email générique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Upsert natif n8n — zéro doublon CRM, mise à jour automatique si lead existant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Traitement incrémental — nouveaux leads uniquement via colonne traite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 processing — N leads traités en un seul run</w:t>
      </w:r>
    </w:p>
    <w:p>
      <w:pPr>
        <w:spacing w:after="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n8n cloud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IA génération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CRM simulé (prototype)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Google Sheets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CRM prod cible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HubSpot / Pipedrive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Enrichissement (prod)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Clay + Apollo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DÉCISIONS PM NOTABLES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Prototype ≠ Production — n8n + Google Sheets pour valider la logique avant d'engager Clay + HubSpot. Coût zéro, itération rapide, même architecture.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R-01 mis en prod — le Risk Register n'est pas resté sur papier : score complétude et détection email générique implémentés dès V1 prototype.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Upsert natif — identification du node Append or Update n8n plutôt qu'implémenter un IF + Search complexe. Solution plus simple, plus robuste.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Once for Each Item — passage du mode batch au mode item pour le traitement parallèle des leads, avec adaptation du code JS en conséquence.</w:t>
      </w:r>
    </w:p>
    <w:p>
      <w:pPr>
        <w:spacing w:after="0" w:before="2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88888"/>
          <w:spacing w:val="40"/>
          <w:sz w:val="18"/>
          <w:szCs w:val="18"/>
        </w:rPr>
        <w:t xml:space="preserve">LIMITES V1 &amp;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Classification sans contexte organisationnel — un Chargé de comm peut être Champion mais pas Décideur Final. Résolu en V3 avec la cartographie multi-stakeholders.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 de Clay en prototype — enrichissement limité aux champs saisis manuellement. Migration Clay prévue pour la V1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Sheets comme CRM — suffit pour la validation. Migration HubSpot native prévue Phase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Prochaines étapes : webhook en entrée, Loom démo, GitHub + README, migration HubSpot, V2 RAG.</w:t>
      </w:r>
    </w:p>
    <w:p>
      <w:pPr>
        <w:spacing w:after="0" w:before="400"/>
      </w:pPr>
      <w:r>
        <w:t xml:space="preserve"/>
      </w:r>
    </w:p>
    <w:p>
      <w:pPr>
        <w:pBdr>
          <w:top w:val="single" w:color="CCCCCC" w:sz="2" w:space="1"/>
        </w:pBdr>
        <w:spacing w:after="0" w:before="0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PersonaLens — Case Study V1 · Portfolio PM IA &amp; Automation · Mai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2026-05-28T15:47:10.741Z</dcterms:created>
  <dcterms:modified xsi:type="dcterms:W3CDTF">2026-05-28T15:47:10.755Z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