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8003" w14:textId="77777777" w:rsidR="00A652CC" w:rsidRPr="005C0062" w:rsidRDefault="00A652CC" w:rsidP="00A652CC">
      <w:pPr>
        <w:rPr>
          <w:b/>
          <w:bCs/>
          <w:sz w:val="36"/>
          <w:szCs w:val="36"/>
        </w:rPr>
      </w:pPr>
      <w:r w:rsidRPr="005C0062">
        <w:rPr>
          <w:b/>
          <w:bCs/>
          <w:sz w:val="36"/>
          <w:szCs w:val="36"/>
        </w:rPr>
        <w:t>Technical Investigation Report: Predictive IT Performance Analysis</w:t>
      </w:r>
    </w:p>
    <w:p w14:paraId="5E9FBDCB" w14:textId="77777777" w:rsidR="00A652CC" w:rsidRPr="005C0062" w:rsidRDefault="00A652CC" w:rsidP="00A652CC">
      <w:pPr>
        <w:rPr>
          <w:sz w:val="26"/>
          <w:szCs w:val="26"/>
          <w:u w:val="single"/>
        </w:rPr>
      </w:pPr>
      <w:r w:rsidRPr="005C0062">
        <w:rPr>
          <w:b/>
          <w:bCs/>
          <w:sz w:val="26"/>
          <w:szCs w:val="26"/>
          <w:u w:val="single"/>
        </w:rPr>
        <w:t>Prepared by: Gift Nemakonde (202304063)</w:t>
      </w:r>
    </w:p>
    <w:p w14:paraId="3140F242" w14:textId="77777777" w:rsidR="00A652CC" w:rsidRPr="008365F6" w:rsidRDefault="00A652CC" w:rsidP="00A652CC">
      <w:pPr>
        <w:rPr>
          <w:b/>
          <w:bCs/>
        </w:rPr>
      </w:pPr>
      <w:r w:rsidRPr="008365F6">
        <w:rPr>
          <w:b/>
          <w:bCs/>
        </w:rPr>
        <w:t>1. Introduction and Investigative Scope</w:t>
      </w:r>
    </w:p>
    <w:p w14:paraId="239A9BD4" w14:textId="77777777" w:rsidR="00A652CC" w:rsidRPr="00A652CC" w:rsidRDefault="00A652CC" w:rsidP="00A652CC">
      <w:r w:rsidRPr="00A652CC">
        <w:t>I selected the "IT System Performance and Resource Metrics" dataset to conduct this investigation because it provides a comprehensive, multi-dimensional view of how server infrastructure behaves under real-world pressure. In most modern IT environments, monitoring is traditionally reactive, meaning we only respond once a system has already reached a state of failure or anomaly. The primary objective of this project was to move toward a predictive posture by identifying the specific sensory patterns that occur before a system crashes. With over 10,000 detailed records covering CPU, memory, and thermal telemetry, this dataset offered a perfect environment to test whether we can mathematically define a hardware "redline" that serves as an early warning sign for technicians.</w:t>
      </w:r>
    </w:p>
    <w:p w14:paraId="7D58E349" w14:textId="77777777" w:rsidR="00A652CC" w:rsidRPr="00A652CC" w:rsidRDefault="00A652CC" w:rsidP="00A652CC">
      <w:r w:rsidRPr="00A652CC">
        <w:t>Before the core analysis could begin, I performed a rigorous structural audit of the raw logs. I found the dataset to be exceptionally clean, with no missing values or redundant records. However, I identified that the raw sensory data was logged with an inconsistent level of precision that would make a final report difficult for a human administrator to interpret. To fix this, I standardized all sensor readings to two decimal places, ensuring a professional and consistent diagnostic environment. Furthermore, I recognized that raw sensors like CPU or RAM only tell half the story. To see the "invisible" triggers of a crash, I engineered several of my own stress metrics, including a combined Saturation Score and a Thermal Inefficiency indicator, which allow us to track how the hardware degrades under a unified workload.</w:t>
      </w:r>
    </w:p>
    <w:p w14:paraId="56146E77" w14:textId="77777777" w:rsidR="00A652CC" w:rsidRPr="00880CFA" w:rsidRDefault="00A652CC" w:rsidP="00A652CC">
      <w:pPr>
        <w:rPr>
          <w:b/>
          <w:bCs/>
        </w:rPr>
      </w:pPr>
      <w:r w:rsidRPr="00880CFA">
        <w:rPr>
          <w:b/>
          <w:bCs/>
        </w:rPr>
        <w:t>2. The Discovery of Hardware 'Blind Spots' and Stealth Failures</w:t>
      </w:r>
    </w:p>
    <w:p w14:paraId="68DEAA50" w14:textId="17D1A9E1" w:rsidR="00A652CC" w:rsidRPr="00A652CC" w:rsidRDefault="00A652CC" w:rsidP="00A652CC">
      <w:r w:rsidRPr="00A652CC">
        <w:t>The most critical finding of this investigation was the exposure of a major detection gap within the current infrastructure, which I have categorized as "Stealth Failures." During my filtering and analysis phase, I discovered a significant cluster of 762 system nodes that were operating at life-threatening temperatures</w:t>
      </w:r>
      <w:r w:rsidR="00880CFA">
        <w:t xml:space="preserve"> - </w:t>
      </w:r>
      <w:r w:rsidRPr="00A652CC">
        <w:t>anything above 90 degrees Celsius. Crucially, these systems were still being reported as "Healthy" by the existing operational status software. This represents over 7% of the total infrastructure that is currently at risk of permanent hardware damage or fire risk without any alarm being triggered. This finding proves that the current way we track system status is far too reactive and is completely failing to recognize severe physical hardware stress until it is too late.</w:t>
      </w:r>
    </w:p>
    <w:p w14:paraId="4138AC29" w14:textId="77777777" w:rsidR="00A652CC" w:rsidRPr="00A652CC" w:rsidRDefault="00A652CC" w:rsidP="00A652CC">
      <w:r w:rsidRPr="00A652CC">
        <w:lastRenderedPageBreak/>
        <w:t>In addition to these stealth risks, I identified a core pattern that I have named the "Independence Paradox." By using correlation mapping, I found that high CPU utilization does not always lead directly or immediately to a heat spike. This was an unexpected discovery that explains why many traditional alerts fail to stop a system from crashing. It proves that IT maintenance cannot rely on any single sensor to determine the safety of a server. Instead, a system's health is determined by the synergy of several stressors working at once. This paradox justified my decision to focus on the engineered Saturation Score, which proved to be a much more reliable leading indicator of an upcoming anomaly than looking at any individual hardware sensor in isolation.</w:t>
      </w:r>
    </w:p>
    <w:p w14:paraId="3631665B" w14:textId="77777777" w:rsidR="00A652CC" w:rsidRPr="002B3A6E" w:rsidRDefault="00A652CC" w:rsidP="00A652CC">
      <w:pPr>
        <w:rPr>
          <w:b/>
          <w:bCs/>
        </w:rPr>
      </w:pPr>
      <w:r w:rsidRPr="002B3A6E">
        <w:rPr>
          <w:b/>
          <w:bCs/>
        </w:rPr>
        <w:t>3. Defining the 85% Tipping Point and Technical Verdict</w:t>
      </w:r>
    </w:p>
    <w:p w14:paraId="20307326" w14:textId="77777777" w:rsidR="00A652CC" w:rsidRPr="00A652CC" w:rsidRDefault="00A652CC" w:rsidP="00A652CC">
      <w:r w:rsidRPr="00A652CC">
        <w:t>To determine exactly when a system is in danger of failing, I performed a probability density analysis on my custom Saturation Score. This revealed a definitive "Tipping Point" that occurs when a system’s combined workload crosses the 85% mark. My data visualizations showed that while healthy systems maintain a stable average saturation of roughly 53%, anomalous systems peak almost exclusively at the 91% mark. The gap between these two states is massive and proves that the probability of a crash becomes nearly 100% once the 85% threshold is breached. This discovery provides the organization with a clear, mathematical boundary that can be used to prevent downtime before the hardware sensors even turn red.</w:t>
      </w:r>
    </w:p>
    <w:p w14:paraId="7DBE3438" w14:textId="77777777" w:rsidR="00A652CC" w:rsidRPr="00A652CC" w:rsidRDefault="00A652CC" w:rsidP="00A652CC">
      <w:r w:rsidRPr="00A652CC">
        <w:t>Based on these technical discoveries, I have formulated a definitive strategy for protecting the organization's infrastructure. My first and most important recommendation is to move away from single-sensor alerts and instead implement a mandatory "Saturation-Based Alert" set at the 85% tipping point. By doing this, we would be able to catch nearly 95% of foreseeable failures before they develop into a full anomaly. Secondly, I recommend an atmospheric temperature fail-safe that automatically throttles or down-clocks any system node that exceeds 90 degrees, regardless of what the software status reports. This is specifically designed to protect those 762 high-risk units that are currently hidden from view. Finally, we should adopt "Thermal Inefficiency" monitoring to track how much heat a system produces per watt of power. This will allow maintenance teams to identify mechanical issues, such as dust buildup or fan failure, months before they lead to a catastrophic hardware shutdown.</w:t>
      </w:r>
    </w:p>
    <w:p w14:paraId="04E64A20" w14:textId="77777777" w:rsidR="00CF49BF" w:rsidRDefault="00CF49BF"/>
    <w:sectPr w:rsidR="00CF4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2CC"/>
    <w:rsid w:val="002B3A6E"/>
    <w:rsid w:val="005A3061"/>
    <w:rsid w:val="005C0062"/>
    <w:rsid w:val="008365F6"/>
    <w:rsid w:val="00880CFA"/>
    <w:rsid w:val="00883FA4"/>
    <w:rsid w:val="00A652CC"/>
    <w:rsid w:val="00CF49BF"/>
    <w:rsid w:val="00D87370"/>
    <w:rsid w:val="00F93AA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8215"/>
  <w15:chartTrackingRefBased/>
  <w15:docId w15:val="{A5F9AD3A-9089-4C49-87E3-AEBB39938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2CC"/>
    <w:rPr>
      <w:rFonts w:eastAsiaTheme="majorEastAsia" w:cstheme="majorBidi"/>
      <w:color w:val="272727" w:themeColor="text1" w:themeTint="D8"/>
    </w:rPr>
  </w:style>
  <w:style w:type="paragraph" w:styleId="Title">
    <w:name w:val="Title"/>
    <w:basedOn w:val="Normal"/>
    <w:next w:val="Normal"/>
    <w:link w:val="TitleChar"/>
    <w:uiPriority w:val="10"/>
    <w:qFormat/>
    <w:rsid w:val="00A65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2CC"/>
    <w:pPr>
      <w:spacing w:before="160"/>
      <w:jc w:val="center"/>
    </w:pPr>
    <w:rPr>
      <w:i/>
      <w:iCs/>
      <w:color w:val="404040" w:themeColor="text1" w:themeTint="BF"/>
    </w:rPr>
  </w:style>
  <w:style w:type="character" w:customStyle="1" w:styleId="QuoteChar">
    <w:name w:val="Quote Char"/>
    <w:basedOn w:val="DefaultParagraphFont"/>
    <w:link w:val="Quote"/>
    <w:uiPriority w:val="29"/>
    <w:rsid w:val="00A652CC"/>
    <w:rPr>
      <w:i/>
      <w:iCs/>
      <w:color w:val="404040" w:themeColor="text1" w:themeTint="BF"/>
    </w:rPr>
  </w:style>
  <w:style w:type="paragraph" w:styleId="ListParagraph">
    <w:name w:val="List Paragraph"/>
    <w:basedOn w:val="Normal"/>
    <w:uiPriority w:val="34"/>
    <w:qFormat/>
    <w:rsid w:val="00A652CC"/>
    <w:pPr>
      <w:ind w:left="720"/>
      <w:contextualSpacing/>
    </w:pPr>
  </w:style>
  <w:style w:type="character" w:styleId="IntenseEmphasis">
    <w:name w:val="Intense Emphasis"/>
    <w:basedOn w:val="DefaultParagraphFont"/>
    <w:uiPriority w:val="21"/>
    <w:qFormat/>
    <w:rsid w:val="00A652CC"/>
    <w:rPr>
      <w:i/>
      <w:iCs/>
      <w:color w:val="0F4761" w:themeColor="accent1" w:themeShade="BF"/>
    </w:rPr>
  </w:style>
  <w:style w:type="paragraph" w:styleId="IntenseQuote">
    <w:name w:val="Intense Quote"/>
    <w:basedOn w:val="Normal"/>
    <w:next w:val="Normal"/>
    <w:link w:val="IntenseQuoteChar"/>
    <w:uiPriority w:val="30"/>
    <w:qFormat/>
    <w:rsid w:val="00A65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2CC"/>
    <w:rPr>
      <w:i/>
      <w:iCs/>
      <w:color w:val="0F4761" w:themeColor="accent1" w:themeShade="BF"/>
    </w:rPr>
  </w:style>
  <w:style w:type="character" w:styleId="IntenseReference">
    <w:name w:val="Intense Reference"/>
    <w:basedOn w:val="DefaultParagraphFont"/>
    <w:uiPriority w:val="32"/>
    <w:qFormat/>
    <w:rsid w:val="00A652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01D76-9369-4085-ADFF-0A26EFAE9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794</Words>
  <Characters>4358</Characters>
  <Application>Microsoft Office Word</Application>
  <DocSecurity>0</DocSecurity>
  <Lines>66</Lines>
  <Paragraphs>11</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Nyadzani Gift Nemakonde</dc:creator>
  <cp:keywords/>
  <dc:description/>
  <cp:lastModifiedBy>Nyadzani Gift Nemakonde</cp:lastModifiedBy>
  <cp:revision>6</cp:revision>
  <dcterms:created xsi:type="dcterms:W3CDTF">2026-04-01T10:48:00Z</dcterms:created>
  <dcterms:modified xsi:type="dcterms:W3CDTF">2026-04-03T18:51:00Z</dcterms:modified>
</cp:coreProperties>
</file>