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1F3864"/>
          <w:sz w:val="44"/>
          <w:szCs w:val="44"/>
        </w:rPr>
        <w:t xml:space="preserve">API Test Plan</w:t>
      </w:r>
    </w:p>
    <w:p>
      <w:pPr>
        <w:spacing w:after="320"/>
      </w:pPr>
      <w:r>
        <w:rPr>
          <w:rFonts w:ascii="Calibri" w:cs="Calibri" w:eastAsia="Calibri" w:hAnsi="Calibri"/>
          <w:color w:val="595959"/>
          <w:sz w:val="26"/>
          <w:szCs w:val="26"/>
        </w:rPr>
        <w:t xml:space="preserve">SPU SmartQueue Management System</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00"/>
        <w:gridCol w:w="7500"/>
      </w:tblGrid>
      <w:tr>
        <w:tc>
          <w:tcPr>
            <w:tcW w:type="dxa" w:w="2400"/>
            <w:shd w:fill="F2F2F2" w:val="clear"/>
            <w:tcMar>
              <w:top w:type="dxa" w:w="80"/>
              <w:left w:type="dxa" w:w="100"/>
              <w:bottom w:type="dxa" w:w="80"/>
              <w:right w:type="dxa" w:w="100"/>
            </w:tcMar>
          </w:tcPr>
          <w:p>
            <w:pPr>
              <w:jc w:val="left"/>
            </w:pPr>
            <w:r>
              <w:rPr>
                <w:rFonts w:ascii="Calibri" w:cs="Calibri" w:eastAsia="Calibri" w:hAnsi="Calibri"/>
                <w:b/>
                <w:bCs/>
                <w:color w:val="000000"/>
                <w:sz w:val="20"/>
                <w:szCs w:val="20"/>
              </w:rPr>
              <w:t xml:space="preserve">Project</w:t>
            </w:r>
          </w:p>
        </w:tc>
        <w:tc>
          <w:tcPr>
            <w:tcW w:type="dxa" w:w="75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SPU SmartQueue Management System</w:t>
            </w:r>
          </w:p>
        </w:tc>
      </w:tr>
      <w:tr>
        <w:tc>
          <w:tcPr>
            <w:tcW w:type="dxa" w:w="2400"/>
            <w:shd w:fill="F2F2F2" w:val="clear"/>
            <w:tcMar>
              <w:top w:type="dxa" w:w="80"/>
              <w:left w:type="dxa" w:w="100"/>
              <w:bottom w:type="dxa" w:w="80"/>
              <w:right w:type="dxa" w:w="100"/>
            </w:tcMar>
          </w:tcPr>
          <w:p>
            <w:pPr>
              <w:jc w:val="left"/>
            </w:pPr>
            <w:r>
              <w:rPr>
                <w:rFonts w:ascii="Calibri" w:cs="Calibri" w:eastAsia="Calibri" w:hAnsi="Calibri"/>
                <w:b/>
                <w:bCs/>
                <w:color w:val="000000"/>
                <w:sz w:val="20"/>
                <w:szCs w:val="20"/>
              </w:rPr>
              <w:t xml:space="preserve">Module</w:t>
            </w:r>
          </w:p>
        </w:tc>
        <w:tc>
          <w:tcPr>
            <w:tcW w:type="dxa" w:w="75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NADV 744 - Advanced Development Systems</w:t>
            </w:r>
          </w:p>
        </w:tc>
      </w:tr>
      <w:tr>
        <w:tc>
          <w:tcPr>
            <w:tcW w:type="dxa" w:w="2400"/>
            <w:shd w:fill="F2F2F2" w:val="clear"/>
            <w:tcMar>
              <w:top w:type="dxa" w:w="80"/>
              <w:left w:type="dxa" w:w="100"/>
              <w:bottom w:type="dxa" w:w="80"/>
              <w:right w:type="dxa" w:w="100"/>
            </w:tcMar>
          </w:tcPr>
          <w:p>
            <w:pPr>
              <w:jc w:val="left"/>
            </w:pPr>
            <w:r>
              <w:rPr>
                <w:rFonts w:ascii="Calibri" w:cs="Calibri" w:eastAsia="Calibri" w:hAnsi="Calibri"/>
                <w:b/>
                <w:bCs/>
                <w:color w:val="000000"/>
                <w:sz w:val="20"/>
                <w:szCs w:val="20"/>
              </w:rPr>
              <w:t xml:space="preserve">Document</w:t>
            </w:r>
          </w:p>
        </w:tc>
        <w:tc>
          <w:tcPr>
            <w:tcW w:type="dxa" w:w="75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API Test Plan</w:t>
            </w:r>
          </w:p>
        </w:tc>
      </w:tr>
      <w:tr>
        <w:tc>
          <w:tcPr>
            <w:tcW w:type="dxa" w:w="2400"/>
            <w:shd w:fill="F2F2F2" w:val="clear"/>
            <w:tcMar>
              <w:top w:type="dxa" w:w="80"/>
              <w:left w:type="dxa" w:w="100"/>
              <w:bottom w:type="dxa" w:w="80"/>
              <w:right w:type="dxa" w:w="100"/>
            </w:tcMar>
          </w:tcPr>
          <w:p>
            <w:pPr>
              <w:jc w:val="left"/>
            </w:pPr>
            <w:r>
              <w:rPr>
                <w:rFonts w:ascii="Calibri" w:cs="Calibri" w:eastAsia="Calibri" w:hAnsi="Calibri"/>
                <w:b/>
                <w:bCs/>
                <w:color w:val="000000"/>
                <w:sz w:val="20"/>
                <w:szCs w:val="20"/>
              </w:rPr>
              <w:t xml:space="preserve">Test Tool</w:t>
            </w:r>
          </w:p>
        </w:tc>
        <w:tc>
          <w:tcPr>
            <w:tcW w:type="dxa" w:w="75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Postman (Collection Runner)</w:t>
            </w:r>
          </w:p>
        </w:tc>
      </w:tr>
      <w:tr>
        <w:tc>
          <w:tcPr>
            <w:tcW w:type="dxa" w:w="2400"/>
            <w:shd w:fill="F2F2F2" w:val="clear"/>
            <w:tcMar>
              <w:top w:type="dxa" w:w="80"/>
              <w:left w:type="dxa" w:w="100"/>
              <w:bottom w:type="dxa" w:w="80"/>
              <w:right w:type="dxa" w:w="100"/>
            </w:tcMar>
          </w:tcPr>
          <w:p>
            <w:pPr>
              <w:jc w:val="left"/>
            </w:pPr>
            <w:r>
              <w:rPr>
                <w:rFonts w:ascii="Calibri" w:cs="Calibri" w:eastAsia="Calibri" w:hAnsi="Calibri"/>
                <w:b/>
                <w:bCs/>
                <w:color w:val="000000"/>
                <w:sz w:val="20"/>
                <w:szCs w:val="20"/>
              </w:rPr>
              <w:t xml:space="preserve">Environment Under Test</w:t>
            </w:r>
          </w:p>
        </w:tc>
        <w:tc>
          <w:tcPr>
            <w:tcW w:type="dxa" w:w="75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Django REST Framework backend, http://localhost:8000</w:t>
            </w:r>
          </w:p>
        </w:tc>
      </w:tr>
      <w:tr>
        <w:tc>
          <w:tcPr>
            <w:tcW w:type="dxa" w:w="2400"/>
            <w:shd w:fill="F2F2F2" w:val="clear"/>
            <w:tcMar>
              <w:top w:type="dxa" w:w="80"/>
              <w:left w:type="dxa" w:w="100"/>
              <w:bottom w:type="dxa" w:w="80"/>
              <w:right w:type="dxa" w:w="100"/>
            </w:tcMar>
          </w:tcPr>
          <w:p>
            <w:pPr>
              <w:jc w:val="left"/>
            </w:pPr>
            <w:r>
              <w:rPr>
                <w:rFonts w:ascii="Calibri" w:cs="Calibri" w:eastAsia="Calibri" w:hAnsi="Calibri"/>
                <w:b/>
                <w:bCs/>
                <w:color w:val="000000"/>
                <w:sz w:val="20"/>
                <w:szCs w:val="20"/>
              </w:rPr>
              <w:t xml:space="preserve">Version</w:t>
            </w:r>
          </w:p>
        </w:tc>
        <w:tc>
          <w:tcPr>
            <w:tcW w:type="dxa" w:w="75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1.0</w:t>
            </w:r>
          </w:p>
        </w:tc>
      </w:tr>
    </w:tbl>
    <w:p>
      <w:pPr>
        <w:spacing w:after="0" w:before="320"/>
      </w:pPr>
    </w:p>
    <w:p>
      <w:pPr>
        <w:pStyle w:val="Heading1"/>
        <w:spacing w:after="160" w:before="320"/>
      </w:pPr>
      <w:r>
        <w:rPr>
          <w:rFonts w:ascii="Calibri" w:cs="Calibri" w:eastAsia="Calibri" w:hAnsi="Calibri"/>
          <w:b/>
          <w:bCs/>
          <w:color w:val="1F3864"/>
          <w:sz w:val="28"/>
          <w:szCs w:val="28"/>
        </w:rPr>
        <w:t xml:space="preserve">1. Objective</w:t>
      </w:r>
    </w:p>
    <w:p>
      <w:pPr>
        <w:spacing w:after="160" w:line="276"/>
      </w:pPr>
      <w:r>
        <w:rPr>
          <w:rFonts w:ascii="Calibri" w:cs="Calibri" w:eastAsia="Calibri" w:hAnsi="Calibri"/>
          <w:sz w:val="22"/>
          <w:szCs w:val="22"/>
        </w:rPr>
        <w:t xml:space="preserve">This document defines the approach for verifying that every REST endpoint exposed by the SmartQueue Django backend behaves correctly under valid input, rejects invalid input appropriately, and enforces authentication and role based access control for the student, staff, and admin roles. The testing described here supports the Testing and Evaluation deliverable of the NADV 744 group assignment and provides evidence for the Report and Demo deliverables.</w:t>
      </w:r>
    </w:p>
    <w:p>
      <w:pPr>
        <w:pStyle w:val="Heading1"/>
        <w:spacing w:after="160" w:before="320"/>
      </w:pPr>
      <w:r>
        <w:rPr>
          <w:rFonts w:ascii="Calibri" w:cs="Calibri" w:eastAsia="Calibri" w:hAnsi="Calibri"/>
          <w:b/>
          <w:bCs/>
          <w:color w:val="1F3864"/>
          <w:sz w:val="28"/>
          <w:szCs w:val="28"/>
        </w:rPr>
        <w:t xml:space="preserve">2. Scope</w:t>
      </w:r>
    </w:p>
    <w:p>
      <w:pPr>
        <w:pStyle w:val="Heading2"/>
        <w:spacing w:after="120" w:before="240"/>
      </w:pPr>
      <w:r>
        <w:rPr>
          <w:rFonts w:ascii="Calibri" w:cs="Calibri" w:eastAsia="Calibri" w:hAnsi="Calibri"/>
          <w:b/>
          <w:bCs/>
          <w:color w:val="1F3864"/>
          <w:sz w:val="24"/>
          <w:szCs w:val="24"/>
        </w:rPr>
        <w:t xml:space="preserve">In Scope</w:t>
      </w:r>
    </w:p>
    <w:p>
      <w:pPr>
        <w:pStyle w:val="ListParagraph"/>
        <w:numPr>
          <w:ilvl w:val="0"/>
          <w:numId w:val="1"/>
        </w:numPr>
        <w:spacing w:after="100" w:line="276"/>
      </w:pPr>
      <w:r>
        <w:rPr>
          <w:rFonts w:ascii="Calibri" w:cs="Calibri" w:eastAsia="Calibri" w:hAnsi="Calibri"/>
          <w:sz w:val="22"/>
          <w:szCs w:val="22"/>
        </w:rPr>
        <w:t xml:space="preserve">All endpoints defined in the project OpenAPI specification, covering authentication, departments, tickets, staff operations, reports, and user administration.</w:t>
      </w:r>
    </w:p>
    <w:p>
      <w:pPr>
        <w:pStyle w:val="ListParagraph"/>
        <w:numPr>
          <w:ilvl w:val="0"/>
          <w:numId w:val="1"/>
        </w:numPr>
        <w:spacing w:after="100" w:line="276"/>
      </w:pPr>
      <w:r>
        <w:rPr>
          <w:rFonts w:ascii="Calibri" w:cs="Calibri" w:eastAsia="Calibri" w:hAnsi="Calibri"/>
          <w:sz w:val="22"/>
          <w:szCs w:val="22"/>
        </w:rPr>
        <w:t xml:space="preserve">Functional correctness, meaning correct HTTP status codes and correct response structure.</w:t>
      </w:r>
    </w:p>
    <w:p>
      <w:pPr>
        <w:pStyle w:val="ListParagraph"/>
        <w:numPr>
          <w:ilvl w:val="0"/>
          <w:numId w:val="1"/>
        </w:numPr>
        <w:spacing w:after="100" w:line="276"/>
      </w:pPr>
      <w:r>
        <w:rPr>
          <w:rFonts w:ascii="Calibri" w:cs="Calibri" w:eastAsia="Calibri" w:hAnsi="Calibri"/>
          <w:sz w:val="22"/>
          <w:szCs w:val="22"/>
        </w:rPr>
        <w:t xml:space="preserve">Authentication enforcement, meaning a 401 response when no token is supplied.</w:t>
      </w:r>
    </w:p>
    <w:p>
      <w:pPr>
        <w:pStyle w:val="ListParagraph"/>
        <w:numPr>
          <w:ilvl w:val="0"/>
          <w:numId w:val="1"/>
        </w:numPr>
        <w:spacing w:after="100" w:line="276"/>
      </w:pPr>
      <w:r>
        <w:rPr>
          <w:rFonts w:ascii="Calibri" w:cs="Calibri" w:eastAsia="Calibri" w:hAnsi="Calibri"/>
          <w:sz w:val="22"/>
          <w:szCs w:val="22"/>
        </w:rPr>
        <w:t xml:space="preserve">Authorisation and role enforcement, meaning a 403 response when the wrong role attempts a restricted action.</w:t>
      </w:r>
    </w:p>
    <w:p>
      <w:pPr>
        <w:pStyle w:val="ListParagraph"/>
        <w:numPr>
          <w:ilvl w:val="0"/>
          <w:numId w:val="1"/>
        </w:numPr>
        <w:spacing w:after="100" w:line="276"/>
      </w:pPr>
      <w:r>
        <w:rPr>
          <w:rFonts w:ascii="Calibri" w:cs="Calibri" w:eastAsia="Calibri" w:hAnsi="Calibri"/>
          <w:sz w:val="22"/>
          <w:szCs w:val="22"/>
        </w:rPr>
        <w:t xml:space="preserve">Input validation, meaning a 400 response for malformed or incomplete payloads.</w:t>
      </w:r>
    </w:p>
    <w:p>
      <w:pPr>
        <w:pStyle w:val="ListParagraph"/>
        <w:numPr>
          <w:ilvl w:val="0"/>
          <w:numId w:val="1"/>
        </w:numPr>
        <w:spacing w:after="100" w:line="276"/>
      </w:pPr>
      <w:r>
        <w:rPr>
          <w:rFonts w:ascii="Calibri" w:cs="Calibri" w:eastAsia="Calibri" w:hAnsi="Calibri"/>
          <w:sz w:val="22"/>
          <w:szCs w:val="22"/>
        </w:rPr>
        <w:t xml:space="preserve">Not found handling, meaning a 404 response for requests referencing a non-existent resource.</w:t>
      </w:r>
    </w:p>
    <w:p>
      <w:pPr>
        <w:pStyle w:val="ListParagraph"/>
        <w:numPr>
          <w:ilvl w:val="0"/>
          <w:numId w:val="1"/>
        </w:numPr>
        <w:spacing w:after="100" w:line="276"/>
      </w:pPr>
      <w:r>
        <w:rPr>
          <w:rFonts w:ascii="Calibri" w:cs="Calibri" w:eastAsia="Calibri" w:hAnsi="Calibri"/>
          <w:sz w:val="22"/>
          <w:szCs w:val="22"/>
        </w:rPr>
        <w:t xml:space="preserve">Response time as a basic indicator of performance.</w:t>
      </w:r>
    </w:p>
    <w:p>
      <w:pPr>
        <w:pStyle w:val="Heading2"/>
        <w:spacing w:after="120" w:before="240"/>
      </w:pPr>
      <w:r>
        <w:rPr>
          <w:rFonts w:ascii="Calibri" w:cs="Calibri" w:eastAsia="Calibri" w:hAnsi="Calibri"/>
          <w:b/>
          <w:bCs/>
          <w:color w:val="1F3864"/>
          <w:sz w:val="24"/>
          <w:szCs w:val="24"/>
        </w:rPr>
        <w:t xml:space="preserve">Out of Scope</w:t>
      </w:r>
    </w:p>
    <w:p>
      <w:pPr>
        <w:pStyle w:val="ListParagraph"/>
        <w:numPr>
          <w:ilvl w:val="0"/>
          <w:numId w:val="1"/>
        </w:numPr>
        <w:spacing w:after="100" w:line="276"/>
      </w:pPr>
      <w:r>
        <w:rPr>
          <w:rFonts w:ascii="Calibri" w:cs="Calibri" w:eastAsia="Calibri" w:hAnsi="Calibri"/>
          <w:sz w:val="22"/>
          <w:szCs w:val="22"/>
        </w:rPr>
        <w:t xml:space="preserve">Frontend integration testing. The Next.js frontend has not yet been built.</w:t>
      </w:r>
    </w:p>
    <w:p>
      <w:pPr>
        <w:pStyle w:val="ListParagraph"/>
        <w:numPr>
          <w:ilvl w:val="0"/>
          <w:numId w:val="1"/>
        </w:numPr>
        <w:spacing w:after="100" w:line="276"/>
      </w:pPr>
      <w:r>
        <w:rPr>
          <w:rFonts w:ascii="Calibri" w:cs="Calibri" w:eastAsia="Calibri" w:hAnsi="Calibri"/>
          <w:sz w:val="22"/>
          <w:szCs w:val="22"/>
        </w:rPr>
        <w:t xml:space="preserve">Load and stress testing beyond basic response time thresholds.</w:t>
      </w:r>
    </w:p>
    <w:p>
      <w:pPr>
        <w:pStyle w:val="ListParagraph"/>
        <w:numPr>
          <w:ilvl w:val="0"/>
          <w:numId w:val="1"/>
        </w:numPr>
        <w:spacing w:after="100" w:line="276"/>
      </w:pPr>
      <w:r>
        <w:rPr>
          <w:rFonts w:ascii="Calibri" w:cs="Calibri" w:eastAsia="Calibri" w:hAnsi="Calibri"/>
          <w:sz w:val="22"/>
          <w:szCs w:val="22"/>
        </w:rPr>
        <w:t xml:space="preserve">Database level integrity testing.</w:t>
      </w:r>
    </w:p>
    <w:p>
      <w:pPr>
        <w:pStyle w:val="ListParagraph"/>
        <w:numPr>
          <w:ilvl w:val="0"/>
          <w:numId w:val="1"/>
        </w:numPr>
        <w:spacing w:after="100" w:line="276"/>
      </w:pPr>
      <w:r>
        <w:rPr>
          <w:rFonts w:ascii="Calibri" w:cs="Calibri" w:eastAsia="Calibri" w:hAnsi="Calibri"/>
          <w:sz w:val="22"/>
          <w:szCs w:val="22"/>
        </w:rPr>
        <w:t xml:space="preserve">Penetration testing and security fuzzing.</w:t>
      </w:r>
    </w:p>
    <w:p>
      <w:pPr>
        <w:pStyle w:val="Heading1"/>
        <w:spacing w:after="160" w:before="320"/>
      </w:pPr>
      <w:r>
        <w:rPr>
          <w:rFonts w:ascii="Calibri" w:cs="Calibri" w:eastAsia="Calibri" w:hAnsi="Calibri"/>
          <w:b/>
          <w:bCs/>
          <w:color w:val="1F3864"/>
          <w:sz w:val="28"/>
          <w:szCs w:val="28"/>
        </w:rPr>
        <w:t xml:space="preserve">3. Test Approach</w:t>
      </w:r>
    </w:p>
    <w:p>
      <w:pPr>
        <w:spacing w:after="160" w:line="276"/>
      </w:pPr>
      <w:r>
        <w:rPr>
          <w:rFonts w:ascii="Calibri" w:cs="Calibri" w:eastAsia="Calibri" w:hAnsi="Calibri"/>
          <w:sz w:val="22"/>
          <w:szCs w:val="22"/>
        </w:rPr>
        <w:t xml:space="preserve">Testing is conducted in Postman using test scripts written in JavaScript and attached to each request. Requests are organised into a collection containing eight folders that mirror the functional groups of the API, plus a dedicated teardown folder that handles session logout. A shared Postman environment, named SmartQueue Local, stores the base URL, test credentials, and values such as authentication tokens and record identifiers that are captured from one response and reused automatically in later requests.</w:t>
      </w:r>
    </w:p>
    <w:p>
      <w:pPr>
        <w:spacing w:after="160" w:line="276"/>
      </w:pPr>
      <w:r>
        <w:rPr>
          <w:rFonts w:ascii="Calibri" w:cs="Calibri" w:eastAsia="Calibri" w:hAnsi="Calibri"/>
          <w:sz w:val="22"/>
          <w:szCs w:val="22"/>
        </w:rPr>
        <w:t xml:space="preserve">Two aspects of the test design are worth noting for anyone re-running the collection. First, the staff test account is scoped to a single department, ICT. The collection looks up the ICT department by its code field and directs the student's queue-join requests there specifically, so that the staff-side ticket lifecycle tests have permission over the tickets they act on. Second, the Departments folder creates and deletes a separate, disposable department with a timestamp-based unique name and code, used only to exercise the create, update, and delete paths, so that this activity never touches the live ICT department the rest of the suite depends on.</w:t>
      </w:r>
    </w:p>
    <w:p>
      <w:pPr>
        <w:spacing w:after="160" w:line="276"/>
      </w:pPr>
      <w:r>
        <w:rPr>
          <w:rFonts w:ascii="Calibri" w:cs="Calibri" w:eastAsia="Calibri" w:hAnsi="Calibri"/>
          <w:sz w:val="22"/>
          <w:szCs w:val="22"/>
        </w:rPr>
        <w:t xml:space="preserve">Each endpoint is tested using one or more of the following case types where applicable:</w:t>
      </w:r>
    </w:p>
    <w:p>
      <w:pPr>
        <w:pStyle w:val="ListParagraph"/>
        <w:numPr>
          <w:ilvl w:val="0"/>
          <w:numId w:val="1"/>
        </w:numPr>
        <w:spacing w:after="100" w:line="276"/>
      </w:pPr>
      <w:r>
        <w:rPr>
          <w:rFonts w:ascii="Calibri" w:cs="Calibri" w:eastAsia="Calibri" w:hAnsi="Calibri"/>
          <w:sz w:val="22"/>
          <w:szCs w:val="22"/>
        </w:rPr>
        <w:t xml:space="preserve">Positive case: valid input, expecting a success response.</w:t>
      </w:r>
    </w:p>
    <w:p>
      <w:pPr>
        <w:pStyle w:val="ListParagraph"/>
        <w:numPr>
          <w:ilvl w:val="0"/>
          <w:numId w:val="1"/>
        </w:numPr>
        <w:spacing w:after="100" w:line="276"/>
      </w:pPr>
      <w:r>
        <w:rPr>
          <w:rFonts w:ascii="Calibri" w:cs="Calibri" w:eastAsia="Calibri" w:hAnsi="Calibri"/>
          <w:sz w:val="22"/>
          <w:szCs w:val="22"/>
        </w:rPr>
        <w:t xml:space="preserve">Negative case: invalid or missing input, expecting a 400 response.</w:t>
      </w:r>
    </w:p>
    <w:p>
      <w:pPr>
        <w:pStyle w:val="ListParagraph"/>
        <w:numPr>
          <w:ilvl w:val="0"/>
          <w:numId w:val="1"/>
        </w:numPr>
        <w:spacing w:after="100" w:line="276"/>
      </w:pPr>
      <w:r>
        <w:rPr>
          <w:rFonts w:ascii="Calibri" w:cs="Calibri" w:eastAsia="Calibri" w:hAnsi="Calibri"/>
          <w:sz w:val="22"/>
          <w:szCs w:val="22"/>
        </w:rPr>
        <w:t xml:space="preserve">Authentication case: no token supplied, expecting a 401 response.</w:t>
      </w:r>
    </w:p>
    <w:p>
      <w:pPr>
        <w:pStyle w:val="ListParagraph"/>
        <w:numPr>
          <w:ilvl w:val="0"/>
          <w:numId w:val="1"/>
        </w:numPr>
        <w:spacing w:after="100" w:line="276"/>
      </w:pPr>
      <w:r>
        <w:rPr>
          <w:rFonts w:ascii="Calibri" w:cs="Calibri" w:eastAsia="Calibri" w:hAnsi="Calibri"/>
          <w:sz w:val="22"/>
          <w:szCs w:val="22"/>
        </w:rPr>
        <w:t xml:space="preserve">Authorisation case: a token belonging to the wrong role, expecting a 403 response.</w:t>
      </w:r>
    </w:p>
    <w:p>
      <w:pPr>
        <w:pStyle w:val="ListParagraph"/>
        <w:numPr>
          <w:ilvl w:val="0"/>
          <w:numId w:val="1"/>
        </w:numPr>
        <w:spacing w:after="100" w:line="276"/>
      </w:pPr>
      <w:r>
        <w:rPr>
          <w:rFonts w:ascii="Calibri" w:cs="Calibri" w:eastAsia="Calibri" w:hAnsi="Calibri"/>
          <w:sz w:val="22"/>
          <w:szCs w:val="22"/>
        </w:rPr>
        <w:t xml:space="preserve">Not found case: a non-existent resource identifier, expecting a 404 response.</w:t>
      </w:r>
    </w:p>
    <w:p>
      <w:pPr>
        <w:pStyle w:val="ListParagraph"/>
        <w:numPr>
          <w:ilvl w:val="0"/>
          <w:numId w:val="1"/>
        </w:numPr>
        <w:spacing w:after="100" w:line="276"/>
      </w:pPr>
      <w:r>
        <w:rPr>
          <w:rFonts w:ascii="Calibri" w:cs="Calibri" w:eastAsia="Calibri" w:hAnsi="Calibri"/>
          <w:sz w:val="22"/>
          <w:szCs w:val="22"/>
        </w:rPr>
        <w:t xml:space="preserve">Response time assertion: flags any response exceeding 1000 milliseconds.</w:t>
      </w:r>
    </w:p>
    <w:p>
      <w:pPr>
        <w:pStyle w:val="Heading1"/>
        <w:spacing w:after="160" w:before="320"/>
      </w:pPr>
      <w:r>
        <w:rPr>
          <w:rFonts w:ascii="Calibri" w:cs="Calibri" w:eastAsia="Calibri" w:hAnsi="Calibri"/>
          <w:b/>
          <w:bCs/>
          <w:color w:val="1F3864"/>
          <w:sz w:val="28"/>
          <w:szCs w:val="28"/>
        </w:rPr>
        <w:t xml:space="preserve">4. Test Environment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600"/>
        <w:gridCol w:w="7300"/>
      </w:tblGrid>
      <w:tr>
        <w:trPr>
          <w:tblHeader/>
        </w:trPr>
        <w:tc>
          <w:tcPr>
            <w:tcW w:type="dxa" w:w="2600"/>
            <w:shd w:fill="1F3864" w:val="clear"/>
            <w:tcMar>
              <w:top w:type="dxa" w:w="80"/>
              <w:left w:type="dxa" w:w="100"/>
              <w:bottom w:type="dxa" w:w="80"/>
              <w:right w:type="dxa" w:w="100"/>
            </w:tcMar>
          </w:tcPr>
          <w:p>
            <w:pPr>
              <w:jc w:val="left"/>
            </w:pPr>
            <w:r>
              <w:rPr>
                <w:rFonts w:ascii="Calibri" w:cs="Calibri" w:eastAsia="Calibri" w:hAnsi="Calibri"/>
                <w:b/>
                <w:bCs/>
                <w:color w:val="FFFFFF"/>
                <w:sz w:val="20"/>
                <w:szCs w:val="20"/>
              </w:rPr>
              <w:t xml:space="preserve">Item</w:t>
            </w:r>
          </w:p>
        </w:tc>
        <w:tc>
          <w:tcPr>
            <w:tcW w:type="dxa" w:w="7300"/>
            <w:shd w:fill="1F3864" w:val="clear"/>
            <w:tcMar>
              <w:top w:type="dxa" w:w="80"/>
              <w:left w:type="dxa" w:w="100"/>
              <w:bottom w:type="dxa" w:w="80"/>
              <w:right w:type="dxa" w:w="100"/>
            </w:tcMar>
          </w:tcPr>
          <w:p>
            <w:pPr>
              <w:jc w:val="left"/>
            </w:pPr>
            <w:r>
              <w:rPr>
                <w:rFonts w:ascii="Calibri" w:cs="Calibri" w:eastAsia="Calibri" w:hAnsi="Calibri"/>
                <w:b/>
                <w:bCs/>
                <w:color w:val="FFFFFF"/>
                <w:sz w:val="20"/>
                <w:szCs w:val="20"/>
              </w:rPr>
              <w:t xml:space="preserve">Detail</w:t>
            </w:r>
          </w:p>
        </w:tc>
      </w:tr>
      <w:tr>
        <w:tc>
          <w:tcPr>
            <w:tcW w:type="dxa" w:w="2600"/>
            <w:shd w:fill="F2F2F2" w:val="clear"/>
            <w:tcMar>
              <w:top w:type="dxa" w:w="80"/>
              <w:left w:type="dxa" w:w="100"/>
              <w:bottom w:type="dxa" w:w="80"/>
              <w:right w:type="dxa" w:w="100"/>
            </w:tcMar>
          </w:tcPr>
          <w:p>
            <w:pPr>
              <w:jc w:val="left"/>
            </w:pPr>
            <w:r>
              <w:rPr>
                <w:rFonts w:ascii="Calibri" w:cs="Calibri" w:eastAsia="Calibri" w:hAnsi="Calibri"/>
                <w:b/>
                <w:bCs/>
                <w:color w:val="000000"/>
                <w:sz w:val="20"/>
                <w:szCs w:val="20"/>
              </w:rPr>
              <w:t xml:space="preserve">Backend</w:t>
            </w:r>
          </w:p>
        </w:tc>
        <w:tc>
          <w:tcPr>
            <w:tcW w:type="dxa" w:w="73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Django and Django REST Framework, running locally on port 8000</w:t>
            </w:r>
          </w:p>
        </w:tc>
      </w:tr>
      <w:tr>
        <w:tc>
          <w:tcPr>
            <w:tcW w:type="dxa" w:w="2600"/>
            <w:shd w:fill="F2F2F2" w:val="clear"/>
            <w:tcMar>
              <w:top w:type="dxa" w:w="80"/>
              <w:left w:type="dxa" w:w="100"/>
              <w:bottom w:type="dxa" w:w="80"/>
              <w:right w:type="dxa" w:w="100"/>
            </w:tcMar>
          </w:tcPr>
          <w:p>
            <w:pPr>
              <w:jc w:val="left"/>
            </w:pPr>
            <w:r>
              <w:rPr>
                <w:rFonts w:ascii="Calibri" w:cs="Calibri" w:eastAsia="Calibri" w:hAnsi="Calibri"/>
                <w:b/>
                <w:bCs/>
                <w:color w:val="000000"/>
                <w:sz w:val="20"/>
                <w:szCs w:val="20"/>
              </w:rPr>
              <w:t xml:space="preserve">Authentication scheme</w:t>
            </w:r>
          </w:p>
        </w:tc>
        <w:tc>
          <w:tcPr>
            <w:tcW w:type="dxa" w:w="73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Token authentication (Authorization: Token &lt;value&gt;)</w:t>
            </w:r>
          </w:p>
        </w:tc>
      </w:tr>
      <w:tr>
        <w:tc>
          <w:tcPr>
            <w:tcW w:type="dxa" w:w="2600"/>
            <w:shd w:fill="F2F2F2" w:val="clear"/>
            <w:tcMar>
              <w:top w:type="dxa" w:w="80"/>
              <w:left w:type="dxa" w:w="100"/>
              <w:bottom w:type="dxa" w:w="80"/>
              <w:right w:type="dxa" w:w="100"/>
            </w:tcMar>
          </w:tcPr>
          <w:p>
            <w:pPr>
              <w:jc w:val="left"/>
            </w:pPr>
            <w:r>
              <w:rPr>
                <w:rFonts w:ascii="Calibri" w:cs="Calibri" w:eastAsia="Calibri" w:hAnsi="Calibri"/>
                <w:b/>
                <w:bCs/>
                <w:color w:val="000000"/>
                <w:sz w:val="20"/>
                <w:szCs w:val="20"/>
              </w:rPr>
              <w:t xml:space="preserve">Test accounts</w:t>
            </w:r>
          </w:p>
        </w:tc>
        <w:tc>
          <w:tcPr>
            <w:tcW w:type="dxa" w:w="73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Pre-existing student, staff, and admin accounts. Credentials are stored as secret variables in the Postman environment and are not committed to version control.</w:t>
            </w:r>
          </w:p>
        </w:tc>
      </w:tr>
      <w:tr>
        <w:tc>
          <w:tcPr>
            <w:tcW w:type="dxa" w:w="2600"/>
            <w:shd w:fill="F2F2F2" w:val="clear"/>
            <w:tcMar>
              <w:top w:type="dxa" w:w="80"/>
              <w:left w:type="dxa" w:w="100"/>
              <w:bottom w:type="dxa" w:w="80"/>
              <w:right w:type="dxa" w:w="100"/>
            </w:tcMar>
          </w:tcPr>
          <w:p>
            <w:pPr>
              <w:jc w:val="left"/>
            </w:pPr>
            <w:r>
              <w:rPr>
                <w:rFonts w:ascii="Calibri" w:cs="Calibri" w:eastAsia="Calibri" w:hAnsi="Calibri"/>
                <w:b/>
                <w:bCs/>
                <w:color w:val="000000"/>
                <w:sz w:val="20"/>
                <w:szCs w:val="20"/>
              </w:rPr>
              <w:t xml:space="preserve">Tooling</w:t>
            </w:r>
          </w:p>
        </w:tc>
        <w:tc>
          <w:tcPr>
            <w:tcW w:type="dxa" w:w="73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Postman Desktop Application, Collection Runner</w:t>
            </w:r>
          </w:p>
        </w:tc>
      </w:tr>
      <w:tr>
        <w:tc>
          <w:tcPr>
            <w:tcW w:type="dxa" w:w="2600"/>
            <w:shd w:fill="F2F2F2" w:val="clear"/>
            <w:tcMar>
              <w:top w:type="dxa" w:w="80"/>
              <w:left w:type="dxa" w:w="100"/>
              <w:bottom w:type="dxa" w:w="80"/>
              <w:right w:type="dxa" w:w="100"/>
            </w:tcMar>
          </w:tcPr>
          <w:p>
            <w:pPr>
              <w:jc w:val="left"/>
            </w:pPr>
            <w:r>
              <w:rPr>
                <w:rFonts w:ascii="Calibri" w:cs="Calibri" w:eastAsia="Calibri" w:hAnsi="Calibri"/>
                <w:b/>
                <w:bCs/>
                <w:color w:val="000000"/>
                <w:sz w:val="20"/>
                <w:szCs w:val="20"/>
              </w:rPr>
              <w:t xml:space="preserve">Data</w:t>
            </w:r>
          </w:p>
        </w:tc>
        <w:tc>
          <w:tcPr>
            <w:tcW w:type="dxa" w:w="73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Tests run against the existing local database. Some tests create data as part of execution, including a disposable department and a new staff account.</w:t>
            </w:r>
          </w:p>
        </w:tc>
      </w:tr>
    </w:tbl>
    <w:p>
      <w:pPr>
        <w:pStyle w:val="Heading1"/>
        <w:spacing w:after="160" w:before="320"/>
      </w:pPr>
      <w:r>
        <w:rPr>
          <w:rFonts w:ascii="Calibri" w:cs="Calibri" w:eastAsia="Calibri" w:hAnsi="Calibri"/>
          <w:b/>
          <w:bCs/>
          <w:color w:val="1F3864"/>
          <w:sz w:val="28"/>
          <w:szCs w:val="28"/>
        </w:rPr>
        <w:t xml:space="preserve">5. Test Case Summary</w:t>
      </w:r>
    </w:p>
    <w:p>
      <w:pPr>
        <w:spacing w:after="160" w:line="276"/>
      </w:pPr>
      <w:r>
        <w:rPr>
          <w:rFonts w:ascii="Calibri" w:cs="Calibri" w:eastAsia="Calibri" w:hAnsi="Calibri"/>
          <w:sz w:val="22"/>
          <w:szCs w:val="22"/>
        </w:rPr>
        <w:t xml:space="preserve">The table below summarises the test cases implemented in the Postman collection. Full assertions for each case are implemented as test scripts within the collection file, SmartQueue.postman_collection.json.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000"/>
        <w:gridCol w:w="2200"/>
        <w:gridCol w:w="3200"/>
      </w:tblGrid>
      <w:tr>
        <w:trPr>
          <w:tblHeader/>
        </w:trPr>
        <w:tc>
          <w:tcPr>
            <w:tcW w:type="dxa" w:w="500"/>
            <w:shd w:fill="1F3864" w:val="clear"/>
            <w:tcMar>
              <w:top w:type="dxa" w:w="80"/>
              <w:left w:type="dxa" w:w="100"/>
              <w:bottom w:type="dxa" w:w="80"/>
              <w:right w:type="dxa" w:w="100"/>
            </w:tcMar>
          </w:tcPr>
          <w:p>
            <w:pPr>
              <w:jc w:val="left"/>
            </w:pPr>
            <w:r>
              <w:rPr>
                <w:rFonts w:ascii="Calibri" w:cs="Calibri" w:eastAsia="Calibri" w:hAnsi="Calibri"/>
                <w:b/>
                <w:bCs/>
                <w:color w:val="FFFFFF"/>
                <w:sz w:val="20"/>
                <w:szCs w:val="20"/>
              </w:rPr>
              <w:t xml:space="preserve">No.</w:t>
            </w:r>
          </w:p>
        </w:tc>
        <w:tc>
          <w:tcPr>
            <w:tcW w:type="dxa" w:w="2600"/>
            <w:shd w:fill="1F3864" w:val="clear"/>
            <w:tcMar>
              <w:top w:type="dxa" w:w="80"/>
              <w:left w:type="dxa" w:w="100"/>
              <w:bottom w:type="dxa" w:w="80"/>
              <w:right w:type="dxa" w:w="100"/>
            </w:tcMar>
          </w:tcPr>
          <w:p>
            <w:pPr>
              <w:jc w:val="left"/>
            </w:pPr>
            <w:r>
              <w:rPr>
                <w:rFonts w:ascii="Calibri" w:cs="Calibri" w:eastAsia="Calibri" w:hAnsi="Calibri"/>
                <w:b/>
                <w:bCs/>
                <w:color w:val="FFFFFF"/>
                <w:sz w:val="20"/>
                <w:szCs w:val="20"/>
              </w:rPr>
              <w:t xml:space="preserve">Endpoint</w:t>
            </w:r>
          </w:p>
        </w:tc>
        <w:tc>
          <w:tcPr>
            <w:tcW w:type="dxa" w:w="1000"/>
            <w:shd w:fill="1F3864" w:val="clear"/>
            <w:tcMar>
              <w:top w:type="dxa" w:w="80"/>
              <w:left w:type="dxa" w:w="100"/>
              <w:bottom w:type="dxa" w:w="80"/>
              <w:right w:type="dxa" w:w="100"/>
            </w:tcMar>
          </w:tcPr>
          <w:p>
            <w:pPr>
              <w:jc w:val="left"/>
            </w:pPr>
            <w:r>
              <w:rPr>
                <w:rFonts w:ascii="Calibri" w:cs="Calibri" w:eastAsia="Calibri" w:hAnsi="Calibri"/>
                <w:b/>
                <w:bCs/>
                <w:color w:val="FFFFFF"/>
                <w:sz w:val="20"/>
                <w:szCs w:val="20"/>
              </w:rPr>
              <w:t xml:space="preserve">Method</w:t>
            </w:r>
          </w:p>
        </w:tc>
        <w:tc>
          <w:tcPr>
            <w:tcW w:type="dxa" w:w="2200"/>
            <w:shd w:fill="1F3864" w:val="clear"/>
            <w:tcMar>
              <w:top w:type="dxa" w:w="80"/>
              <w:left w:type="dxa" w:w="100"/>
              <w:bottom w:type="dxa" w:w="80"/>
              <w:right w:type="dxa" w:w="100"/>
            </w:tcMar>
          </w:tcPr>
          <w:p>
            <w:pPr>
              <w:jc w:val="left"/>
            </w:pPr>
            <w:r>
              <w:rPr>
                <w:rFonts w:ascii="Calibri" w:cs="Calibri" w:eastAsia="Calibri" w:hAnsi="Calibri"/>
                <w:b/>
                <w:bCs/>
                <w:color w:val="FFFFFF"/>
                <w:sz w:val="20"/>
                <w:szCs w:val="20"/>
              </w:rPr>
              <w:t xml:space="preserve">Case Type</w:t>
            </w:r>
          </w:p>
        </w:tc>
        <w:tc>
          <w:tcPr>
            <w:tcW w:type="dxa" w:w="3200"/>
            <w:shd w:fill="1F3864" w:val="clear"/>
            <w:tcMar>
              <w:top w:type="dxa" w:w="80"/>
              <w:left w:type="dxa" w:w="100"/>
              <w:bottom w:type="dxa" w:w="80"/>
              <w:right w:type="dxa" w:w="100"/>
            </w:tcMar>
          </w:tcPr>
          <w:p>
            <w:pPr>
              <w:jc w:val="left"/>
            </w:pPr>
            <w:r>
              <w:rPr>
                <w:rFonts w:ascii="Calibri" w:cs="Calibri" w:eastAsia="Calibri" w:hAnsi="Calibri"/>
                <w:b/>
                <w:bCs/>
                <w:color w:val="FFFFFF"/>
                <w:sz w:val="20"/>
                <w:szCs w:val="20"/>
              </w:rPr>
              <w:t xml:space="preserve">Expected Result</w:t>
            </w:r>
          </w:p>
        </w:tc>
      </w:tr>
      <w:tr>
        <w:tc>
          <w:tcPr>
            <w:tcW w:type="dxa" w:w="5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1</w:t>
            </w:r>
          </w:p>
        </w:tc>
        <w:tc>
          <w:tcPr>
            <w:tcW w:type="dxa" w:w="26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/api/</w:t>
            </w:r>
          </w:p>
        </w:tc>
        <w:tc>
          <w:tcPr>
            <w:tcW w:type="dxa" w:w="10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GET</w:t>
            </w:r>
          </w:p>
        </w:tc>
        <w:tc>
          <w:tcPr>
            <w:tcW w:type="dxa" w:w="22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Positive</w:t>
            </w:r>
          </w:p>
        </w:tc>
        <w:tc>
          <w:tcPr>
            <w:tcW w:type="dxa" w:w="32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200, responds within 1000 ms</w:t>
            </w:r>
          </w:p>
        </w:tc>
      </w:tr>
      <w:tr>
        <w:tc>
          <w:tcPr>
            <w:tcW w:type="dxa" w:w="500"/>
            <w:shd w:fill="F2F2F2"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2</w:t>
            </w:r>
          </w:p>
        </w:tc>
        <w:tc>
          <w:tcPr>
            <w:tcW w:type="dxa" w:w="2600"/>
            <w:shd w:fill="F2F2F2"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/api/auth/register/</w:t>
            </w:r>
          </w:p>
        </w:tc>
        <w:tc>
          <w:tcPr>
            <w:tcW w:type="dxa" w:w="1000"/>
            <w:shd w:fill="F2F2F2"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POST</w:t>
            </w:r>
          </w:p>
        </w:tc>
        <w:tc>
          <w:tcPr>
            <w:tcW w:type="dxa" w:w="2200"/>
            <w:shd w:fill="F2F2F2"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Positive</w:t>
            </w:r>
          </w:p>
        </w:tc>
        <w:tc>
          <w:tcPr>
            <w:tcW w:type="dxa" w:w="3200"/>
            <w:shd w:fill="F2F2F2"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201, creates a student account</w:t>
            </w:r>
          </w:p>
        </w:tc>
      </w:tr>
      <w:tr>
        <w:tc>
          <w:tcPr>
            <w:tcW w:type="dxa" w:w="5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3</w:t>
            </w:r>
          </w:p>
        </w:tc>
        <w:tc>
          <w:tcPr>
            <w:tcW w:type="dxa" w:w="26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/api/auth/register/</w:t>
            </w:r>
          </w:p>
        </w:tc>
        <w:tc>
          <w:tcPr>
            <w:tcW w:type="dxa" w:w="10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POST</w:t>
            </w:r>
          </w:p>
        </w:tc>
        <w:tc>
          <w:tcPr>
            <w:tcW w:type="dxa" w:w="22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Negative</w:t>
            </w:r>
          </w:p>
        </w:tc>
        <w:tc>
          <w:tcPr>
            <w:tcW w:type="dxa" w:w="32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400, missing required field</w:t>
            </w:r>
          </w:p>
        </w:tc>
      </w:tr>
      <w:tr>
        <w:tc>
          <w:tcPr>
            <w:tcW w:type="dxa" w:w="500"/>
            <w:shd w:fill="F2F2F2"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4</w:t>
            </w:r>
          </w:p>
        </w:tc>
        <w:tc>
          <w:tcPr>
            <w:tcW w:type="dxa" w:w="2600"/>
            <w:shd w:fill="F2F2F2"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/api/auth/login/</w:t>
            </w:r>
          </w:p>
        </w:tc>
        <w:tc>
          <w:tcPr>
            <w:tcW w:type="dxa" w:w="1000"/>
            <w:shd w:fill="F2F2F2"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POST</w:t>
            </w:r>
          </w:p>
        </w:tc>
        <w:tc>
          <w:tcPr>
            <w:tcW w:type="dxa" w:w="2200"/>
            <w:shd w:fill="F2F2F2"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Positive (three roles)</w:t>
            </w:r>
          </w:p>
        </w:tc>
        <w:tc>
          <w:tcPr>
            <w:tcW w:type="dxa" w:w="3200"/>
            <w:shd w:fill="F2F2F2"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200, returns an auth token</w:t>
            </w:r>
          </w:p>
        </w:tc>
      </w:tr>
      <w:tr>
        <w:tc>
          <w:tcPr>
            <w:tcW w:type="dxa" w:w="5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5</w:t>
            </w:r>
          </w:p>
        </w:tc>
        <w:tc>
          <w:tcPr>
            <w:tcW w:type="dxa" w:w="26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/api/auth/login/</w:t>
            </w:r>
          </w:p>
        </w:tc>
        <w:tc>
          <w:tcPr>
            <w:tcW w:type="dxa" w:w="10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POST</w:t>
            </w:r>
          </w:p>
        </w:tc>
        <w:tc>
          <w:tcPr>
            <w:tcW w:type="dxa" w:w="22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Negative</w:t>
            </w:r>
          </w:p>
        </w:tc>
        <w:tc>
          <w:tcPr>
            <w:tcW w:type="dxa" w:w="32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400, no token returned on invalid credentials</w:t>
            </w:r>
          </w:p>
        </w:tc>
      </w:tr>
      <w:tr>
        <w:tc>
          <w:tcPr>
            <w:tcW w:type="dxa" w:w="500"/>
            <w:shd w:fill="F2F2F2"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6</w:t>
            </w:r>
          </w:p>
        </w:tc>
        <w:tc>
          <w:tcPr>
            <w:tcW w:type="dxa" w:w="2600"/>
            <w:shd w:fill="F2F2F2"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/api/auth/profile/</w:t>
            </w:r>
          </w:p>
        </w:tc>
        <w:tc>
          <w:tcPr>
            <w:tcW w:type="dxa" w:w="1000"/>
            <w:shd w:fill="F2F2F2"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GET</w:t>
            </w:r>
          </w:p>
        </w:tc>
        <w:tc>
          <w:tcPr>
            <w:tcW w:type="dxa" w:w="2200"/>
            <w:shd w:fill="F2F2F2"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Positive / Authentication</w:t>
            </w:r>
          </w:p>
        </w:tc>
        <w:tc>
          <w:tcPr>
            <w:tcW w:type="dxa" w:w="3200"/>
            <w:shd w:fill="F2F2F2"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200 authenticated, 401 unauthenticated</w:t>
            </w:r>
          </w:p>
        </w:tc>
      </w:tr>
      <w:tr>
        <w:tc>
          <w:tcPr>
            <w:tcW w:type="dxa" w:w="5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7</w:t>
            </w:r>
          </w:p>
        </w:tc>
        <w:tc>
          <w:tcPr>
            <w:tcW w:type="dxa" w:w="26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/api/auth/profile/</w:t>
            </w:r>
          </w:p>
        </w:tc>
        <w:tc>
          <w:tcPr>
            <w:tcW w:type="dxa" w:w="10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PATCH</w:t>
            </w:r>
          </w:p>
        </w:tc>
        <w:tc>
          <w:tcPr>
            <w:tcW w:type="dxa" w:w="22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Positive</w:t>
            </w:r>
          </w:p>
        </w:tc>
        <w:tc>
          <w:tcPr>
            <w:tcW w:type="dxa" w:w="32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200, field updated</w:t>
            </w:r>
          </w:p>
        </w:tc>
      </w:tr>
      <w:tr>
        <w:tc>
          <w:tcPr>
            <w:tcW w:type="dxa" w:w="500"/>
            <w:shd w:fill="F2F2F2"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8</w:t>
            </w:r>
          </w:p>
        </w:tc>
        <w:tc>
          <w:tcPr>
            <w:tcW w:type="dxa" w:w="2600"/>
            <w:shd w:fill="F2F2F2"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/api/auth/logout/</w:t>
            </w:r>
          </w:p>
        </w:tc>
        <w:tc>
          <w:tcPr>
            <w:tcW w:type="dxa" w:w="1000"/>
            <w:shd w:fill="F2F2F2"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POST</w:t>
            </w:r>
          </w:p>
        </w:tc>
        <w:tc>
          <w:tcPr>
            <w:tcW w:type="dxa" w:w="2200"/>
            <w:shd w:fill="F2F2F2"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Positive</w:t>
            </w:r>
          </w:p>
        </w:tc>
        <w:tc>
          <w:tcPr>
            <w:tcW w:type="dxa" w:w="3200"/>
            <w:shd w:fill="F2F2F2"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200, token invalidated (see Finding 1)</w:t>
            </w:r>
          </w:p>
        </w:tc>
      </w:tr>
      <w:tr>
        <w:tc>
          <w:tcPr>
            <w:tcW w:type="dxa" w:w="5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9</w:t>
            </w:r>
          </w:p>
        </w:tc>
        <w:tc>
          <w:tcPr>
            <w:tcW w:type="dxa" w:w="26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/api/departments/</w:t>
            </w:r>
          </w:p>
        </w:tc>
        <w:tc>
          <w:tcPr>
            <w:tcW w:type="dxa" w:w="10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GET</w:t>
            </w:r>
          </w:p>
        </w:tc>
        <w:tc>
          <w:tcPr>
            <w:tcW w:type="dxa" w:w="22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Positive / Authentication</w:t>
            </w:r>
          </w:p>
        </w:tc>
        <w:tc>
          <w:tcPr>
            <w:tcW w:type="dxa" w:w="32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200 with a results array, 401 unauthenticated</w:t>
            </w:r>
          </w:p>
        </w:tc>
      </w:tr>
      <w:tr>
        <w:tc>
          <w:tcPr>
            <w:tcW w:type="dxa" w:w="500"/>
            <w:shd w:fill="F2F2F2"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10</w:t>
            </w:r>
          </w:p>
        </w:tc>
        <w:tc>
          <w:tcPr>
            <w:tcW w:type="dxa" w:w="2600"/>
            <w:shd w:fill="F2F2F2"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/api/departments/</w:t>
            </w:r>
          </w:p>
        </w:tc>
        <w:tc>
          <w:tcPr>
            <w:tcW w:type="dxa" w:w="1000"/>
            <w:shd w:fill="F2F2F2"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POST</w:t>
            </w:r>
          </w:p>
        </w:tc>
        <w:tc>
          <w:tcPr>
            <w:tcW w:type="dxa" w:w="2200"/>
            <w:shd w:fill="F2F2F2"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Positive / Authorisation / Negative</w:t>
            </w:r>
          </w:p>
        </w:tc>
        <w:tc>
          <w:tcPr>
            <w:tcW w:type="dxa" w:w="3200"/>
            <w:shd w:fill="F2F2F2"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201 as admin, 403 as student, 400 on missing fields</w:t>
            </w:r>
          </w:p>
        </w:tc>
      </w:tr>
      <w:tr>
        <w:tc>
          <w:tcPr>
            <w:tcW w:type="dxa" w:w="5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11</w:t>
            </w:r>
          </w:p>
        </w:tc>
        <w:tc>
          <w:tcPr>
            <w:tcW w:type="dxa" w:w="26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/api/departments/{id}/</w:t>
            </w:r>
          </w:p>
        </w:tc>
        <w:tc>
          <w:tcPr>
            <w:tcW w:type="dxa" w:w="10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GET</w:t>
            </w:r>
          </w:p>
        </w:tc>
        <w:tc>
          <w:tcPr>
            <w:tcW w:type="dxa" w:w="22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Positive / Not found</w:t>
            </w:r>
          </w:p>
        </w:tc>
        <w:tc>
          <w:tcPr>
            <w:tcW w:type="dxa" w:w="32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200 for a valid ID, 404 for an invalid ID</w:t>
            </w:r>
          </w:p>
        </w:tc>
      </w:tr>
      <w:tr>
        <w:tc>
          <w:tcPr>
            <w:tcW w:type="dxa" w:w="500"/>
            <w:shd w:fill="F2F2F2"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12</w:t>
            </w:r>
          </w:p>
        </w:tc>
        <w:tc>
          <w:tcPr>
            <w:tcW w:type="dxa" w:w="2600"/>
            <w:shd w:fill="F2F2F2"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/api/departments/{id}/</w:t>
            </w:r>
          </w:p>
        </w:tc>
        <w:tc>
          <w:tcPr>
            <w:tcW w:type="dxa" w:w="1000"/>
            <w:shd w:fill="F2F2F2"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PUT, PATCH</w:t>
            </w:r>
          </w:p>
        </w:tc>
        <w:tc>
          <w:tcPr>
            <w:tcW w:type="dxa" w:w="2200"/>
            <w:shd w:fill="F2F2F2"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Positive</w:t>
            </w:r>
          </w:p>
        </w:tc>
        <w:tc>
          <w:tcPr>
            <w:tcW w:type="dxa" w:w="3200"/>
            <w:shd w:fill="F2F2F2"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200, fields updated</w:t>
            </w:r>
          </w:p>
        </w:tc>
      </w:tr>
      <w:tr>
        <w:tc>
          <w:tcPr>
            <w:tcW w:type="dxa" w:w="5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13</w:t>
            </w:r>
          </w:p>
        </w:tc>
        <w:tc>
          <w:tcPr>
            <w:tcW w:type="dxa" w:w="26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/api/departments/{id}/join/</w:t>
            </w:r>
          </w:p>
        </w:tc>
        <w:tc>
          <w:tcPr>
            <w:tcW w:type="dxa" w:w="10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POST</w:t>
            </w:r>
          </w:p>
        </w:tc>
        <w:tc>
          <w:tcPr>
            <w:tcW w:type="dxa" w:w="22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Positive / Authentication</w:t>
            </w:r>
          </w:p>
        </w:tc>
        <w:tc>
          <w:tcPr>
            <w:tcW w:type="dxa" w:w="32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201 authenticated, 401 unauthenticated</w:t>
            </w:r>
          </w:p>
        </w:tc>
      </w:tr>
      <w:tr>
        <w:tc>
          <w:tcPr>
            <w:tcW w:type="dxa" w:w="500"/>
            <w:shd w:fill="F2F2F2"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14</w:t>
            </w:r>
          </w:p>
        </w:tc>
        <w:tc>
          <w:tcPr>
            <w:tcW w:type="dxa" w:w="2600"/>
            <w:shd w:fill="F2F2F2"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/api/departments/{id}/</w:t>
            </w:r>
          </w:p>
        </w:tc>
        <w:tc>
          <w:tcPr>
            <w:tcW w:type="dxa" w:w="1000"/>
            <w:shd w:fill="F2F2F2"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DELETE</w:t>
            </w:r>
          </w:p>
        </w:tc>
        <w:tc>
          <w:tcPr>
            <w:tcW w:type="dxa" w:w="2200"/>
            <w:shd w:fill="F2F2F2"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Positive</w:t>
            </w:r>
          </w:p>
        </w:tc>
        <w:tc>
          <w:tcPr>
            <w:tcW w:type="dxa" w:w="3200"/>
            <w:shd w:fill="F2F2F2"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200, soft delete (deactivation, not row removal)</w:t>
            </w:r>
          </w:p>
        </w:tc>
      </w:tr>
      <w:tr>
        <w:tc>
          <w:tcPr>
            <w:tcW w:type="dxa" w:w="5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15</w:t>
            </w:r>
          </w:p>
        </w:tc>
        <w:tc>
          <w:tcPr>
            <w:tcW w:type="dxa" w:w="26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/api/tickets/</w:t>
            </w:r>
          </w:p>
        </w:tc>
        <w:tc>
          <w:tcPr>
            <w:tcW w:type="dxa" w:w="10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GET</w:t>
            </w:r>
          </w:p>
        </w:tc>
        <w:tc>
          <w:tcPr>
            <w:tcW w:type="dxa" w:w="22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Positive</w:t>
            </w:r>
          </w:p>
        </w:tc>
        <w:tc>
          <w:tcPr>
            <w:tcW w:type="dxa" w:w="32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200, ticket history returned</w:t>
            </w:r>
          </w:p>
        </w:tc>
      </w:tr>
      <w:tr>
        <w:tc>
          <w:tcPr>
            <w:tcW w:type="dxa" w:w="500"/>
            <w:shd w:fill="F2F2F2"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16</w:t>
            </w:r>
          </w:p>
        </w:tc>
        <w:tc>
          <w:tcPr>
            <w:tcW w:type="dxa" w:w="2600"/>
            <w:shd w:fill="F2F2F2"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/api/tickets/active/</w:t>
            </w:r>
          </w:p>
        </w:tc>
        <w:tc>
          <w:tcPr>
            <w:tcW w:type="dxa" w:w="1000"/>
            <w:shd w:fill="F2F2F2"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GET</w:t>
            </w:r>
          </w:p>
        </w:tc>
        <w:tc>
          <w:tcPr>
            <w:tcW w:type="dxa" w:w="2200"/>
            <w:shd w:fill="F2F2F2"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Positive</w:t>
            </w:r>
          </w:p>
        </w:tc>
        <w:tc>
          <w:tcPr>
            <w:tcW w:type="dxa" w:w="3200"/>
            <w:shd w:fill="F2F2F2"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200, response time checked (polling endpoint)</w:t>
            </w:r>
          </w:p>
        </w:tc>
      </w:tr>
      <w:tr>
        <w:tc>
          <w:tcPr>
            <w:tcW w:type="dxa" w:w="5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17</w:t>
            </w:r>
          </w:p>
        </w:tc>
        <w:tc>
          <w:tcPr>
            <w:tcW w:type="dxa" w:w="26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/api/tickets/{id}/cancel/</w:t>
            </w:r>
          </w:p>
        </w:tc>
        <w:tc>
          <w:tcPr>
            <w:tcW w:type="dxa" w:w="10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POST</w:t>
            </w:r>
          </w:p>
        </w:tc>
        <w:tc>
          <w:tcPr>
            <w:tcW w:type="dxa" w:w="22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Positive / Not found / Authentication</w:t>
            </w:r>
          </w:p>
        </w:tc>
        <w:tc>
          <w:tcPr>
            <w:tcW w:type="dxa" w:w="32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200 valid, 404 invalid ID, 401 unauthenticated</w:t>
            </w:r>
          </w:p>
        </w:tc>
      </w:tr>
      <w:tr>
        <w:tc>
          <w:tcPr>
            <w:tcW w:type="dxa" w:w="500"/>
            <w:shd w:fill="F2F2F2"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18</w:t>
            </w:r>
          </w:p>
        </w:tc>
        <w:tc>
          <w:tcPr>
            <w:tcW w:type="dxa" w:w="2600"/>
            <w:shd w:fill="F2F2F2"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/api/staff/queue/</w:t>
            </w:r>
          </w:p>
        </w:tc>
        <w:tc>
          <w:tcPr>
            <w:tcW w:type="dxa" w:w="1000"/>
            <w:shd w:fill="F2F2F2"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GET</w:t>
            </w:r>
          </w:p>
        </w:tc>
        <w:tc>
          <w:tcPr>
            <w:tcW w:type="dxa" w:w="2200"/>
            <w:shd w:fill="F2F2F2"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Positive / Authorisation</w:t>
            </w:r>
          </w:p>
        </w:tc>
        <w:tc>
          <w:tcPr>
            <w:tcW w:type="dxa" w:w="3200"/>
            <w:shd w:fill="F2F2F2"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200 as staff, 403 as student</w:t>
            </w:r>
          </w:p>
        </w:tc>
      </w:tr>
      <w:tr>
        <w:tc>
          <w:tcPr>
            <w:tcW w:type="dxa" w:w="5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19</w:t>
            </w:r>
          </w:p>
        </w:tc>
        <w:tc>
          <w:tcPr>
            <w:tcW w:type="dxa" w:w="26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/api/staff/call-next/</w:t>
            </w:r>
          </w:p>
        </w:tc>
        <w:tc>
          <w:tcPr>
            <w:tcW w:type="dxa" w:w="10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POST</w:t>
            </w:r>
          </w:p>
        </w:tc>
        <w:tc>
          <w:tcPr>
            <w:tcW w:type="dxa" w:w="22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Positive</w:t>
            </w:r>
          </w:p>
        </w:tc>
        <w:tc>
          <w:tcPr>
            <w:tcW w:type="dxa" w:w="32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200, next waiting ticket returned</w:t>
            </w:r>
          </w:p>
        </w:tc>
      </w:tr>
      <w:tr>
        <w:tc>
          <w:tcPr>
            <w:tcW w:type="dxa" w:w="500"/>
            <w:shd w:fill="F2F2F2"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20</w:t>
            </w:r>
          </w:p>
        </w:tc>
        <w:tc>
          <w:tcPr>
            <w:tcW w:type="dxa" w:w="2600"/>
            <w:shd w:fill="F2F2F2"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/api/staff/tickets/{id}/start/</w:t>
            </w:r>
          </w:p>
        </w:tc>
        <w:tc>
          <w:tcPr>
            <w:tcW w:type="dxa" w:w="1000"/>
            <w:shd w:fill="F2F2F2"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POST</w:t>
            </w:r>
          </w:p>
        </w:tc>
        <w:tc>
          <w:tcPr>
            <w:tcW w:type="dxa" w:w="2200"/>
            <w:shd w:fill="F2F2F2"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Positive</w:t>
            </w:r>
          </w:p>
        </w:tc>
        <w:tc>
          <w:tcPr>
            <w:tcW w:type="dxa" w:w="3200"/>
            <w:shd w:fill="F2F2F2"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200, ticket status transitions to in progress</w:t>
            </w:r>
          </w:p>
        </w:tc>
      </w:tr>
      <w:tr>
        <w:tc>
          <w:tcPr>
            <w:tcW w:type="dxa" w:w="5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21</w:t>
            </w:r>
          </w:p>
        </w:tc>
        <w:tc>
          <w:tcPr>
            <w:tcW w:type="dxa" w:w="26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/api/staff/tickets/{id}/serve/</w:t>
            </w:r>
          </w:p>
        </w:tc>
        <w:tc>
          <w:tcPr>
            <w:tcW w:type="dxa" w:w="10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POST</w:t>
            </w:r>
          </w:p>
        </w:tc>
        <w:tc>
          <w:tcPr>
            <w:tcW w:type="dxa" w:w="22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Positive</w:t>
            </w:r>
          </w:p>
        </w:tc>
        <w:tc>
          <w:tcPr>
            <w:tcW w:type="dxa" w:w="32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200, ticket marked as served</w:t>
            </w:r>
          </w:p>
        </w:tc>
      </w:tr>
      <w:tr>
        <w:tc>
          <w:tcPr>
            <w:tcW w:type="dxa" w:w="500"/>
            <w:shd w:fill="F2F2F2"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22</w:t>
            </w:r>
          </w:p>
        </w:tc>
        <w:tc>
          <w:tcPr>
            <w:tcW w:type="dxa" w:w="2600"/>
            <w:shd w:fill="F2F2F2"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/api/staff/tickets/{id}/no-show/</w:t>
            </w:r>
          </w:p>
        </w:tc>
        <w:tc>
          <w:tcPr>
            <w:tcW w:type="dxa" w:w="1000"/>
            <w:shd w:fill="F2F2F2"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POST</w:t>
            </w:r>
          </w:p>
        </w:tc>
        <w:tc>
          <w:tcPr>
            <w:tcW w:type="dxa" w:w="2200"/>
            <w:shd w:fill="F2F2F2"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Positive / Edge case</w:t>
            </w:r>
          </w:p>
        </w:tc>
        <w:tc>
          <w:tcPr>
            <w:tcW w:type="dxa" w:w="3200"/>
            <w:shd w:fill="F2F2F2"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200 if waiting, 400 if already served (see Finding 2)</w:t>
            </w:r>
          </w:p>
        </w:tc>
      </w:tr>
      <w:tr>
        <w:tc>
          <w:tcPr>
            <w:tcW w:type="dxa" w:w="5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23</w:t>
            </w:r>
          </w:p>
        </w:tc>
        <w:tc>
          <w:tcPr>
            <w:tcW w:type="dxa" w:w="26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/api/staff/queue/status/</w:t>
            </w:r>
          </w:p>
        </w:tc>
        <w:tc>
          <w:tcPr>
            <w:tcW w:type="dxa" w:w="10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POST</w:t>
            </w:r>
          </w:p>
        </w:tc>
        <w:tc>
          <w:tcPr>
            <w:tcW w:type="dxa" w:w="22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Positive / Negative</w:t>
            </w:r>
          </w:p>
        </w:tc>
        <w:tc>
          <w:tcPr>
            <w:tcW w:type="dxa" w:w="32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200 for pause and resume, 400 for an invalid status value</w:t>
            </w:r>
          </w:p>
        </w:tc>
      </w:tr>
      <w:tr>
        <w:tc>
          <w:tcPr>
            <w:tcW w:type="dxa" w:w="500"/>
            <w:shd w:fill="F2F2F2"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24</w:t>
            </w:r>
          </w:p>
        </w:tc>
        <w:tc>
          <w:tcPr>
            <w:tcW w:type="dxa" w:w="2600"/>
            <w:shd w:fill="F2F2F2"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/api/reports/summary/</w:t>
            </w:r>
          </w:p>
        </w:tc>
        <w:tc>
          <w:tcPr>
            <w:tcW w:type="dxa" w:w="1000"/>
            <w:shd w:fill="F2F2F2"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GET</w:t>
            </w:r>
          </w:p>
        </w:tc>
        <w:tc>
          <w:tcPr>
            <w:tcW w:type="dxa" w:w="2200"/>
            <w:shd w:fill="F2F2F2"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Positive / Negative / Authorisation</w:t>
            </w:r>
          </w:p>
        </w:tc>
        <w:tc>
          <w:tcPr>
            <w:tcW w:type="dxa" w:w="3200"/>
            <w:shd w:fill="F2F2F2"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200 for admin with a date, graceful handling of a missing date, 403 for student</w:t>
            </w:r>
          </w:p>
        </w:tc>
      </w:tr>
      <w:tr>
        <w:tc>
          <w:tcPr>
            <w:tcW w:type="dxa" w:w="5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25</w:t>
            </w:r>
          </w:p>
        </w:tc>
        <w:tc>
          <w:tcPr>
            <w:tcW w:type="dxa" w:w="26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/api/users/</w:t>
            </w:r>
          </w:p>
        </w:tc>
        <w:tc>
          <w:tcPr>
            <w:tcW w:type="dxa" w:w="10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GET</w:t>
            </w:r>
          </w:p>
        </w:tc>
        <w:tc>
          <w:tcPr>
            <w:tcW w:type="dxa" w:w="22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Positive / Authorisation</w:t>
            </w:r>
          </w:p>
        </w:tc>
        <w:tc>
          <w:tcPr>
            <w:tcW w:type="dxa" w:w="32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200 as admin, 403 as student</w:t>
            </w:r>
          </w:p>
        </w:tc>
      </w:tr>
      <w:tr>
        <w:tc>
          <w:tcPr>
            <w:tcW w:type="dxa" w:w="500"/>
            <w:shd w:fill="F2F2F2"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26</w:t>
            </w:r>
          </w:p>
        </w:tc>
        <w:tc>
          <w:tcPr>
            <w:tcW w:type="dxa" w:w="2600"/>
            <w:shd w:fill="F2F2F2"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/api/users/{id}/</w:t>
            </w:r>
          </w:p>
        </w:tc>
        <w:tc>
          <w:tcPr>
            <w:tcW w:type="dxa" w:w="1000"/>
            <w:shd w:fill="F2F2F2"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GET, PATCH</w:t>
            </w:r>
          </w:p>
        </w:tc>
        <w:tc>
          <w:tcPr>
            <w:tcW w:type="dxa" w:w="2200"/>
            <w:shd w:fill="F2F2F2"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Positive / Not found</w:t>
            </w:r>
          </w:p>
        </w:tc>
        <w:tc>
          <w:tcPr>
            <w:tcW w:type="dxa" w:w="3200"/>
            <w:shd w:fill="F2F2F2" w:val="clear"/>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200 for a valid ID, 404 for an invalid ID</w:t>
            </w:r>
          </w:p>
        </w:tc>
      </w:tr>
      <w:tr>
        <w:tc>
          <w:tcPr>
            <w:tcW w:type="dxa" w:w="5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27</w:t>
            </w:r>
          </w:p>
        </w:tc>
        <w:tc>
          <w:tcPr>
            <w:tcW w:type="dxa" w:w="26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/api/users/staff/</w:t>
            </w:r>
          </w:p>
        </w:tc>
        <w:tc>
          <w:tcPr>
            <w:tcW w:type="dxa" w:w="10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POST</w:t>
            </w:r>
          </w:p>
        </w:tc>
        <w:tc>
          <w:tcPr>
            <w:tcW w:type="dxa" w:w="22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Positive / Authorisation</w:t>
            </w:r>
          </w:p>
        </w:tc>
        <w:tc>
          <w:tcPr>
            <w:tcW w:type="dxa" w:w="3200"/>
            <w:tcMar>
              <w:top w:type="dxa" w:w="80"/>
              <w:left w:type="dxa" w:w="100"/>
              <w:bottom w:type="dxa" w:w="80"/>
              <w:right w:type="dxa" w:w="100"/>
            </w:tcMar>
          </w:tcPr>
          <w:p>
            <w:pPr>
              <w:jc w:val="left"/>
            </w:pPr>
            <w:r>
              <w:rPr>
                <w:rFonts w:ascii="Calibri" w:cs="Calibri" w:eastAsia="Calibri" w:hAnsi="Calibri"/>
                <w:b w:val="false"/>
                <w:bCs w:val="false"/>
                <w:color w:val="000000"/>
                <w:sz w:val="20"/>
                <w:szCs w:val="20"/>
              </w:rPr>
              <w:t xml:space="preserve">201 as admin, 403 as student</w:t>
            </w:r>
          </w:p>
        </w:tc>
      </w:tr>
    </w:tbl>
    <w:p>
      <w:pPr>
        <w:pStyle w:val="Heading1"/>
        <w:spacing w:after="160" w:before="320"/>
      </w:pPr>
      <w:r>
        <w:rPr>
          <w:rFonts w:ascii="Calibri" w:cs="Calibri" w:eastAsia="Calibri" w:hAnsi="Calibri"/>
          <w:b/>
          <w:bCs/>
          <w:color w:val="1F3864"/>
          <w:sz w:val="28"/>
          <w:szCs w:val="28"/>
        </w:rPr>
        <w:t xml:space="preserve">6. Findings</w:t>
      </w:r>
    </w:p>
    <w:p>
      <w:pPr>
        <w:spacing w:after="160" w:line="276"/>
      </w:pPr>
      <w:r>
        <w:rPr>
          <w:rFonts w:ascii="Calibri" w:cs="Calibri" w:eastAsia="Calibri" w:hAnsi="Calibri"/>
          <w:sz w:val="22"/>
          <w:szCs w:val="22"/>
        </w:rPr>
        <w:t xml:space="preserve">Test execution surfaced two genuine backend behaviours that are documented here as findings, distinct from the expected pass and fail results in the table above.</w:t>
      </w:r>
    </w:p>
    <w:p>
      <w:pPr>
        <w:pStyle w:val="Heading2"/>
        <w:spacing w:after="120" w:before="240"/>
      </w:pPr>
      <w:r>
        <w:rPr>
          <w:rFonts w:ascii="Calibri" w:cs="Calibri" w:eastAsia="Calibri" w:hAnsi="Calibri"/>
          <w:b/>
          <w:bCs/>
          <w:color w:val="1F3864"/>
          <w:sz w:val="24"/>
          <w:szCs w:val="24"/>
        </w:rPr>
        <w:t xml:space="preserve">Finding 1: Logout invalidates every session for a user, not only the current one</w:t>
      </w:r>
    </w:p>
    <w:p>
      <w:pPr>
        <w:spacing w:after="160" w:line="276"/>
      </w:pPr>
      <w:r>
        <w:rPr>
          <w:rFonts w:ascii="Calibri" w:cs="Calibri" w:eastAsia="Calibri" w:hAnsi="Calibri"/>
          <w:sz w:val="22"/>
          <w:szCs w:val="22"/>
        </w:rPr>
        <w:t xml:space="preserve">The logout view deletes every authentication token belonging to the requesting user, rather than only the token used to authenticate the logout request itself. Combined with the login view, which reuses a single token per user across logins, this means the API does not support multiple concurrent sessions for one account. Logging in on a second device and then logging out from either session ends both sessions. This is a reasonable design choice for a queue system in which a student is expected to hold one active session, but it should be recorded as a known constraint rather than an oversight. Once the Next.js frontend is built, a user with the application open in two browser tabs will find both tabs logged out if either tab calls logout.</w:t>
      </w:r>
    </w:p>
    <w:p>
      <w:pPr>
        <w:pStyle w:val="Heading2"/>
        <w:spacing w:after="120" w:before="240"/>
      </w:pPr>
      <w:r>
        <w:rPr>
          <w:rFonts w:ascii="Calibri" w:cs="Calibri" w:eastAsia="Calibri" w:hAnsi="Calibri"/>
          <w:b/>
          <w:bCs/>
          <w:color w:val="1F3864"/>
          <w:sz w:val="24"/>
          <w:szCs w:val="24"/>
        </w:rPr>
        <w:t xml:space="preserve">Finding 2: Marking a ticket as no-show after it has already been served returns 400, not a conflict-style status</w:t>
      </w:r>
    </w:p>
    <w:p>
      <w:pPr>
        <w:spacing w:after="160" w:line="276"/>
      </w:pPr>
      <w:r>
        <w:rPr>
          <w:rFonts w:ascii="Calibri" w:cs="Calibri" w:eastAsia="Calibri" w:hAnsi="Calibri"/>
          <w:sz w:val="22"/>
          <w:szCs w:val="22"/>
        </w:rPr>
        <w:t xml:space="preserve">Attempting to mark a ticket as no-show when its status is already served returns 400 Bad Request with a validation-style error message, rather than 409 Conflict. Both responses are defensible. A 400 response treats the request as invalid given the ticket's current state, while a 409 response would frame the situation as a conflict over the resource's state. No change to the backend is required. This behaviour is recorded here so that the discussion of error handling in the project report can describe it accurately.</w:t>
      </w:r>
    </w:p>
    <w:p>
      <w:pPr>
        <w:pStyle w:val="Heading1"/>
        <w:spacing w:after="160" w:before="320"/>
      </w:pPr>
      <w:r>
        <w:rPr>
          <w:rFonts w:ascii="Calibri" w:cs="Calibri" w:eastAsia="Calibri" w:hAnsi="Calibri"/>
          <w:b/>
          <w:bCs/>
          <w:color w:val="1F3864"/>
          <w:sz w:val="28"/>
          <w:szCs w:val="28"/>
        </w:rPr>
        <w:t xml:space="preserve">7. Pass and Fail Criteria</w:t>
      </w:r>
    </w:p>
    <w:p>
      <w:pPr>
        <w:spacing w:after="160" w:line="276"/>
      </w:pPr>
      <w:r>
        <w:rPr>
          <w:rFonts w:ascii="Calibri" w:cs="Calibri" w:eastAsia="Calibri" w:hAnsi="Calibri"/>
          <w:b/>
          <w:bCs/>
          <w:sz w:val="22"/>
          <w:szCs w:val="22"/>
        </w:rPr>
        <w:t xml:space="preserve">Pass: </w:t>
      </w:r>
      <w:r>
        <w:rPr>
          <w:rFonts w:ascii="Calibri" w:cs="Calibri" w:eastAsia="Calibri" w:hAnsi="Calibri"/>
          <w:sz w:val="22"/>
          <w:szCs w:val="22"/>
        </w:rPr>
        <w:t xml:space="preserve">the actual HTTP status code and response structure match the expected result defined in the test case summary, and the response time is under 1000 milliseconds.</w:t>
      </w:r>
    </w:p>
    <w:p>
      <w:pPr>
        <w:spacing w:after="160" w:line="276"/>
      </w:pPr>
      <w:r>
        <w:rPr>
          <w:rFonts w:ascii="Calibri" w:cs="Calibri" w:eastAsia="Calibri" w:hAnsi="Calibri"/>
          <w:b/>
          <w:bCs/>
          <w:sz w:val="22"/>
          <w:szCs w:val="22"/>
        </w:rPr>
        <w:t xml:space="preserve">Fail: </w:t>
      </w:r>
      <w:r>
        <w:rPr>
          <w:rFonts w:ascii="Calibri" w:cs="Calibri" w:eastAsia="Calibri" w:hAnsi="Calibri"/>
          <w:sz w:val="22"/>
          <w:szCs w:val="22"/>
        </w:rPr>
        <w:t xml:space="preserve">an unexpected status code is returned, for example a 500 error on invalid input or a 200 response where a 403 was expected, the response is missing expected fields, or the response time exceeds the defined threshold.</w:t>
      </w:r>
    </w:p>
    <w:p>
      <w:pPr>
        <w:pStyle w:val="Heading1"/>
        <w:spacing w:after="160" w:before="320"/>
      </w:pPr>
      <w:r>
        <w:rPr>
          <w:rFonts w:ascii="Calibri" w:cs="Calibri" w:eastAsia="Calibri" w:hAnsi="Calibri"/>
          <w:b/>
          <w:bCs/>
          <w:color w:val="1F3864"/>
          <w:sz w:val="28"/>
          <w:szCs w:val="28"/>
        </w:rPr>
        <w:t xml:space="preserve">8. Execution and Evidence</w:t>
      </w:r>
    </w:p>
    <w:p>
      <w:pPr>
        <w:pStyle w:val="ListParagraph"/>
        <w:numPr>
          <w:ilvl w:val="0"/>
          <w:numId w:val="2"/>
        </w:numPr>
        <w:spacing w:after="120" w:line="276"/>
      </w:pPr>
      <w:r>
        <w:rPr>
          <w:rFonts w:ascii="Calibri" w:cs="Calibri" w:eastAsia="Calibri" w:hAnsi="Calibri"/>
          <w:sz w:val="22"/>
          <w:szCs w:val="22"/>
        </w:rPr>
        <w:t xml:space="preserve">Import SmartQueue.postman_collection.json and SmartQueue.postman_environment.json into Postman.</w:t>
      </w:r>
    </w:p>
    <w:p>
      <w:pPr>
        <w:pStyle w:val="ListParagraph"/>
        <w:numPr>
          <w:ilvl w:val="0"/>
          <w:numId w:val="2"/>
        </w:numPr>
        <w:spacing w:after="120" w:line="276"/>
      </w:pPr>
      <w:r>
        <w:rPr>
          <w:rFonts w:ascii="Calibri" w:cs="Calibri" w:eastAsia="Calibri" w:hAnsi="Calibri"/>
          <w:sz w:val="22"/>
          <w:szCs w:val="22"/>
        </w:rPr>
        <w:t xml:space="preserve">Populate the student, staff, and admin username and password fields in the Postman environment. These fields are marked as secret variables and are not committed to version control. The staff account must be assigned to the ICT department for the staff-side ticket lifecycle tests to have permission over the tickets they act on.</w:t>
      </w:r>
    </w:p>
    <w:p>
      <w:pPr>
        <w:pStyle w:val="ListParagraph"/>
        <w:numPr>
          <w:ilvl w:val="0"/>
          <w:numId w:val="2"/>
        </w:numPr>
        <w:spacing w:after="120" w:line="276"/>
      </w:pPr>
      <w:r>
        <w:rPr>
          <w:rFonts w:ascii="Calibri" w:cs="Calibri" w:eastAsia="Calibri" w:hAnsi="Calibri"/>
          <w:sz w:val="22"/>
          <w:szCs w:val="22"/>
        </w:rPr>
        <w:t xml:space="preserve">Start the Django development server using python manage.py runserver.</w:t>
      </w:r>
    </w:p>
    <w:p>
      <w:pPr>
        <w:pStyle w:val="ListParagraph"/>
        <w:numPr>
          <w:ilvl w:val="0"/>
          <w:numId w:val="2"/>
        </w:numPr>
        <w:spacing w:after="120" w:line="276"/>
      </w:pPr>
      <w:r>
        <w:rPr>
          <w:rFonts w:ascii="Calibri" w:cs="Calibri" w:eastAsia="Calibri" w:hAnsi="Calibri"/>
          <w:sz w:val="22"/>
          <w:szCs w:val="22"/>
        </w:rPr>
        <w:t xml:space="preserve">Run the full collection in order using the Collection Runner: Root, Auth, Departments, Tickets, Staff Operations, Reports, Users, and finally Session Teardown. The order matters because later requests depend on tokens and identifiers captured earlier in the run, and logout is deliberately run last because it invalidates the student account's token for the remainder of the session, as described in Finding 1.</w:t>
      </w:r>
    </w:p>
    <w:p>
      <w:pPr>
        <w:pStyle w:val="ListParagraph"/>
        <w:numPr>
          <w:ilvl w:val="0"/>
          <w:numId w:val="2"/>
        </w:numPr>
        <w:spacing w:after="120" w:line="276"/>
      </w:pPr>
      <w:r>
        <w:rPr>
          <w:rFonts w:ascii="Calibri" w:cs="Calibri" w:eastAsia="Calibri" w:hAnsi="Calibri"/>
          <w:sz w:val="22"/>
          <w:szCs w:val="22"/>
        </w:rPr>
        <w:t xml:space="preserve">Export the Collection Runner summary, including pass and fail counts and response times, as a screenshot or JSON file for inclusion in the project report and the GitHub repository.</w:t>
      </w:r>
    </w:p>
    <w:p>
      <w:pPr>
        <w:pStyle w:val="Heading1"/>
        <w:spacing w:after="160" w:before="320"/>
      </w:pPr>
      <w:r>
        <w:rPr>
          <w:rFonts w:ascii="Calibri" w:cs="Calibri" w:eastAsia="Calibri" w:hAnsi="Calibri"/>
          <w:b/>
          <w:bCs/>
          <w:color w:val="1F3864"/>
          <w:sz w:val="28"/>
          <w:szCs w:val="28"/>
        </w:rPr>
        <w:t xml:space="preserve">9. Known Limitations</w:t>
      </w:r>
    </w:p>
    <w:p>
      <w:pPr>
        <w:pStyle w:val="ListParagraph"/>
        <w:numPr>
          <w:ilvl w:val="0"/>
          <w:numId w:val="1"/>
        </w:numPr>
        <w:spacing w:after="100" w:line="276"/>
      </w:pPr>
      <w:r>
        <w:rPr>
          <w:rFonts w:ascii="Calibri" w:cs="Calibri" w:eastAsia="Calibri" w:hAnsi="Calibri"/>
          <w:sz w:val="22"/>
          <w:szCs w:val="22"/>
        </w:rPr>
        <w:t xml:space="preserve">Test data is not fully isolated between runs. Re-running the collection attempts to re-register the same student username and re-create the same staff account username, both of which correctly fail with 400 on repeat runs. This is expected behaviour but should be kept in mind when interpreting a second run's results.</w:t>
      </w:r>
    </w:p>
    <w:p>
      <w:pPr>
        <w:pStyle w:val="ListParagraph"/>
        <w:numPr>
          <w:ilvl w:val="0"/>
          <w:numId w:val="1"/>
        </w:numPr>
        <w:spacing w:after="100" w:line="276"/>
      </w:pPr>
      <w:r>
        <w:rPr>
          <w:rFonts w:ascii="Calibri" w:cs="Calibri" w:eastAsia="Calibri" w:hAnsi="Calibri"/>
          <w:sz w:val="22"/>
          <w:szCs w:val="22"/>
        </w:rPr>
        <w:t xml:space="preserve">The disposable department created and deleted in the Departments folder accumulates in the database across runs, because the delete operation deactivates the record rather than removing it. This is harmless for testing purposes but should be cleaned up manually before a live demonstration.</w:t>
      </w:r>
    </w:p>
    <w:p>
      <w:pPr>
        <w:pStyle w:val="ListParagraph"/>
        <w:numPr>
          <w:ilvl w:val="0"/>
          <w:numId w:val="1"/>
        </w:numPr>
        <w:spacing w:after="100" w:line="276"/>
      </w:pPr>
      <w:r>
        <w:rPr>
          <w:rFonts w:ascii="Calibri" w:cs="Calibri" w:eastAsia="Calibri" w:hAnsi="Calibri"/>
          <w:sz w:val="22"/>
          <w:szCs w:val="22"/>
        </w:rPr>
        <w:t xml:space="preserve">No automated load or concurrency testing is included. The response time assertions capture single-request latency only and do not assess behaviour under concurrent load. This is noted as an area for future work.</w:t>
      </w:r>
    </w:p>
    <w:p>
      <w:pPr>
        <w:pStyle w:val="Heading1"/>
        <w:spacing w:after="160" w:before="320"/>
      </w:pPr>
      <w:r>
        <w:rPr>
          <w:rFonts w:ascii="Calibri" w:cs="Calibri" w:eastAsia="Calibri" w:hAnsi="Calibri"/>
          <w:b/>
          <w:bCs/>
          <w:color w:val="1F3864"/>
          <w:sz w:val="28"/>
          <w:szCs w:val="28"/>
        </w:rPr>
        <w:t xml:space="preserve">10. Future Improvements</w:t>
      </w:r>
    </w:p>
    <w:p>
      <w:pPr>
        <w:pStyle w:val="ListParagraph"/>
        <w:numPr>
          <w:ilvl w:val="0"/>
          <w:numId w:val="1"/>
        </w:numPr>
        <w:spacing w:after="100" w:line="276"/>
      </w:pPr>
      <w:r>
        <w:rPr>
          <w:rFonts w:ascii="Calibri" w:cs="Calibri" w:eastAsia="Calibri" w:hAnsi="Calibri"/>
          <w:sz w:val="22"/>
          <w:szCs w:val="22"/>
        </w:rPr>
        <w:t xml:space="preserve">Integrate Newman with a continuous integration pipeline, such as GitHub Actions, so the collection runs automatically on every push, once Node.js tooling is available to the team.</w:t>
      </w:r>
    </w:p>
    <w:p>
      <w:pPr>
        <w:pStyle w:val="ListParagraph"/>
        <w:numPr>
          <w:ilvl w:val="0"/>
          <w:numId w:val="1"/>
        </w:numPr>
        <w:spacing w:after="100" w:line="276"/>
      </w:pPr>
      <w:r>
        <w:rPr>
          <w:rFonts w:ascii="Calibri" w:cs="Calibri" w:eastAsia="Calibri" w:hAnsi="Calibri"/>
          <w:sz w:val="22"/>
          <w:szCs w:val="22"/>
        </w:rPr>
        <w:t xml:space="preserve">Add data teardown and reset scripts so the collection is fully repeatable without manual database cleanup.</w:t>
      </w:r>
    </w:p>
    <w:p>
      <w:pPr>
        <w:pStyle w:val="ListParagraph"/>
        <w:numPr>
          <w:ilvl w:val="0"/>
          <w:numId w:val="1"/>
        </w:numPr>
        <w:spacing w:after="100" w:line="276"/>
      </w:pPr>
      <w:r>
        <w:rPr>
          <w:rFonts w:ascii="Calibri" w:cs="Calibri" w:eastAsia="Calibri" w:hAnsi="Calibri"/>
          <w:sz w:val="22"/>
          <w:szCs w:val="22"/>
        </w:rPr>
        <w:t xml:space="preserve">Extend testing to include basic load testing, for example using k6 or Postman's own performance testing features, to evaluate scalability under concurrent students joining a queue.</w:t>
      </w:r>
    </w:p>
    <w:p>
      <w:pPr>
        <w:pStyle w:val="ListParagraph"/>
        <w:numPr>
          <w:ilvl w:val="0"/>
          <w:numId w:val="1"/>
        </w:numPr>
        <w:spacing w:after="100" w:line="276"/>
      </w:pPr>
      <w:r>
        <w:rPr>
          <w:rFonts w:ascii="Calibri" w:cs="Calibri" w:eastAsia="Calibri" w:hAnsi="Calibri"/>
          <w:sz w:val="22"/>
          <w:szCs w:val="22"/>
        </w:rPr>
        <w:t xml:space="preserve">Once the Next.js frontend exists, extend Finding 1 into a frontend integration test that confirms the interface handles a global logout gracefully, for example by redirecting a second open tab to the login screen rather than showing a stale authenticated state.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Page </w:t>
    </w:r>
    <w:r>
      <w:rPr>
        <w:rFonts w:ascii="Calibri" w:cs="Calibri" w:eastAsia="Calibri" w:hAnsi="Calibri"/>
        <w:color w:val="808080"/>
        <w:sz w:val="16"/>
        <w:szCs w:val="16"/>
      </w:rPr>
      <w:fldChar w:fldCharType="begin"/>
      <w:instrText xml:space="preserve">PAGE</w:instrText>
      <w:fldChar w:fldCharType="separate"/>
      <w:fldChar w:fldCharType="end"/>
    </w:r>
    <w:r>
      <w:rPr>
        <w:rFonts w:ascii="Calibri" w:cs="Calibri" w:eastAsia="Calibri" w:hAnsi="Calibri"/>
        <w:color w:val="808080"/>
        <w:sz w:val="16"/>
        <w:szCs w:val="16"/>
      </w:rPr>
      <w:t xml:space="preserve"> of </w:t>
    </w:r>
    <w:r>
      <w:rPr>
        <w:rFonts w:ascii="Calibri" w:cs="Calibri" w:eastAsia="Calibri" w:hAnsi="Calibri"/>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08080"/>
        <w:sz w:val="16"/>
        <w:szCs w:val="16"/>
      </w:rPr>
      <w:t xml:space="preserve">SPU SmartQueue API Test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2026-08-22T14:43:22.485Z</dcterms:created>
  <dcterms:modified xsi:type="dcterms:W3CDTF">2026-08-22T14:43:22.485Z</dcterms:modified>
</cp:coreProperties>
</file>

<file path=docProps/custom.xml><?xml version="1.0" encoding="utf-8"?>
<Properties xmlns="http://schemas.openxmlformats.org/officeDocument/2006/custom-properties" xmlns:vt="http://schemas.openxmlformats.org/officeDocument/2006/docPropsVTypes"/>
</file>