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Sofía Álvarez-Ruiz</w:t>
      </w:r>
    </w:p>
    <w:p>
      <w:pPr>
        <w:pStyle w:val="BodyText"/>
        <w:bidi w:val="0"/>
        <w:jc w:val="left"/>
        <w:rPr/>
      </w:pPr>
      <w:r>
        <w:rPr/>
        <w:t>Madrid, Spain</w:t>
      </w:r>
    </w:p>
    <w:p>
      <w:pPr>
        <w:pStyle w:val="BodyText"/>
        <w:bidi w:val="0"/>
        <w:jc w:val="left"/>
        <w:rPr/>
      </w:pPr>
      <w:r>
        <w:rPr/>
        <w:t>+34 612 345 678</w:t>
      </w:r>
    </w:p>
    <w:p>
      <w:pPr>
        <w:pStyle w:val="BodyText"/>
        <w:bidi w:val="0"/>
        <w:jc w:val="left"/>
        <w:rPr/>
      </w:pPr>
      <w:r>
        <w:rPr/>
        <w:t>sofia.alvarez@gmail.com</w:t>
      </w:r>
    </w:p>
    <w:p>
      <w:pPr>
        <w:pStyle w:val="Heading2"/>
        <w:bidi w:val="0"/>
        <w:jc w:val="left"/>
        <w:rPr/>
      </w:pPr>
      <w:r>
        <w:rPr/>
        <w:t>Professional Summary</w:t>
      </w:r>
    </w:p>
    <w:p>
      <w:pPr>
        <w:pStyle w:val="BodyText"/>
        <w:bidi w:val="0"/>
        <w:jc w:val="left"/>
        <w:rPr/>
      </w:pPr>
      <w:r>
        <w:rPr/>
        <w:t>Recruiter who fills hard engineering roles in under 30 days.</w:t>
      </w:r>
    </w:p>
    <w:p>
      <w:pPr>
        <w:pStyle w:val="Heading2"/>
        <w:bidi w:val="0"/>
        <w:jc w:val="left"/>
        <w:rPr/>
      </w:pPr>
      <w:r>
        <w:rPr/>
        <w:t>Employment History</w:t>
      </w:r>
    </w:p>
    <w:p>
      <w:pPr>
        <w:pStyle w:val="BodyText"/>
        <w:bidi w:val="0"/>
        <w:spacing w:before="0" w:after="120"/>
        <w:ind w:hanging="0" w:left="0" w:right="0"/>
        <w:jc w:val="left"/>
        <w:rPr/>
      </w:pPr>
      <w:r>
        <w:rPr/>
        <w:t>Recruiter, Amazon Spain</w:t>
      </w:r>
    </w:p>
    <w:p>
      <w:pPr>
        <w:pStyle w:val="BodyText"/>
        <w:bidi w:val="0"/>
        <w:spacing w:before="0" w:after="120"/>
        <w:jc w:val="left"/>
        <w:rPr/>
      </w:pPr>
      <w:r>
        <w:rPr/>
        <w:t>Sep 2020 to Current | Madrid, Spain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Closed 120+ engineering hires across EU5 with a 92% offer-accept rate.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Built the sourcing playbook adopted by three sister teams.</w:t>
      </w:r>
    </w:p>
    <w:p>
      <w:pPr>
        <w:pStyle w:val="BodyText"/>
        <w:bidi w:val="0"/>
        <w:spacing w:before="0" w:after="120"/>
        <w:ind w:hanging="0" w:left="0" w:right="0"/>
        <w:jc w:val="left"/>
        <w:rPr/>
      </w:pPr>
      <w:r>
        <w:rPr/>
        <w:t>Sommelier, El Celler Restaurant</w:t>
      </w:r>
    </w:p>
    <w:p>
      <w:pPr>
        <w:pStyle w:val="BodyText"/>
        <w:bidi w:val="0"/>
        <w:spacing w:before="0" w:after="120"/>
        <w:jc w:val="left"/>
        <w:rPr/>
      </w:pPr>
      <w:r>
        <w:rPr/>
        <w:t>May 2016 to Aug 2020 | Girona, Spain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Curated a 600-label wine list; trained 25 front-of-house staff.</w:t>
      </w:r>
    </w:p>
    <w:p>
      <w:pPr>
        <w:pStyle w:val="Heading2"/>
        <w:bidi w:val="0"/>
        <w:jc w:val="left"/>
        <w:rPr/>
      </w:pPr>
      <w:r>
        <w:rPr/>
        <w:t>Education</w:t>
      </w:r>
    </w:p>
    <w:p>
      <w:pPr>
        <w:pStyle w:val="BodyText"/>
        <w:bidi w:val="0"/>
        <w:spacing w:before="0" w:after="120"/>
        <w:ind w:hanging="0" w:left="0" w:right="0"/>
        <w:jc w:val="left"/>
        <w:rPr/>
      </w:pPr>
      <w:r>
        <w:rPr/>
        <w:t>Grado, Psicología</w:t>
      </w:r>
    </w:p>
    <w:p>
      <w:pPr>
        <w:pStyle w:val="BodyText"/>
        <w:bidi w:val="0"/>
        <w:spacing w:before="0" w:after="120"/>
        <w:jc w:val="left"/>
        <w:rPr/>
      </w:pPr>
      <w:r>
        <w:rPr/>
        <w:t>Universidad Complutense de Madrid, 2016</w:t>
      </w:r>
    </w:p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bidi w:val="0"/>
        <w:spacing w:before="0" w:after="283"/>
        <w:jc w:val="left"/>
        <w:rPr/>
      </w:pPr>
      <w:r>
        <w:rPr/>
        <w:t>Sourcing, Workday, Boolean search, Employer branding, Interviewing</w:t>
      </w:r>
    </w:p>
    <w:sectPr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Arial;Helvetica;sans-serif" w:hAnsi="Arial;Helvetica;sans-serif" w:eastAsia="Arial;Helvetica;sans-serif" w:cs="Arial;Helvetica;sans-serif"/>
      <w:color w:val="111111"/>
      <w:sz w:val="21"/>
      <w:szCs w:val="21"/>
      <w:lang w:val="en-ZA" w:eastAsia="zh-CN" w:bidi="hi-IN"/>
    </w:rPr>
  </w:style>
  <w:style w:type="paragraph" w:styleId="Heading1">
    <w:name w:val="heading 1"/>
    <w:basedOn w:val="Heading"/>
    <w:next w:val="BodyText"/>
    <w:qFormat/>
    <w:pPr/>
    <w:rPr>
      <w:b w:val="false"/>
      <w:bCs w:val="false"/>
      <w:cap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180" w:after="60"/>
      <w:ind w:left="180" w:right="180"/>
      <w:outlineLvl w:val="1"/>
    </w:pPr>
    <w:rPr>
      <w:rFonts w:ascii="Liberation Serif" w:hAnsi="Liberation Serif" w:eastAsia="Songti SC" w:cs="Arial Unicode MS"/>
      <w:b w:val="false"/>
      <w:bCs w:val="false"/>
      <w:caps/>
      <w:sz w:val="22"/>
      <w:szCs w:val="2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