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478"/>
        <w:gridCol w:w="3860"/>
      </w:tblGrid>
      <w:tr>
        <w:trPr/>
        <w:tc>
          <w:tcPr>
            <w:tcW w:w="7478" w:type="dxa"/>
            <w:tcBorders/>
            <w:vAlign w:val="center"/>
          </w:tcPr>
          <w:p>
            <w:pPr>
              <w:pStyle w:val="Heading1"/>
              <w:bidi w:val="0"/>
              <w:spacing w:before="240" w:after="283"/>
              <w:jc w:val="left"/>
              <w:rPr/>
            </w:pPr>
            <w:r>
              <w:rPr/>
              <w:t>Priya Raghunathan</w:t>
            </w:r>
          </w:p>
        </w:tc>
        <w:tc>
          <w:tcPr>
            <w:tcW w:w="38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priya.r@outlook.com</w:t>
              <w:br/>
              <w:t>+91 98765 43210</w:t>
              <w:br/>
              <w:t>Chennai, India</w:t>
            </w:r>
          </w:p>
        </w:tc>
      </w:tr>
    </w:tbl>
    <w:p>
      <w:pPr>
        <w:pStyle w:val="Heading2"/>
        <w:bidi w:val="0"/>
        <w:jc w:val="left"/>
        <w:rPr/>
      </w:pPr>
      <w:r>
        <w:rPr/>
        <w:t>Professional Experience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03"/>
        <w:gridCol w:w="6235"/>
      </w:tblGrid>
      <w:tr>
        <w:trPr/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Deloitte, LLP</w:t>
            </w:r>
          </w:p>
        </w:tc>
        <w:tc>
          <w:tcPr>
            <w:tcW w:w="6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08/2019 - 03/2023</w:t>
            </w:r>
          </w:p>
        </w:tc>
      </w:tr>
      <w:tr>
        <w:trPr/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Audit Associate</w:t>
            </w:r>
          </w:p>
        </w:tc>
        <w:tc>
          <w:tcPr>
            <w:tcW w:w="6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Chennai, India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Led fieldwork on 14 statutory audits of listed manufacturing clients.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Automated sampling workpapers in Excel, saving 60 hours per engagement.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525"/>
        <w:gridCol w:w="4813"/>
      </w:tblGrid>
      <w:tr>
        <w:trPr/>
        <w:tc>
          <w:tcPr>
            <w:tcW w:w="65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Tata Consultancy Services</w:t>
            </w:r>
          </w:p>
        </w:tc>
        <w:tc>
          <w:tcPr>
            <w:tcW w:w="4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05/2018 - 07/2018</w:t>
            </w:r>
          </w:p>
        </w:tc>
      </w:tr>
      <w:tr>
        <w:trPr/>
        <w:tc>
          <w:tcPr>
            <w:tcW w:w="65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Intern</w:t>
            </w:r>
          </w:p>
        </w:tc>
        <w:tc>
          <w:tcPr>
            <w:tcW w:w="4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Chennai, India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Reconciled intercompany balances for the finance shared-services team.</w:t>
      </w:r>
    </w:p>
    <w:p>
      <w:pPr>
        <w:pStyle w:val="Heading2"/>
        <w:bidi w:val="0"/>
        <w:jc w:val="left"/>
        <w:rPr/>
      </w:pPr>
      <w:r>
        <w:rPr/>
        <w:t>Education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91"/>
        <w:gridCol w:w="2047"/>
      </w:tblGrid>
      <w:tr>
        <w:trPr/>
        <w:tc>
          <w:tcPr>
            <w:tcW w:w="9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Loyola College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2015 - 2018</w:t>
            </w:r>
          </w:p>
        </w:tc>
      </w:tr>
      <w:tr>
        <w:trPr/>
        <w:tc>
          <w:tcPr>
            <w:tcW w:w="9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Bachelor of Commerce, Accounting and Finance, GPA 8.6/10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spacing w:before="0" w:after="283"/>
        <w:jc w:val="left"/>
        <w:rPr/>
      </w:pPr>
      <w:r>
        <w:rPr/>
        <w:t>IFRS • Excel • SAP • Audit planning • Tally • Ind AS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Arial;sans-serif" w:hAnsi="Calibri;Carlito;Arial;sans-serif" w:eastAsia="Calibri;Carlito;Arial;sans-serif" w:cs="Calibri;Carlito;Arial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12" w:space="1" w:color="999999"/>
      </w:pBdr>
      <w:spacing w:before="180" w:after="60"/>
      <w:ind w:left="180" w:right="180"/>
      <w:outlineLvl w:val="1"/>
    </w:pPr>
    <w:rPr>
      <w:rFonts w:ascii="Liberation Serif" w:hAnsi="Liberation Serif" w:eastAsia="Songti SC" w:cs="Arial Unicode MS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