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77"/>
        <w:gridCol w:w="4361"/>
      </w:tblGrid>
      <w:tr>
        <w:trPr/>
        <w:tc>
          <w:tcPr>
            <w:tcW w:w="6977" w:type="dxa"/>
            <w:tcBorders/>
            <w:vAlign w:val="center"/>
          </w:tcPr>
          <w:p>
            <w:pPr>
              <w:pStyle w:val="Heading1"/>
              <w:bidi w:val="0"/>
              <w:spacing w:before="240" w:after="283"/>
              <w:jc w:val="left"/>
              <w:rPr/>
            </w:pPr>
            <w:r>
              <w:rPr/>
              <w:t>Sofía Álvarez-Ruiz</w:t>
            </w:r>
          </w:p>
        </w:tc>
        <w:tc>
          <w:tcPr>
            <w:tcW w:w="43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sofia.alvarez@gmail.com</w:t>
              <w:br/>
              <w:t>+34 612 345 678</w:t>
              <w:br/>
              <w:t>Madrid, Spain</w:t>
            </w:r>
          </w:p>
        </w:tc>
      </w:tr>
    </w:tbl>
    <w:p>
      <w:pPr>
        <w:pStyle w:val="Heading2"/>
        <w:bidi w:val="0"/>
        <w:jc w:val="left"/>
        <w:rPr/>
      </w:pPr>
      <w:r>
        <w:rPr/>
        <w:t>Professional Experience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61"/>
        <w:gridCol w:w="6277"/>
      </w:tblGrid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Amazon Spain</w:t>
            </w:r>
          </w:p>
        </w:tc>
        <w:tc>
          <w:tcPr>
            <w:tcW w:w="6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09/2020 - present</w:t>
            </w:r>
          </w:p>
        </w:tc>
      </w:tr>
      <w:tr>
        <w:trPr/>
        <w:tc>
          <w:tcPr>
            <w:tcW w:w="50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Recruiter</w:t>
            </w:r>
          </w:p>
        </w:tc>
        <w:tc>
          <w:tcPr>
            <w:tcW w:w="62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Madrid, Spain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Closed 120+ engineering hires across EU5 with a 92% offer-accept rate.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Built the sourcing playbook adopted by three sister teams.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01"/>
        <w:gridCol w:w="5537"/>
      </w:tblGrid>
      <w:tr>
        <w:trPr/>
        <w:tc>
          <w:tcPr>
            <w:tcW w:w="5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El Celler Restaurant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05/2016 - 08/2020</w:t>
            </w:r>
          </w:p>
        </w:tc>
      </w:tr>
      <w:tr>
        <w:trPr/>
        <w:tc>
          <w:tcPr>
            <w:tcW w:w="5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i/>
              </w:rPr>
            </w:pPr>
            <w:r>
              <w:rPr>
                <w:i/>
              </w:rPr>
              <w:t>Sommelier</w:t>
            </w:r>
          </w:p>
        </w:tc>
        <w:tc>
          <w:tcPr>
            <w:tcW w:w="55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Girona, Spain</w:t>
            </w:r>
          </w:p>
        </w:tc>
      </w:tr>
    </w:tbl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Curated a 600-label wine list; trained 25 front-of-house staff.</w:t>
      </w:r>
    </w:p>
    <w:p>
      <w:pPr>
        <w:pStyle w:val="Heading2"/>
        <w:bidi w:val="0"/>
        <w:jc w:val="left"/>
        <w:rPr/>
      </w:pPr>
      <w:r>
        <w:rPr/>
        <w:t>Education</w:t>
      </w:r>
    </w:p>
    <w:tbl>
      <w:tblPr>
        <w:tblW w:w="5000" w:type="pct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399"/>
        <w:gridCol w:w="2939"/>
      </w:tblGrid>
      <w:tr>
        <w:trPr/>
        <w:tc>
          <w:tcPr>
            <w:tcW w:w="83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Universidad Complutense de Madrid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2012 - 2016</w:t>
            </w:r>
          </w:p>
        </w:tc>
      </w:tr>
      <w:tr>
        <w:trPr/>
        <w:tc>
          <w:tcPr>
            <w:tcW w:w="83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Grado, Psicología</w:t>
            </w:r>
          </w:p>
        </w:tc>
        <w:tc>
          <w:tcPr>
            <w:tcW w:w="293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bidi w:val="0"/>
        <w:spacing w:before="0" w:after="283"/>
        <w:jc w:val="left"/>
        <w:rPr/>
      </w:pPr>
      <w:r>
        <w:rPr/>
        <w:t>Sourcing • Workday • Boolean search • Employer branding • Interviewing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Calibri;Carlito;Arial;sans-serif" w:hAnsi="Calibri;Carlito;Arial;sans-serif" w:eastAsia="Calibri;Carlito;Arial;sans-serif" w:cs="Calibri;Carlito;Arial;sans-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12" w:space="1" w:color="999999"/>
      </w:pBdr>
      <w:spacing w:before="180" w:after="60"/>
      <w:ind w:left="180" w:right="180"/>
      <w:outlineLvl w:val="1"/>
    </w:pPr>
    <w:rPr>
      <w:rFonts w:ascii="Liberation Serif" w:hAnsi="Liberation Serif" w:eastAsia="Songti SC" w:cs="Arial Unicode MS"/>
      <w:b/>
      <w:bCs/>
      <w:sz w:val="24"/>
      <w:szCs w:val="24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