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Priya Raghunathan</w:t>
      </w:r>
    </w:p>
    <w:p>
      <w:pPr>
        <w:pStyle w:val="BodyTextcontact"/>
        <w:bidi w:val="0"/>
        <w:rPr/>
      </w:pPr>
      <w:r>
        <w:rPr/>
        <w:t>Chennai, India · +91 98765 43210 · priya.r@outlook.com · linkedin.com/in/priyaraghunathan</w:t>
      </w:r>
    </w:p>
    <w:p>
      <w:pPr>
        <w:pStyle w:val="Heading2"/>
        <w:bidi w:val="0"/>
        <w:jc w:val="left"/>
        <w:rPr/>
      </w:pPr>
      <w:r>
        <w:rPr/>
        <w:t>Experience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54"/>
        <w:gridCol w:w="6884"/>
      </w:tblGrid>
      <w:tr>
        <w:trPr/>
        <w:tc>
          <w:tcPr>
            <w:tcW w:w="44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Deloitte, LLP</w:t>
            </w:r>
          </w:p>
        </w:tc>
        <w:tc>
          <w:tcPr>
            <w:tcW w:w="68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Aug 2019 – Mar 2023</w:t>
            </w:r>
          </w:p>
        </w:tc>
      </w:tr>
    </w:tbl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85"/>
        <w:gridCol w:w="5553"/>
      </w:tblGrid>
      <w:tr>
        <w:trPr/>
        <w:tc>
          <w:tcPr>
            <w:tcW w:w="57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Audit Associate</w:t>
            </w:r>
          </w:p>
        </w:tc>
        <w:tc>
          <w:tcPr>
            <w:tcW w:w="5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Chennai, India</w:t>
            </w:r>
          </w:p>
        </w:tc>
      </w:tr>
    </w:tbl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Led fieldwork on 14 statutory audits of listed manufacturing clients.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Automated sampling workpapers in Excel, saving 60 hours per engagement.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73"/>
        <w:gridCol w:w="4865"/>
      </w:tblGrid>
      <w:tr>
        <w:trPr/>
        <w:tc>
          <w:tcPr>
            <w:tcW w:w="6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Tata Consultancy Services</w:t>
            </w:r>
          </w:p>
        </w:tc>
        <w:tc>
          <w:tcPr>
            <w:tcW w:w="4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May 2018 – Jul 2018</w:t>
            </w:r>
          </w:p>
        </w:tc>
      </w:tr>
    </w:tbl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47"/>
        <w:gridCol w:w="7891"/>
      </w:tblGrid>
      <w:tr>
        <w:trPr/>
        <w:tc>
          <w:tcPr>
            <w:tcW w:w="3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Intern</w:t>
            </w:r>
          </w:p>
        </w:tc>
        <w:tc>
          <w:tcPr>
            <w:tcW w:w="78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Chennai, India</w:t>
            </w:r>
          </w:p>
        </w:tc>
      </w:tr>
    </w:tbl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jc w:val="left"/>
        <w:rPr/>
      </w:pPr>
      <w:r>
        <w:rPr/>
        <w:t>Reconciled intercompany balances for the finance shared-services team.</w:t>
      </w:r>
    </w:p>
    <w:p>
      <w:pPr>
        <w:pStyle w:val="Heading2"/>
        <w:bidi w:val="0"/>
        <w:jc w:val="left"/>
        <w:rPr/>
      </w:pPr>
      <w:r>
        <w:rPr/>
        <w:t>Education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240"/>
        <w:gridCol w:w="5098"/>
      </w:tblGrid>
      <w:tr>
        <w:trPr/>
        <w:tc>
          <w:tcPr>
            <w:tcW w:w="62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Loyola College</w:t>
            </w:r>
          </w:p>
        </w:tc>
        <w:tc>
          <w:tcPr>
            <w:tcW w:w="50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2015 – 2018</w:t>
            </w:r>
          </w:p>
        </w:tc>
      </w:tr>
    </w:tbl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931"/>
        <w:gridCol w:w="2407"/>
      </w:tblGrid>
      <w:tr>
        <w:trPr/>
        <w:tc>
          <w:tcPr>
            <w:tcW w:w="8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Bachelor of Commerce in Accounting and Finance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right"/>
              <w:rPr/>
            </w:pPr>
            <w:r>
              <w:rPr/>
              <w:t>GPA: 8.6/10</w:t>
            </w:r>
          </w:p>
        </w:tc>
      </w:tr>
    </w:tbl>
    <w:p>
      <w:pPr>
        <w:pStyle w:val="Heading2"/>
        <w:bidi w:val="0"/>
        <w:jc w:val="left"/>
        <w:rPr/>
      </w:pPr>
      <w:r>
        <w:rPr/>
        <w:t>Skills</w:t>
      </w:r>
    </w:p>
    <w:p>
      <w:pPr>
        <w:pStyle w:val="BodyText"/>
        <w:bidi w:val="0"/>
        <w:jc w:val="left"/>
        <w:rPr/>
      </w:pPr>
      <w:r>
        <w:rPr/>
        <w:t>IFRS, Excel, SAP, Audit planning, Tally, Ind AS</w:t>
      </w:r>
    </w:p>
    <w:p>
      <w:pPr>
        <w:pStyle w:val="Heading2"/>
        <w:bidi w:val="0"/>
        <w:jc w:val="left"/>
        <w:rPr/>
      </w:pPr>
      <w:r>
        <w:rPr/>
        <w:t>Languages</w:t>
      </w:r>
    </w:p>
    <w:p>
      <w:pPr>
        <w:pStyle w:val="BodyText"/>
        <w:bidi w:val="0"/>
        <w:spacing w:before="0" w:after="283"/>
        <w:jc w:val="left"/>
        <w:rPr/>
      </w:pPr>
      <w:r>
        <w:rPr/>
        <w:t>Tamil (native) · English (fluent) · Hindi (conversational)</w:t>
      </w:r>
    </w:p>
    <w:sectPr>
      <w:type w:val="nextPage"/>
      <w:pgSz w:w="11906" w:h="16838"/>
      <w:pgMar w:left="907" w:right="907" w:gutter="0" w:header="0" w:top="907" w:footer="0" w:bottom="90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Helvetica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Helvetica;Arial;sans-serif" w:hAnsi="Helvetica;Arial;sans-serif" w:eastAsia="Helvetica;Arial;sans-serif" w:cs="Helvetica;Arial;sans-serif"/>
      <w:color w:val="111111"/>
      <w:sz w:val="21"/>
      <w:szCs w:val="21"/>
      <w:lang w:val="en-ZA" w:eastAsia="zh-CN" w:bidi="hi-IN"/>
    </w:rPr>
  </w:style>
  <w:style w:type="paragraph" w:styleId="Heading1">
    <w:name w:val="heading 1"/>
    <w:basedOn w:val="Heading"/>
    <w:next w:val="BodyText"/>
    <w:qFormat/>
    <w:pPr>
      <w:jc w:val="center"/>
    </w:pPr>
    <w:rPr>
      <w:b/>
      <w:bCs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1" w:color="000000"/>
      </w:pBdr>
      <w:spacing w:before="180" w:after="90"/>
      <w:ind w:left="180" w:right="180"/>
      <w:outlineLvl w:val="1"/>
    </w:pPr>
    <w:rPr>
      <w:rFonts w:ascii="Liberation Serif" w:hAnsi="Liberation Serif" w:eastAsia="Songti SC" w:cs="Arial Unicode MS"/>
      <w:b/>
      <w:bCs/>
      <w:caps/>
      <w:spacing w:val="15"/>
      <w:sz w:val="23"/>
      <w:szCs w:val="23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contact">
    <w:name w:val="Body Text.contact"/>
    <w:basedOn w:val="BodyText"/>
    <w:qFormat/>
    <w:pPr>
      <w:spacing w:before="60" w:after="150"/>
      <w:ind w:left="60" w:right="60"/>
      <w:jc w:val="center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en-ZA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