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240" w:lineRule="auto" w:line="480"/>
        <w:jc w:val="center"/>
        <w:rPr>
          <w:rFonts w:ascii="Times New Roman" w:cs="Times New Roman" w:hAnsi="Times New Roman"/>
          <w:b/>
          <w:color w:val="000000"/>
          <w:sz w:val="24"/>
          <w:szCs w:val="24"/>
        </w:rPr>
      </w:pPr>
      <w:r>
        <w:rPr>
          <w:rFonts w:ascii="Times New Roman" w:cs="Times New Roman" w:hAnsi="Times New Roman"/>
          <w:b/>
          <w:color w:val="000000"/>
          <w:sz w:val="24"/>
          <w:szCs w:val="24"/>
        </w:rPr>
        <w:t>DETERMINANTS OF LEARNERS' ABSENTEEISM IN PUBLIC PRIMARY SCHOOLS IN BANGAL SUB-COUNTY, TANA RIVER COUNTY, KENYA</w:t>
      </w:r>
    </w:p>
    <w:p>
      <w:pPr>
        <w:pStyle w:val="style0"/>
        <w:spacing w:before="240" w:lineRule="auto" w:line="480"/>
        <w:jc w:val="center"/>
        <w:rPr>
          <w:rFonts w:ascii="Times New Roman" w:cs="Times New Roman" w:hAnsi="Times New Roman"/>
          <w:color w:val="000000"/>
          <w:sz w:val="24"/>
          <w:szCs w:val="24"/>
        </w:rPr>
      </w:pPr>
    </w:p>
    <w:p>
      <w:pPr>
        <w:pStyle w:val="style0"/>
        <w:spacing w:before="240" w:lineRule="auto" w:line="480"/>
        <w:jc w:val="center"/>
        <w:rPr>
          <w:rFonts w:ascii="Times New Roman" w:cs="Times New Roman" w:hAnsi="Times New Roman"/>
          <w:color w:val="000000"/>
          <w:sz w:val="24"/>
          <w:szCs w:val="24"/>
        </w:rPr>
      </w:pPr>
    </w:p>
    <w:p>
      <w:pPr>
        <w:pStyle w:val="style0"/>
        <w:spacing w:before="240" w:lineRule="auto" w:line="480"/>
        <w:jc w:val="center"/>
        <w:rPr>
          <w:rFonts w:ascii="Times New Roman" w:cs="Times New Roman" w:hAnsi="Times New Roman"/>
          <w:color w:val="000000"/>
          <w:sz w:val="24"/>
          <w:szCs w:val="24"/>
        </w:rPr>
      </w:pPr>
    </w:p>
    <w:p>
      <w:pPr>
        <w:pStyle w:val="style0"/>
        <w:spacing w:before="240" w:lineRule="auto" w:line="480"/>
        <w:jc w:val="center"/>
        <w:rPr>
          <w:rFonts w:ascii="Times New Roman" w:cs="Times New Roman" w:hAnsi="Times New Roman"/>
          <w:color w:val="000000"/>
          <w:sz w:val="24"/>
          <w:szCs w:val="24"/>
        </w:rPr>
      </w:pPr>
    </w:p>
    <w:p>
      <w:pPr>
        <w:pStyle w:val="style0"/>
        <w:spacing w:before="240" w:lineRule="auto" w:line="480"/>
        <w:jc w:val="center"/>
        <w:rPr>
          <w:rFonts w:ascii="Times New Roman" w:cs="Times New Roman" w:hAnsi="Times New Roman"/>
          <w:color w:val="000000"/>
          <w:sz w:val="24"/>
          <w:szCs w:val="24"/>
        </w:rPr>
      </w:pPr>
      <w:r>
        <w:rPr>
          <w:rFonts w:ascii="Times New Roman" w:cs="Times New Roman" w:hAnsi="Times New Roman"/>
          <w:b/>
          <w:color w:val="000000"/>
          <w:sz w:val="24"/>
          <w:szCs w:val="24"/>
        </w:rPr>
        <w:t>IFRAH MAHAT ABDINOOR</w:t>
      </w:r>
    </w:p>
    <w:p>
      <w:pPr>
        <w:pStyle w:val="style0"/>
        <w:spacing w:before="240" w:lineRule="auto" w:line="480"/>
        <w:jc w:val="center"/>
        <w:rPr>
          <w:rFonts w:ascii="Times New Roman" w:cs="Times New Roman" w:hAnsi="Times New Roman"/>
          <w:color w:val="000000"/>
          <w:sz w:val="24"/>
          <w:szCs w:val="24"/>
        </w:rPr>
      </w:pPr>
    </w:p>
    <w:p>
      <w:pPr>
        <w:pStyle w:val="style0"/>
        <w:spacing w:before="240" w:lineRule="auto" w:line="480"/>
        <w:jc w:val="center"/>
        <w:rPr>
          <w:rFonts w:ascii="Times New Roman" w:cs="Times New Roman" w:hAnsi="Times New Roman"/>
          <w:color w:val="000000"/>
          <w:sz w:val="24"/>
          <w:szCs w:val="24"/>
        </w:rPr>
      </w:pPr>
    </w:p>
    <w:p>
      <w:pPr>
        <w:pStyle w:val="style0"/>
        <w:spacing w:before="240" w:lineRule="auto" w:line="480"/>
        <w:jc w:val="center"/>
        <w:rPr>
          <w:rFonts w:ascii="Times New Roman" w:cs="Times New Roman" w:hAnsi="Times New Roman"/>
          <w:b/>
          <w:color w:val="000000"/>
          <w:sz w:val="24"/>
          <w:szCs w:val="24"/>
        </w:rPr>
      </w:pPr>
      <w:r>
        <w:rPr>
          <w:rFonts w:ascii="Times New Roman" w:cs="Times New Roman" w:hAnsi="Times New Roman"/>
          <w:b/>
          <w:color w:val="000000"/>
          <w:sz w:val="24"/>
          <w:szCs w:val="24"/>
        </w:rPr>
        <w:t xml:space="preserve">A </w:t>
      </w:r>
      <w:r>
        <w:rPr>
          <w:rFonts w:ascii="Times New Roman" w:cs="Times New Roman" w:hAnsi="Times New Roman"/>
          <w:b/>
          <w:color w:val="000000"/>
          <w:sz w:val="24"/>
          <w:szCs w:val="24"/>
        </w:rPr>
        <w:t xml:space="preserve">THESIS SUBMITTED IN PARTIAL FULFILLEMENT OF THE REQUIREMENTS FOR THE AWARD OF MASTERS DEGREE IN EDUCATION ADMINISTRATION IN THE SCHOOL OF EDUCATION, ARTS AND SOCIAL SCIENCES </w:t>
      </w:r>
    </w:p>
    <w:p>
      <w:pPr>
        <w:pStyle w:val="style0"/>
        <w:spacing w:before="240" w:lineRule="auto" w:line="480"/>
        <w:jc w:val="center"/>
        <w:rPr>
          <w:rFonts w:ascii="Times New Roman" w:cs="Times New Roman" w:hAnsi="Times New Roman"/>
          <w:b/>
          <w:color w:val="000000"/>
          <w:sz w:val="24"/>
          <w:szCs w:val="24"/>
        </w:rPr>
      </w:pPr>
      <w:r>
        <w:rPr>
          <w:rFonts w:ascii="Times New Roman" w:cs="Times New Roman" w:hAnsi="Times New Roman"/>
          <w:b/>
          <w:color w:val="000000"/>
          <w:sz w:val="24"/>
          <w:szCs w:val="24"/>
        </w:rPr>
        <w:t>GARISSA UNIVERSITY</w:t>
      </w:r>
    </w:p>
    <w:p>
      <w:pPr>
        <w:pStyle w:val="style0"/>
        <w:spacing w:before="240" w:lineRule="auto" w:line="480"/>
        <w:jc w:val="center"/>
        <w:rPr>
          <w:rFonts w:ascii="Times New Roman" w:cs="Times New Roman" w:hAnsi="Times New Roman"/>
          <w:b/>
          <w:color w:val="000000"/>
          <w:sz w:val="24"/>
          <w:szCs w:val="24"/>
        </w:rPr>
      </w:pPr>
    </w:p>
    <w:p>
      <w:pPr>
        <w:pStyle w:val="style0"/>
        <w:spacing w:before="240" w:lineRule="auto" w:line="480"/>
        <w:jc w:val="center"/>
        <w:rPr>
          <w:rFonts w:ascii="Times New Roman" w:cs="Times New Roman" w:hAnsi="Times New Roman"/>
          <w:b/>
          <w:color w:val="000000"/>
          <w:sz w:val="24"/>
          <w:szCs w:val="24"/>
        </w:rPr>
      </w:pPr>
    </w:p>
    <w:p>
      <w:pPr>
        <w:pStyle w:val="style0"/>
        <w:spacing w:before="240" w:lineRule="auto" w:line="480"/>
        <w:jc w:val="center"/>
        <w:rPr>
          <w:rFonts w:ascii="Times New Roman" w:cs="Times New Roman" w:hAnsi="Times New Roman"/>
          <w:b/>
          <w:color w:val="000000"/>
          <w:sz w:val="24"/>
          <w:szCs w:val="24"/>
        </w:rPr>
      </w:pPr>
      <w:r>
        <w:rPr>
          <w:rFonts w:ascii="Times New Roman" w:cs="Times New Roman" w:hAnsi="Times New Roman"/>
          <w:b/>
          <w:color w:val="000000"/>
          <w:sz w:val="24"/>
          <w:szCs w:val="24"/>
        </w:rPr>
        <w:t>DECEMBER, 2025</w:t>
      </w:r>
    </w:p>
    <w:p>
      <w:pPr>
        <w:pStyle w:val="style0"/>
        <w:spacing w:lineRule="auto" w:line="360"/>
        <w:jc w:val="center"/>
        <w:rPr>
          <w:rFonts w:ascii="Times New Roman" w:cs="Times New Roman" w:hAnsi="Times New Roman"/>
          <w:b/>
          <w:color w:val="000000"/>
          <w:sz w:val="24"/>
          <w:szCs w:val="24"/>
        </w:rPr>
      </w:pPr>
      <w:r>
        <w:rPr>
          <w:rFonts w:ascii="Times New Roman" w:cs="Times New Roman" w:hAnsi="Times New Roman"/>
          <w:color w:val="000000"/>
          <w:sz w:val="24"/>
          <w:szCs w:val="24"/>
        </w:rPr>
        <w:br w:type="page"/>
      </w:r>
    </w:p>
    <w:bookmarkStart w:id="0" w:name="_Toc216513759"/>
    <w:p>
      <w:pPr>
        <w:pStyle w:val="style1"/>
        <w:spacing w:lineRule="auto" w:line="360"/>
        <w:ind w:left="0" w:firstLine="0"/>
        <w:rPr>
          <w:color w:val="000000"/>
        </w:rPr>
      </w:pPr>
      <w:r>
        <w:rPr>
          <w:color w:val="000000"/>
        </w:rPr>
        <w:t>DECLARATION</w:t>
      </w:r>
      <w:bookmarkEnd w:id="0"/>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I declare that this </w:t>
      </w:r>
      <w:r>
        <w:rPr>
          <w:rFonts w:ascii="Times New Roman" w:cs="Times New Roman" w:hAnsi="Times New Roman"/>
          <w:color w:val="000000"/>
          <w:sz w:val="24"/>
          <w:szCs w:val="24"/>
        </w:rPr>
        <w:t>thesis</w:t>
      </w:r>
      <w:r>
        <w:rPr>
          <w:rFonts w:ascii="Times New Roman" w:cs="Times New Roman" w:hAnsi="Times New Roman"/>
          <w:color w:val="000000"/>
          <w:sz w:val="24"/>
          <w:szCs w:val="24"/>
        </w:rPr>
        <w:t xml:space="preserve"> is my original work and has not been presented in any other University for examination.</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Signature: ……………</w:t>
      </w:r>
      <w:r>
        <w:rPr>
          <w:rFonts w:ascii="Times New Roman" w:cs="Times New Roman" w:hAnsi="Times New Roman"/>
          <w:color w:val="000000"/>
          <w:sz w:val="24"/>
          <w:szCs w:val="24"/>
        </w:rPr>
        <w:t>……………</w:t>
      </w:r>
      <w:r>
        <w:rPr>
          <w:rFonts w:ascii="Times New Roman" w:cs="Times New Roman" w:hAnsi="Times New Roman"/>
          <w:color w:val="000000"/>
          <w:sz w:val="24"/>
          <w:szCs w:val="24"/>
        </w:rPr>
        <w:t xml:space="preserve">                                               Date: </w:t>
      </w:r>
      <w:r>
        <w:rPr>
          <w:rFonts w:ascii="Times New Roman" w:cs="Times New Roman" w:hAnsi="Times New Roman"/>
          <w:color w:val="000000"/>
          <w:sz w:val="24"/>
          <w:szCs w:val="24"/>
        </w:rPr>
        <w:t xml:space="preserve">……………………       </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IFRAH MAHAT ABDINOOR</w:t>
      </w:r>
    </w:p>
    <w:p>
      <w:pPr>
        <w:pStyle w:val="style0"/>
        <w:spacing w:before="240" w:after="0" w:lineRule="auto" w:line="480"/>
        <w:jc w:val="center"/>
        <w:rPr>
          <w:rFonts w:ascii="Times New Roman" w:cs="Times New Roman" w:hAnsi="Times New Roman"/>
          <w:b/>
          <w:color w:val="000000"/>
          <w:sz w:val="24"/>
          <w:szCs w:val="24"/>
        </w:rPr>
      </w:pPr>
      <w:r>
        <w:rPr>
          <w:rFonts w:ascii="Times New Roman" w:cs="Times New Roman" w:hAnsi="Times New Roman"/>
          <w:b/>
          <w:color w:val="000000"/>
          <w:sz w:val="24"/>
          <w:szCs w:val="24"/>
        </w:rPr>
        <w:t>APPROVAL BY SUPERVISORS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This </w:t>
      </w:r>
      <w:r>
        <w:rPr>
          <w:rFonts w:ascii="Times New Roman" w:cs="Times New Roman" w:hAnsi="Times New Roman"/>
          <w:color w:val="000000"/>
          <w:sz w:val="24"/>
          <w:szCs w:val="24"/>
          <w:lang w:val="en-US"/>
        </w:rPr>
        <w:t>thesis</w:t>
      </w:r>
      <w:r>
        <w:rPr>
          <w:rFonts w:ascii="Times New Roman" w:cs="Times New Roman" w:hAnsi="Times New Roman"/>
          <w:color w:val="000000"/>
          <w:sz w:val="24"/>
          <w:szCs w:val="24"/>
        </w:rPr>
        <w:t xml:space="preserve"> has been submitted for examination with my approval as the university supervisor.</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Signature: ………………                                            Date: </w:t>
      </w:r>
      <w:r>
        <w:rPr>
          <w:rFonts w:ascii="Times New Roman" w:cs="Times New Roman" w:hAnsi="Times New Roman"/>
          <w:color w:val="000000"/>
          <w:sz w:val="24"/>
          <w:szCs w:val="24"/>
        </w:rPr>
        <w:t xml:space="preserve">……………………       </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Prof. Stephen Rotich </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School of Education Arts and Social Sciences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Garissa University                                     </w:t>
      </w:r>
    </w:p>
    <w:p>
      <w:pPr>
        <w:pStyle w:val="style0"/>
        <w:spacing w:before="240" w:after="0" w:lineRule="auto" w:line="480"/>
        <w:jc w:val="both"/>
        <w:rPr>
          <w:rFonts w:ascii="Times New Roman" w:cs="Times New Roman" w:hAnsi="Times New Roman"/>
          <w:color w:val="000000"/>
          <w:sz w:val="24"/>
          <w:szCs w:val="24"/>
        </w:rPr>
      </w:pP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Signature: …………………                                      Date: </w:t>
      </w:r>
      <w:r>
        <w:rPr>
          <w:rFonts w:ascii="Times New Roman" w:cs="Times New Roman" w:hAnsi="Times New Roman"/>
          <w:color w:val="000000"/>
          <w:sz w:val="24"/>
          <w:szCs w:val="24"/>
        </w:rPr>
        <w:t xml:space="preserve">……………………       </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Dr. Alex Kevogo</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School of Education Arts and Social Sciences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Garissa University</w:t>
      </w:r>
    </w:p>
    <w:p>
      <w:pPr>
        <w:pStyle w:val="style0"/>
        <w:spacing w:after="200" w:lineRule="auto" w:line="360"/>
        <w:rPr>
          <w:rFonts w:ascii="Times New Roman" w:cs="Times New Roman" w:hAnsi="Times New Roman"/>
          <w:color w:val="000000"/>
          <w:sz w:val="24"/>
          <w:szCs w:val="24"/>
        </w:rPr>
      </w:pPr>
      <w:r>
        <w:rPr>
          <w:rFonts w:ascii="Times New Roman" w:cs="Times New Roman" w:hAnsi="Times New Roman"/>
          <w:color w:val="000000"/>
          <w:sz w:val="24"/>
          <w:szCs w:val="24"/>
        </w:rPr>
        <w:br w:type="page"/>
      </w:r>
    </w:p>
    <w:bookmarkStart w:id="1" w:name="_Toc188281854"/>
    <w:bookmarkStart w:id="2" w:name="_Toc216513760"/>
    <w:p>
      <w:pPr>
        <w:pStyle w:val="style1"/>
        <w:spacing w:before="240"/>
        <w:rPr>
          <w:color w:val="000000"/>
        </w:rPr>
      </w:pPr>
      <w:r>
        <w:rPr>
          <w:color w:val="000000"/>
        </w:rPr>
        <w:t>DEDICATION</w:t>
      </w:r>
      <w:bookmarkEnd w:id="1"/>
      <w:bookmarkEnd w:id="2"/>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I dedicate this </w:t>
      </w:r>
      <w:r>
        <w:rPr>
          <w:rFonts w:ascii="Times New Roman" w:cs="Times New Roman" w:hAnsi="Times New Roman"/>
          <w:color w:val="000000"/>
          <w:sz w:val="24"/>
          <w:szCs w:val="24"/>
        </w:rPr>
        <w:t>thesis</w:t>
      </w:r>
      <w:r>
        <w:rPr>
          <w:rFonts w:ascii="Times New Roman" w:cs="Times New Roman" w:hAnsi="Times New Roman"/>
          <w:color w:val="000000"/>
          <w:sz w:val="24"/>
          <w:szCs w:val="24"/>
        </w:rPr>
        <w:t xml:space="preserve"> to my father, Mahat Abdinoor, for he has guided, prayed and supported me throughout my journey to this point.</w:t>
      </w: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after="200" w:lineRule="auto" w:line="360"/>
        <w:rPr>
          <w:rFonts w:ascii="Times New Roman" w:cs="Times New Roman" w:hAnsi="Times New Roman"/>
          <w:color w:val="000000"/>
          <w:sz w:val="24"/>
          <w:szCs w:val="24"/>
        </w:rPr>
      </w:pPr>
      <w:r>
        <w:rPr>
          <w:rFonts w:ascii="Times New Roman" w:cs="Times New Roman" w:hAnsi="Times New Roman"/>
          <w:color w:val="000000"/>
          <w:sz w:val="24"/>
          <w:szCs w:val="24"/>
        </w:rPr>
        <w:br w:type="page"/>
      </w:r>
    </w:p>
    <w:bookmarkStart w:id="3" w:name="_Toc188281855"/>
    <w:bookmarkStart w:id="4" w:name="_Toc190465750"/>
    <w:bookmarkStart w:id="5" w:name="_Toc216513761"/>
    <w:p>
      <w:pPr>
        <w:pStyle w:val="style1"/>
        <w:spacing w:before="240"/>
        <w:ind w:left="0" w:firstLine="0"/>
        <w:rPr>
          <w:color w:val="000000"/>
        </w:rPr>
      </w:pPr>
      <w:r>
        <w:rPr>
          <w:color w:val="000000"/>
        </w:rPr>
        <w:t>ACKNOWLEDGEMENT</w:t>
      </w:r>
      <w:bookmarkEnd w:id="3"/>
      <w:bookmarkEnd w:id="4"/>
      <w:bookmarkEnd w:id="5"/>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I would like to acknowledge my supervisors Prof. Stephen Rotich and Dr. Alex Kevogo for the support and guidance they have given me in each and every step of the writing of this </w:t>
      </w:r>
      <w:r>
        <w:rPr>
          <w:rFonts w:ascii="Times New Roman" w:cs="Times New Roman" w:hAnsi="Times New Roman"/>
          <w:color w:val="000000"/>
          <w:sz w:val="24"/>
          <w:szCs w:val="24"/>
        </w:rPr>
        <w:t>thesis</w:t>
      </w:r>
      <w:r>
        <w:rPr>
          <w:rFonts w:ascii="Times New Roman" w:cs="Times New Roman" w:hAnsi="Times New Roman"/>
          <w:color w:val="000000"/>
          <w:sz w:val="24"/>
          <w:szCs w:val="24"/>
        </w:rPr>
        <w:t>.</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 xml:space="preserve">In addition, I would like to acknowledge my friend Maxmilla Chepkemoi as she has encouraged and provided guidance and moral support through this journey. </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Finally I would like to express my gratitude to Garissa University for providing the library resources necessary to do the proposal writing</w:t>
      </w:r>
      <w:r>
        <w:rPr>
          <w:rFonts w:ascii="Times New Roman" w:cs="Times New Roman" w:hAnsi="Times New Roman"/>
          <w:color w:val="000000"/>
          <w:sz w:val="24"/>
          <w:szCs w:val="24"/>
        </w:rPr>
        <w:t xml:space="preserve"> and the subsequent compilation of the thesis to this point</w:t>
      </w:r>
      <w:r>
        <w:rPr>
          <w:rFonts w:ascii="Times New Roman" w:cs="Times New Roman" w:hAnsi="Times New Roman"/>
          <w:color w:val="000000"/>
          <w:sz w:val="24"/>
          <w:szCs w:val="24"/>
        </w:rPr>
        <w:t>.</w:t>
      </w: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after="200" w:lineRule="auto" w:line="360"/>
        <w:rPr>
          <w:rFonts w:ascii="Times New Roman" w:cs="Times New Roman" w:hAnsi="Times New Roman"/>
          <w:color w:val="000000"/>
          <w:sz w:val="24"/>
          <w:szCs w:val="24"/>
        </w:rPr>
      </w:pPr>
      <w:r>
        <w:rPr>
          <w:rFonts w:ascii="Times New Roman" w:cs="Times New Roman" w:hAnsi="Times New Roman"/>
          <w:color w:val="000000"/>
          <w:sz w:val="24"/>
          <w:szCs w:val="24"/>
        </w:rPr>
        <w:br w:type="page"/>
      </w:r>
    </w:p>
    <w:p>
      <w:pPr>
        <w:pStyle w:val="style0"/>
        <w:spacing w:lineRule="auto" w:line="360"/>
        <w:jc w:val="center"/>
        <w:rPr>
          <w:rFonts w:ascii="Times New Roman" w:cs="Times New Roman" w:hAnsi="Times New Roman"/>
          <w:b/>
          <w:color w:val="000000"/>
          <w:sz w:val="24"/>
          <w:szCs w:val="24"/>
        </w:rPr>
      </w:pPr>
      <w:r>
        <w:rPr>
          <w:rFonts w:ascii="Times New Roman" w:cs="Times New Roman" w:hAnsi="Times New Roman"/>
          <w:b/>
          <w:color w:val="000000"/>
          <w:sz w:val="24"/>
          <w:szCs w:val="24"/>
        </w:rPr>
        <w:t>TABLE OF CONTENT</w:t>
      </w:r>
    </w:p>
    <w:p>
      <w:pPr>
        <w:pStyle w:val="style19"/>
        <w:tabs>
          <w:tab w:val="right" w:leader="dot" w:pos="9962"/>
        </w:tabs>
        <w:rPr>
          <w:rFonts w:ascii="Times New Roman" w:cs="Times New Roman" w:eastAsia="宋体" w:hAnsi="Times New Roman"/>
          <w:noProof/>
          <w:sz w:val="24"/>
          <w:szCs w:val="24"/>
        </w:rPr>
      </w:pPr>
      <w:r>
        <w:rPr>
          <w:rFonts w:ascii="Times New Roman" w:cs="Times New Roman" w:hAnsi="Times New Roman"/>
          <w:color w:val="000000"/>
          <w:sz w:val="24"/>
          <w:szCs w:val="24"/>
        </w:rPr>
        <w:fldChar w:fldCharType="begin"/>
      </w:r>
      <w:r>
        <w:rPr>
          <w:rFonts w:ascii="Times New Roman" w:cs="Times New Roman" w:hAnsi="Times New Roman"/>
          <w:color w:val="000000"/>
          <w:sz w:val="24"/>
          <w:szCs w:val="24"/>
        </w:rPr>
        <w:instrText xml:space="preserve"> TOC \o "1-3" \h \z \u </w:instrText>
      </w:r>
      <w:r>
        <w:rPr>
          <w:rFonts w:ascii="Times New Roman" w:cs="Times New Roman" w:hAnsi="Times New Roman"/>
          <w:color w:val="000000"/>
          <w:sz w:val="24"/>
          <w:szCs w:val="24"/>
        </w:rPr>
        <w:fldChar w:fldCharType="separate"/>
      </w:r>
      <w:r>
        <w:rPr/>
        <w:fldChar w:fldCharType="begin"/>
      </w:r>
      <w:r>
        <w:instrText xml:space="preserve"> HYPERLINK \l "_Toc216513759" </w:instrText>
      </w:r>
      <w:r>
        <w:rPr/>
        <w:fldChar w:fldCharType="separate"/>
      </w:r>
      <w:r>
        <w:rPr>
          <w:rStyle w:val="style85"/>
          <w:rFonts w:ascii="Times New Roman" w:cs="Times New Roman" w:hAnsi="Times New Roman"/>
          <w:noProof/>
          <w:sz w:val="24"/>
          <w:szCs w:val="24"/>
        </w:rPr>
        <w:t>DECLARATION</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_Toc216513759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ii</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"_Toc216513760" </w:instrText>
      </w:r>
      <w:r>
        <w:rPr/>
        <w:fldChar w:fldCharType="separate"/>
      </w:r>
      <w:r>
        <w:rPr>
          <w:rStyle w:val="style85"/>
          <w:rFonts w:ascii="Times New Roman" w:cs="Times New Roman" w:hAnsi="Times New Roman"/>
          <w:noProof/>
          <w:sz w:val="24"/>
          <w:szCs w:val="24"/>
        </w:rPr>
        <w:t>DEDICATION</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_Toc216513760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iii</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"_Toc216513761" </w:instrText>
      </w:r>
      <w:r>
        <w:rPr/>
        <w:fldChar w:fldCharType="separate"/>
      </w:r>
      <w:r>
        <w:rPr>
          <w:rStyle w:val="style85"/>
          <w:rFonts w:ascii="Times New Roman" w:cs="Times New Roman" w:hAnsi="Times New Roman"/>
          <w:noProof/>
          <w:sz w:val="24"/>
          <w:szCs w:val="24"/>
        </w:rPr>
        <w:t>ACKNOWLEDGEMENT</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_Toc216513761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iv</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"_Toc216513762" </w:instrText>
      </w:r>
      <w:r>
        <w:rPr/>
        <w:fldChar w:fldCharType="separate"/>
      </w:r>
      <w:r>
        <w:rPr>
          <w:rStyle w:val="style85"/>
          <w:rFonts w:ascii="Times New Roman" w:cs="Times New Roman" w:hAnsi="Times New Roman"/>
          <w:noProof/>
          <w:sz w:val="24"/>
          <w:szCs w:val="24"/>
        </w:rPr>
        <w:t>LIST OF FIGURES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_Toc216513762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viii</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"_Toc216513763" </w:instrText>
      </w:r>
      <w:r>
        <w:rPr/>
        <w:fldChar w:fldCharType="separate"/>
      </w:r>
      <w:r>
        <w:rPr>
          <w:rStyle w:val="style85"/>
          <w:rFonts w:ascii="Times New Roman" w:cs="Times New Roman" w:hAnsi="Times New Roman"/>
          <w:noProof/>
          <w:sz w:val="24"/>
          <w:szCs w:val="24"/>
        </w:rPr>
        <w:t>LIST OF TABLES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_Toc216513763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ix</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"_Toc216513764" </w:instrText>
      </w:r>
      <w:r>
        <w:rPr/>
        <w:fldChar w:fldCharType="separate"/>
      </w:r>
      <w:r>
        <w:rPr>
          <w:rStyle w:val="style85"/>
          <w:rFonts w:ascii="Times New Roman" w:cs="Times New Roman" w:hAnsi="Times New Roman"/>
          <w:noProof/>
          <w:sz w:val="24"/>
          <w:szCs w:val="24"/>
        </w:rPr>
        <w:t>LIST OF ABBREVIATIONS AND ACRONYMS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_Toc216513764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x</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"_Toc216513765" </w:instrText>
      </w:r>
      <w:r>
        <w:rPr/>
        <w:fldChar w:fldCharType="separate"/>
      </w:r>
      <w:r>
        <w:rPr>
          <w:rStyle w:val="style85"/>
          <w:rFonts w:ascii="Times New Roman" w:cs="Times New Roman" w:hAnsi="Times New Roman"/>
          <w:noProof/>
          <w:sz w:val="24"/>
          <w:szCs w:val="24"/>
        </w:rPr>
        <w:t>ABSTRACT</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_Toc216513765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xi</w:t>
      </w:r>
      <w:r>
        <w:rPr>
          <w:rFonts w:ascii="Times New Roman" w:cs="Times New Roman" w:hAnsi="Times New Roman"/>
          <w:noProof/>
          <w:webHidden/>
          <w:sz w:val="24"/>
          <w:szCs w:val="24"/>
        </w:rPr>
        <w:fldChar w:fldCharType="end"/>
      </w:r>
      <w:r>
        <w:rPr/>
        <w:fldChar w:fldCharType="end"/>
      </w:r>
    </w:p>
    <w:p>
      <w:pPr>
        <w:pStyle w:val="style19"/>
        <w:tabs>
          <w:tab w:val="right" w:leader="dot" w:pos="9962"/>
        </w:tabs>
        <w:jc w:val="center"/>
        <w:rPr>
          <w:rFonts w:ascii="Times New Roman" w:cs="Times New Roman" w:eastAsia="宋体" w:hAnsi="Times New Roman"/>
          <w:b/>
          <w:noProof/>
          <w:sz w:val="24"/>
          <w:szCs w:val="24"/>
        </w:rPr>
      </w:pPr>
      <w:r>
        <w:rPr/>
        <w:fldChar w:fldCharType="begin"/>
      </w:r>
      <w:r>
        <w:instrText xml:space="preserve"> HYPERLINK \l "_Toc216513766" </w:instrText>
      </w:r>
      <w:r>
        <w:rPr/>
        <w:fldChar w:fldCharType="separate"/>
      </w:r>
      <w:r>
        <w:rPr>
          <w:rStyle w:val="style85"/>
          <w:rFonts w:ascii="Times New Roman" w:cs="Times New Roman" w:hAnsi="Times New Roman"/>
          <w:b/>
          <w:noProof/>
          <w:sz w:val="24"/>
          <w:szCs w:val="24"/>
        </w:rPr>
        <w:t>CHAPTER ONE</w:t>
      </w:r>
      <w:r>
        <w:rPr/>
        <w:fldChar w:fldCharType="end"/>
      </w:r>
    </w:p>
    <w:p>
      <w:pPr>
        <w:pStyle w:val="style19"/>
        <w:tabs>
          <w:tab w:val="right" w:leader="dot" w:pos="9962"/>
        </w:tabs>
        <w:jc w:val="center"/>
        <w:rPr>
          <w:rFonts w:ascii="Times New Roman" w:cs="Times New Roman" w:eastAsia="宋体" w:hAnsi="Times New Roman"/>
          <w:b/>
          <w:noProof/>
          <w:sz w:val="24"/>
          <w:szCs w:val="24"/>
        </w:rPr>
      </w:pPr>
      <w:r>
        <w:rPr/>
        <w:fldChar w:fldCharType="begin"/>
      </w:r>
      <w:r>
        <w:instrText xml:space="preserve"> HYPERLINK \l "_Toc216513767" </w:instrText>
      </w:r>
      <w:r>
        <w:rPr/>
        <w:fldChar w:fldCharType="separate"/>
      </w:r>
      <w:r>
        <w:rPr>
          <w:rStyle w:val="style85"/>
          <w:rFonts w:ascii="Times New Roman" w:cs="Times New Roman" w:hAnsi="Times New Roman"/>
          <w:b/>
          <w:noProof/>
          <w:sz w:val="24"/>
          <w:szCs w:val="24"/>
        </w:rPr>
        <w:t>INTRODUCTION</w:t>
      </w:r>
      <w:r>
        <w:rPr/>
        <w:fldChar w:fldCharType="end"/>
      </w:r>
    </w:p>
    <w:p>
      <w:pPr>
        <w:pStyle w:val="style19"/>
        <w:tabs>
          <w:tab w:val="left" w:leader="none" w:pos="660"/>
          <w:tab w:val="right" w:leader="dot" w:pos="9962"/>
        </w:tabs>
        <w:rPr>
          <w:rFonts w:ascii="Times New Roman" w:cs="Times New Roman" w:eastAsia="宋体" w:hAnsi="Times New Roman"/>
          <w:noProof/>
          <w:sz w:val="24"/>
          <w:szCs w:val="24"/>
        </w:rPr>
      </w:pPr>
      <w:r>
        <w:rPr/>
        <w:fldChar w:fldCharType="begin"/>
      </w:r>
      <w:r>
        <w:instrText xml:space="preserve"> HYPERLINK \l "_Toc216513768" </w:instrText>
      </w:r>
      <w:r>
        <w:rPr/>
        <w:fldChar w:fldCharType="separate"/>
      </w:r>
      <w:r>
        <w:rPr>
          <w:rStyle w:val="style85"/>
          <w:rFonts w:ascii="Times New Roman" w:cs="Times New Roman" w:hAnsi="Times New Roman"/>
          <w:noProof/>
          <w:sz w:val="24"/>
          <w:szCs w:val="24"/>
        </w:rPr>
        <w:t>1.0</w:t>
      </w:r>
      <w:r>
        <w:rPr>
          <w:rFonts w:ascii="Times New Roman" w:cs="Times New Roman" w:eastAsia="宋体" w:hAnsi="Times New Roman"/>
          <w:noProof/>
          <w:sz w:val="24"/>
          <w:szCs w:val="24"/>
        </w:rPr>
        <w:tab/>
      </w:r>
      <w:r>
        <w:rPr>
          <w:rStyle w:val="style85"/>
          <w:rFonts w:ascii="Times New Roman" w:cs="Times New Roman" w:hAnsi="Times New Roman"/>
          <w:noProof/>
          <w:sz w:val="24"/>
          <w:szCs w:val="24"/>
        </w:rPr>
        <w:t>Overview</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_Toc216513768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1</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"_Toc216513769" </w:instrText>
      </w:r>
      <w:r>
        <w:rPr/>
        <w:fldChar w:fldCharType="separate"/>
      </w:r>
      <w:r>
        <w:rPr>
          <w:rStyle w:val="style85"/>
          <w:rFonts w:ascii="Times New Roman" w:cs="Times New Roman" w:hAnsi="Times New Roman"/>
          <w:noProof/>
          <w:sz w:val="24"/>
          <w:szCs w:val="24"/>
        </w:rPr>
        <w:t>1.1 Background</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_Toc216513769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1</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"_Toc216513770" </w:instrText>
      </w:r>
      <w:r>
        <w:rPr/>
        <w:fldChar w:fldCharType="separate"/>
      </w:r>
      <w:r>
        <w:rPr>
          <w:rStyle w:val="style85"/>
          <w:rFonts w:ascii="Times New Roman" w:cs="Times New Roman" w:hAnsi="Times New Roman"/>
          <w:noProof/>
          <w:sz w:val="24"/>
          <w:szCs w:val="24"/>
        </w:rPr>
        <w:t>1.2 Statement of the Problem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_Toc216513770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3</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"_Toc216513771" </w:instrText>
      </w:r>
      <w:r>
        <w:rPr/>
        <w:fldChar w:fldCharType="separate"/>
      </w:r>
      <w:r>
        <w:rPr>
          <w:rStyle w:val="style85"/>
          <w:rFonts w:ascii="Times New Roman" w:cs="Times New Roman" w:hAnsi="Times New Roman"/>
          <w:noProof/>
          <w:sz w:val="24"/>
          <w:szCs w:val="24"/>
        </w:rPr>
        <w:t>1.3 Purpose of the Study</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_Toc216513771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3</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"_Toc216513772" </w:instrText>
      </w:r>
      <w:r>
        <w:rPr/>
        <w:fldChar w:fldCharType="separate"/>
      </w:r>
      <w:r>
        <w:rPr>
          <w:rStyle w:val="style85"/>
          <w:rFonts w:ascii="Times New Roman" w:cs="Times New Roman" w:hAnsi="Times New Roman"/>
          <w:noProof/>
          <w:sz w:val="24"/>
          <w:szCs w:val="24"/>
        </w:rPr>
        <w:t>1.4 Objectives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_Toc216513772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4</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"_Toc216513773" </w:instrText>
      </w:r>
      <w:r>
        <w:rPr/>
        <w:fldChar w:fldCharType="separate"/>
      </w:r>
      <w:r>
        <w:rPr>
          <w:rStyle w:val="style85"/>
          <w:rFonts w:ascii="Times New Roman" w:cs="Times New Roman" w:hAnsi="Times New Roman"/>
          <w:noProof/>
          <w:sz w:val="24"/>
          <w:szCs w:val="24"/>
        </w:rPr>
        <w:t>1.5 Research Questions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_Toc216513773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4</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"_Toc216513774" </w:instrText>
      </w:r>
      <w:r>
        <w:rPr/>
        <w:fldChar w:fldCharType="separate"/>
      </w:r>
      <w:r>
        <w:rPr>
          <w:rStyle w:val="style85"/>
          <w:rFonts w:ascii="Times New Roman" w:cs="Times New Roman" w:hAnsi="Times New Roman"/>
          <w:noProof/>
          <w:sz w:val="24"/>
          <w:szCs w:val="24"/>
        </w:rPr>
        <w:t>1.6 Hypotheses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_Toc216513774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4</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"_Toc216513775" </w:instrText>
      </w:r>
      <w:r>
        <w:rPr/>
        <w:fldChar w:fldCharType="separate"/>
      </w:r>
      <w:r>
        <w:rPr>
          <w:rStyle w:val="style85"/>
          <w:rFonts w:ascii="Times New Roman" w:cs="Times New Roman" w:hAnsi="Times New Roman"/>
          <w:noProof/>
          <w:sz w:val="24"/>
          <w:szCs w:val="24"/>
        </w:rPr>
        <w:t>1.7 Significance of the Study</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_Toc216513775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5</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"_Toc216513776" </w:instrText>
      </w:r>
      <w:r>
        <w:rPr/>
        <w:fldChar w:fldCharType="separate"/>
      </w:r>
      <w:r>
        <w:rPr>
          <w:rStyle w:val="style85"/>
          <w:rFonts w:ascii="Times New Roman" w:cs="Times New Roman" w:hAnsi="Times New Roman"/>
          <w:noProof/>
          <w:sz w:val="24"/>
          <w:szCs w:val="24"/>
        </w:rPr>
        <w:t>1.8 Theoretical Framework</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_Toc216513776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6</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"_Toc216513777" </w:instrText>
      </w:r>
      <w:r>
        <w:rPr/>
        <w:fldChar w:fldCharType="separate"/>
      </w:r>
      <w:r>
        <w:rPr>
          <w:rStyle w:val="style85"/>
          <w:rFonts w:ascii="Times New Roman" w:cs="Times New Roman" w:hAnsi="Times New Roman"/>
          <w:noProof/>
          <w:sz w:val="24"/>
          <w:szCs w:val="24"/>
        </w:rPr>
        <w:t>1.9 Conceptual Framework</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_Toc216513777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8</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"_Toc216513778" </w:instrText>
      </w:r>
      <w:r>
        <w:rPr/>
        <w:fldChar w:fldCharType="separate"/>
      </w:r>
      <w:r>
        <w:rPr>
          <w:rStyle w:val="style85"/>
          <w:rFonts w:ascii="Times New Roman" w:cs="Times New Roman" w:hAnsi="Times New Roman"/>
          <w:noProof/>
          <w:sz w:val="24"/>
          <w:szCs w:val="24"/>
        </w:rPr>
        <w:t>1.10 Assumptions of the Study</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_Toc216513778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8</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"_Toc216513779" </w:instrText>
      </w:r>
      <w:r>
        <w:rPr/>
        <w:fldChar w:fldCharType="separate"/>
      </w:r>
      <w:r>
        <w:rPr>
          <w:rStyle w:val="style85"/>
          <w:rFonts w:ascii="Times New Roman" w:cs="Times New Roman" w:hAnsi="Times New Roman"/>
          <w:noProof/>
          <w:sz w:val="24"/>
          <w:szCs w:val="24"/>
        </w:rPr>
        <w:t>1.11 Limitations of the Study</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_Toc216513779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9</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"_Toc216513780" </w:instrText>
      </w:r>
      <w:r>
        <w:rPr/>
        <w:fldChar w:fldCharType="separate"/>
      </w:r>
      <w:r>
        <w:rPr>
          <w:rStyle w:val="style85"/>
          <w:rFonts w:ascii="Times New Roman" w:cs="Times New Roman" w:hAnsi="Times New Roman"/>
          <w:noProof/>
          <w:sz w:val="24"/>
          <w:szCs w:val="24"/>
        </w:rPr>
        <w:t>1.12 Delimitations of the Study</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_Toc216513780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9</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"_Toc216513781" </w:instrText>
      </w:r>
      <w:r>
        <w:rPr/>
        <w:fldChar w:fldCharType="separate"/>
      </w:r>
      <w:r>
        <w:rPr>
          <w:rStyle w:val="style85"/>
          <w:rFonts w:ascii="Times New Roman" w:cs="Times New Roman" w:hAnsi="Times New Roman"/>
          <w:noProof/>
          <w:sz w:val="24"/>
          <w:szCs w:val="24"/>
        </w:rPr>
        <w:t>1.13 Definition of Key Terms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_Toc216513781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9</w:t>
      </w:r>
      <w:r>
        <w:rPr>
          <w:rFonts w:ascii="Times New Roman" w:cs="Times New Roman" w:hAnsi="Times New Roman"/>
          <w:noProof/>
          <w:webHidden/>
          <w:sz w:val="24"/>
          <w:szCs w:val="24"/>
        </w:rPr>
        <w:fldChar w:fldCharType="end"/>
      </w:r>
      <w:r>
        <w:rPr/>
        <w:fldChar w:fldCharType="end"/>
      </w:r>
    </w:p>
    <w:p>
      <w:pPr>
        <w:pStyle w:val="style19"/>
        <w:tabs>
          <w:tab w:val="right" w:leader="dot" w:pos="9962"/>
        </w:tabs>
        <w:jc w:val="center"/>
        <w:rPr>
          <w:rFonts w:ascii="Times New Roman" w:cs="Times New Roman" w:eastAsia="宋体" w:hAnsi="Times New Roman"/>
          <w:b/>
          <w:noProof/>
          <w:sz w:val="24"/>
          <w:szCs w:val="24"/>
        </w:rPr>
      </w:pPr>
      <w:r>
        <w:rPr/>
        <w:fldChar w:fldCharType="begin"/>
      </w:r>
      <w:r>
        <w:instrText xml:space="preserve"> HYPERLINK \l "_Toc216513782" </w:instrText>
      </w:r>
      <w:r>
        <w:rPr/>
        <w:fldChar w:fldCharType="separate"/>
      </w:r>
      <w:r>
        <w:rPr>
          <w:rStyle w:val="style85"/>
          <w:rFonts w:ascii="Times New Roman" w:cs="Times New Roman" w:hAnsi="Times New Roman"/>
          <w:b/>
          <w:noProof/>
          <w:sz w:val="24"/>
          <w:szCs w:val="24"/>
        </w:rPr>
        <w:t>CHAPTER TWO</w:t>
      </w:r>
      <w:r>
        <w:rPr/>
        <w:fldChar w:fldCharType="end"/>
      </w:r>
    </w:p>
    <w:p>
      <w:pPr>
        <w:pStyle w:val="style19"/>
        <w:tabs>
          <w:tab w:val="right" w:leader="dot" w:pos="9962"/>
        </w:tabs>
        <w:jc w:val="center"/>
        <w:rPr>
          <w:rFonts w:ascii="Times New Roman" w:cs="Times New Roman" w:eastAsia="宋体" w:hAnsi="Times New Roman"/>
          <w:b/>
          <w:noProof/>
          <w:sz w:val="24"/>
          <w:szCs w:val="24"/>
        </w:rPr>
      </w:pPr>
      <w:r>
        <w:rPr/>
        <w:fldChar w:fldCharType="begin"/>
      </w:r>
      <w:r>
        <w:instrText xml:space="preserve"> HYPERLINK \l "_Toc216513783" </w:instrText>
      </w:r>
      <w:r>
        <w:rPr/>
        <w:fldChar w:fldCharType="separate"/>
      </w:r>
      <w:r>
        <w:rPr>
          <w:rStyle w:val="style85"/>
          <w:rFonts w:ascii="Times New Roman" w:cs="Times New Roman" w:hAnsi="Times New Roman"/>
          <w:b/>
          <w:noProof/>
          <w:sz w:val="24"/>
          <w:szCs w:val="24"/>
        </w:rPr>
        <w:t>LITERATURE REVIEW</w:t>
      </w:r>
      <w:r>
        <w:rPr/>
        <w:fldChar w:fldCharType="end"/>
      </w:r>
    </w:p>
    <w:p>
      <w:pPr>
        <w:pStyle w:val="style19"/>
        <w:tabs>
          <w:tab w:val="left" w:leader="none" w:pos="660"/>
          <w:tab w:val="right" w:leader="dot" w:pos="9962"/>
        </w:tabs>
        <w:rPr>
          <w:rFonts w:ascii="Times New Roman" w:cs="Times New Roman" w:eastAsia="宋体" w:hAnsi="Times New Roman"/>
          <w:noProof/>
          <w:sz w:val="24"/>
          <w:szCs w:val="24"/>
        </w:rPr>
      </w:pPr>
      <w:r>
        <w:rPr/>
        <w:fldChar w:fldCharType="begin"/>
      </w:r>
      <w:r>
        <w:instrText xml:space="preserve"> HYPERLINK \l "_Toc216513784" </w:instrText>
      </w:r>
      <w:r>
        <w:rPr/>
        <w:fldChar w:fldCharType="separate"/>
      </w:r>
      <w:r>
        <w:rPr>
          <w:rStyle w:val="style85"/>
          <w:rFonts w:ascii="Times New Roman" w:cs="Times New Roman" w:hAnsi="Times New Roman"/>
          <w:noProof/>
          <w:sz w:val="24"/>
          <w:szCs w:val="24"/>
        </w:rPr>
        <w:t>2.0</w:t>
      </w:r>
      <w:r>
        <w:rPr>
          <w:rFonts w:ascii="Times New Roman" w:cs="Times New Roman" w:eastAsia="宋体" w:hAnsi="Times New Roman"/>
          <w:noProof/>
          <w:sz w:val="24"/>
          <w:szCs w:val="24"/>
        </w:rPr>
        <w:t xml:space="preserve"> </w:t>
      </w:r>
      <w:r>
        <w:rPr>
          <w:rStyle w:val="style85"/>
          <w:rFonts w:ascii="Times New Roman" w:cs="Times New Roman" w:hAnsi="Times New Roman"/>
          <w:noProof/>
          <w:sz w:val="24"/>
          <w:szCs w:val="24"/>
        </w:rPr>
        <w:t>Overview</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_Toc216513784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10</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"_Toc216513785" </w:instrText>
      </w:r>
      <w:r>
        <w:rPr/>
        <w:fldChar w:fldCharType="separate"/>
      </w:r>
      <w:r>
        <w:rPr>
          <w:rStyle w:val="style85"/>
          <w:rFonts w:ascii="Times New Roman" w:cs="Times New Roman" w:hAnsi="Times New Roman"/>
          <w:noProof/>
          <w:sz w:val="24"/>
          <w:szCs w:val="24"/>
        </w:rPr>
        <w:t>2.1 Economic Factors and Learners’ Absenteeism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_Toc216513785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10</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"_Toc216513786" </w:instrText>
      </w:r>
      <w:r>
        <w:rPr/>
        <w:fldChar w:fldCharType="separate"/>
      </w:r>
      <w:r>
        <w:rPr>
          <w:rStyle w:val="style85"/>
          <w:rFonts w:ascii="Times New Roman" w:cs="Times New Roman" w:hAnsi="Times New Roman"/>
          <w:noProof/>
          <w:sz w:val="24"/>
          <w:szCs w:val="24"/>
        </w:rPr>
        <w:t>2.1.1 Parental income and Learners’ Absenteeism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_Toc216513786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10</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"_Toc216513787" </w:instrText>
      </w:r>
      <w:r>
        <w:rPr/>
        <w:fldChar w:fldCharType="separate"/>
      </w:r>
      <w:r>
        <w:rPr>
          <w:rStyle w:val="style85"/>
          <w:rFonts w:ascii="Times New Roman" w:cs="Times New Roman" w:hAnsi="Times New Roman"/>
          <w:noProof/>
          <w:sz w:val="24"/>
          <w:szCs w:val="24"/>
        </w:rPr>
        <w:t>2.1.2 Child labor and Learners’ Absenteeism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_Toc216513787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11</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"_Toc216513788" </w:instrText>
      </w:r>
      <w:r>
        <w:rPr/>
        <w:fldChar w:fldCharType="separate"/>
      </w:r>
      <w:r>
        <w:rPr>
          <w:rStyle w:val="style85"/>
          <w:rFonts w:ascii="Times New Roman" w:cs="Times New Roman" w:hAnsi="Times New Roman"/>
          <w:noProof/>
          <w:sz w:val="24"/>
          <w:szCs w:val="24"/>
        </w:rPr>
        <w:t>2.1.3 Basic need and Learners’ Absenteeism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_Toc216513788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12</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"_Toc216513789" </w:instrText>
      </w:r>
      <w:r>
        <w:rPr/>
        <w:fldChar w:fldCharType="separate"/>
      </w:r>
      <w:r>
        <w:rPr>
          <w:rStyle w:val="style85"/>
          <w:rFonts w:ascii="Times New Roman" w:cs="Times New Roman" w:hAnsi="Times New Roman"/>
          <w:noProof/>
          <w:sz w:val="24"/>
          <w:szCs w:val="24"/>
        </w:rPr>
        <w:t>2.2 Cultural Factors and Learners’ Absenteeism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_Toc216513789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13</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"_Toc216513790" </w:instrText>
      </w:r>
      <w:r>
        <w:rPr/>
        <w:fldChar w:fldCharType="separate"/>
      </w:r>
      <w:r>
        <w:rPr>
          <w:rStyle w:val="style85"/>
          <w:rFonts w:ascii="Times New Roman" w:cs="Times New Roman" w:hAnsi="Times New Roman"/>
          <w:noProof/>
          <w:sz w:val="24"/>
          <w:szCs w:val="24"/>
        </w:rPr>
        <w:t>2.2.1 Early Marriages and Learners’ Absenteeism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_Toc216513790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13</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"_Toc216513791" </w:instrText>
      </w:r>
      <w:r>
        <w:rPr/>
        <w:fldChar w:fldCharType="separate"/>
      </w:r>
      <w:r>
        <w:rPr>
          <w:rStyle w:val="style85"/>
          <w:rFonts w:ascii="Times New Roman" w:cs="Times New Roman" w:hAnsi="Times New Roman"/>
          <w:noProof/>
          <w:sz w:val="24"/>
          <w:szCs w:val="24"/>
        </w:rPr>
        <w:t>2.2.2 FGM and Learners’ Absenteeism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_Toc216513791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14</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"_Toc216513792" </w:instrText>
      </w:r>
      <w:r>
        <w:rPr/>
        <w:fldChar w:fldCharType="separate"/>
      </w:r>
      <w:r>
        <w:rPr>
          <w:rStyle w:val="style85"/>
          <w:rFonts w:ascii="Times New Roman" w:cs="Times New Roman" w:hAnsi="Times New Roman"/>
          <w:noProof/>
          <w:sz w:val="24"/>
          <w:szCs w:val="24"/>
        </w:rPr>
        <w:t>2.3 School Environment and Learners’ Absenteeism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_Toc216513792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16</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"_Toc216513793" </w:instrText>
      </w:r>
      <w:r>
        <w:rPr/>
        <w:fldChar w:fldCharType="separate"/>
      </w:r>
      <w:r>
        <w:rPr>
          <w:rStyle w:val="style85"/>
          <w:rFonts w:ascii="Times New Roman" w:cs="Times New Roman" w:hAnsi="Times New Roman"/>
          <w:noProof/>
          <w:sz w:val="24"/>
          <w:szCs w:val="24"/>
        </w:rPr>
        <w:t>2.3.1 Infrastructure and Learners’ Absenteeism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_Toc216513793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16</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"_Toc216513794" </w:instrText>
      </w:r>
      <w:r>
        <w:rPr/>
        <w:fldChar w:fldCharType="separate"/>
      </w:r>
      <w:r>
        <w:rPr>
          <w:rStyle w:val="style85"/>
          <w:rFonts w:ascii="Times New Roman" w:cs="Times New Roman" w:hAnsi="Times New Roman"/>
          <w:noProof/>
          <w:sz w:val="24"/>
          <w:szCs w:val="24"/>
        </w:rPr>
        <w:t>2.3.2 Punishment methods and Learners’ Absenteeism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_Toc216513794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17</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"_Toc216513795" </w:instrText>
      </w:r>
      <w:r>
        <w:rPr/>
        <w:fldChar w:fldCharType="separate"/>
      </w:r>
      <w:r>
        <w:rPr>
          <w:rStyle w:val="style85"/>
          <w:rFonts w:ascii="Times New Roman" w:cs="Times New Roman" w:hAnsi="Times New Roman"/>
          <w:noProof/>
          <w:sz w:val="24"/>
          <w:szCs w:val="24"/>
        </w:rPr>
        <w:t>2.3.3 Security and Safety and Learners’ Absenteeism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_Toc216513795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18</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"_Toc216513796" </w:instrText>
      </w:r>
      <w:r>
        <w:rPr/>
        <w:fldChar w:fldCharType="separate"/>
      </w:r>
      <w:r>
        <w:rPr>
          <w:rStyle w:val="style85"/>
          <w:rFonts w:ascii="Times New Roman" w:cs="Times New Roman" w:hAnsi="Times New Roman"/>
          <w:noProof/>
          <w:sz w:val="24"/>
          <w:szCs w:val="24"/>
        </w:rPr>
        <w:t>2.3.4 Teacher Behavior and Learners’ Absenteeism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_Toc216513796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19</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"_Toc216513797" </w:instrText>
      </w:r>
      <w:r>
        <w:rPr/>
        <w:fldChar w:fldCharType="separate"/>
      </w:r>
      <w:r>
        <w:rPr>
          <w:rStyle w:val="style85"/>
          <w:rFonts w:ascii="Times New Roman" w:cs="Times New Roman" w:hAnsi="Times New Roman"/>
          <w:noProof/>
          <w:sz w:val="24"/>
          <w:szCs w:val="24"/>
        </w:rPr>
        <w:t>2.4 Policy Implementation and Learners’ Absenteeism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_Toc216513797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20</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"_Toc216513798" </w:instrText>
      </w:r>
      <w:r>
        <w:rPr/>
        <w:fldChar w:fldCharType="separate"/>
      </w:r>
      <w:r>
        <w:rPr>
          <w:rStyle w:val="style85"/>
          <w:rFonts w:ascii="Times New Roman" w:cs="Times New Roman" w:hAnsi="Times New Roman"/>
          <w:noProof/>
          <w:sz w:val="24"/>
          <w:szCs w:val="24"/>
        </w:rPr>
        <w:t>2.4.1 Parental engagement and Learners’ Absenteeism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_Toc216513798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20</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"_Toc216513799" </w:instrText>
      </w:r>
      <w:r>
        <w:rPr/>
        <w:fldChar w:fldCharType="separate"/>
      </w:r>
      <w:r>
        <w:rPr>
          <w:rStyle w:val="style85"/>
          <w:rFonts w:ascii="Times New Roman" w:cs="Times New Roman" w:hAnsi="Times New Roman"/>
          <w:noProof/>
          <w:sz w:val="24"/>
          <w:szCs w:val="24"/>
        </w:rPr>
        <w:t>2.4.2 Teacher teamwork and Learners’ Absenteeism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_Toc216513799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21</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"_Toc216513800" </w:instrText>
      </w:r>
      <w:r>
        <w:rPr/>
        <w:fldChar w:fldCharType="separate"/>
      </w:r>
      <w:r>
        <w:rPr>
          <w:rStyle w:val="style85"/>
          <w:rFonts w:ascii="Times New Roman" w:cs="Times New Roman" w:hAnsi="Times New Roman"/>
          <w:noProof/>
          <w:sz w:val="24"/>
          <w:szCs w:val="24"/>
        </w:rPr>
        <w:t>2.4.3 School Rules and Learners’ Absenteeism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_Toc216513800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22</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"_Toc216513801" </w:instrText>
      </w:r>
      <w:r>
        <w:rPr/>
        <w:fldChar w:fldCharType="separate"/>
      </w:r>
      <w:r>
        <w:rPr>
          <w:rStyle w:val="style85"/>
          <w:rFonts w:ascii="Times New Roman" w:cs="Times New Roman" w:hAnsi="Times New Roman"/>
          <w:noProof/>
          <w:sz w:val="24"/>
          <w:szCs w:val="24"/>
        </w:rPr>
        <w:t>2.5 Student Attitude and Learners’ Absenteeism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_Toc216513801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23</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"_Toc216513802" </w:instrText>
      </w:r>
      <w:r>
        <w:rPr/>
        <w:fldChar w:fldCharType="separate"/>
      </w:r>
      <w:r>
        <w:rPr>
          <w:rStyle w:val="style85"/>
          <w:rFonts w:ascii="Times New Roman" w:cs="Times New Roman" w:hAnsi="Times New Roman"/>
          <w:noProof/>
          <w:sz w:val="24"/>
          <w:szCs w:val="24"/>
        </w:rPr>
        <w:t>2.7 Learners’ Absenteeism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_Toc216513802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27</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"_Toc216513803" </w:instrText>
      </w:r>
      <w:r>
        <w:rPr/>
        <w:fldChar w:fldCharType="separate"/>
      </w:r>
      <w:r>
        <w:rPr>
          <w:rStyle w:val="style85"/>
          <w:rFonts w:ascii="Times New Roman" w:cs="Times New Roman" w:hAnsi="Times New Roman"/>
          <w:bCs/>
          <w:noProof/>
          <w:sz w:val="24"/>
          <w:szCs w:val="24"/>
        </w:rPr>
        <w:t xml:space="preserve">2.8 </w:t>
      </w:r>
      <w:r>
        <w:rPr>
          <w:rStyle w:val="style85"/>
          <w:rFonts w:ascii="Times New Roman" w:cs="Times New Roman" w:hAnsi="Times New Roman"/>
          <w:noProof/>
          <w:sz w:val="24"/>
          <w:szCs w:val="24"/>
        </w:rPr>
        <w:t>Summary of Research Gaps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_Toc216513803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30</w:t>
      </w:r>
      <w:r>
        <w:rPr>
          <w:rFonts w:ascii="Times New Roman" w:cs="Times New Roman" w:hAnsi="Times New Roman"/>
          <w:noProof/>
          <w:webHidden/>
          <w:sz w:val="24"/>
          <w:szCs w:val="24"/>
        </w:rPr>
        <w:fldChar w:fldCharType="end"/>
      </w:r>
      <w:r>
        <w:rPr/>
        <w:fldChar w:fldCharType="end"/>
      </w:r>
    </w:p>
    <w:p>
      <w:pPr>
        <w:pStyle w:val="style19"/>
        <w:tabs>
          <w:tab w:val="right" w:leader="dot" w:pos="9962"/>
        </w:tabs>
        <w:jc w:val="center"/>
        <w:rPr>
          <w:rFonts w:ascii="Times New Roman" w:cs="Times New Roman" w:eastAsia="宋体" w:hAnsi="Times New Roman"/>
          <w:b/>
          <w:noProof/>
          <w:sz w:val="24"/>
          <w:szCs w:val="24"/>
        </w:rPr>
      </w:pPr>
      <w:r>
        <w:rPr/>
        <w:fldChar w:fldCharType="begin"/>
      </w:r>
      <w:r>
        <w:instrText xml:space="preserve"> HYPERLINK \l "_Toc216513804" </w:instrText>
      </w:r>
      <w:r>
        <w:rPr/>
        <w:fldChar w:fldCharType="separate"/>
      </w:r>
      <w:r>
        <w:rPr>
          <w:rStyle w:val="style85"/>
          <w:rFonts w:ascii="Times New Roman" w:cs="Times New Roman" w:hAnsi="Times New Roman"/>
          <w:b/>
          <w:noProof/>
          <w:sz w:val="24"/>
          <w:szCs w:val="24"/>
        </w:rPr>
        <w:t>CHAPTER THREE</w:t>
      </w:r>
      <w:r>
        <w:rPr/>
        <w:fldChar w:fldCharType="end"/>
      </w:r>
    </w:p>
    <w:p>
      <w:pPr>
        <w:pStyle w:val="style19"/>
        <w:tabs>
          <w:tab w:val="right" w:leader="dot" w:pos="9962"/>
        </w:tabs>
        <w:jc w:val="center"/>
        <w:rPr>
          <w:rFonts w:ascii="Times New Roman" w:cs="Times New Roman" w:eastAsia="宋体" w:hAnsi="Times New Roman"/>
          <w:b/>
          <w:noProof/>
          <w:sz w:val="24"/>
          <w:szCs w:val="24"/>
        </w:rPr>
      </w:pPr>
      <w:r>
        <w:rPr/>
        <w:fldChar w:fldCharType="begin"/>
      </w:r>
      <w:r>
        <w:instrText xml:space="preserve"> HYPERLINK \l "_Toc216513805" </w:instrText>
      </w:r>
      <w:r>
        <w:rPr/>
        <w:fldChar w:fldCharType="separate"/>
      </w:r>
      <w:r>
        <w:rPr>
          <w:rStyle w:val="style85"/>
          <w:rFonts w:ascii="Times New Roman" w:cs="Times New Roman" w:hAnsi="Times New Roman"/>
          <w:b/>
          <w:noProof/>
          <w:sz w:val="24"/>
          <w:szCs w:val="24"/>
        </w:rPr>
        <w:t>RESEARCH METHODOLOGY</w:t>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"_Toc216513806" </w:instrText>
      </w:r>
      <w:r>
        <w:rPr/>
        <w:fldChar w:fldCharType="separate"/>
      </w:r>
      <w:r>
        <w:rPr>
          <w:rStyle w:val="style85"/>
          <w:rFonts w:ascii="Times New Roman" w:cs="Times New Roman" w:hAnsi="Times New Roman"/>
          <w:noProof/>
          <w:sz w:val="24"/>
          <w:szCs w:val="24"/>
        </w:rPr>
        <w:t>3.1 Overview</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_Toc216513806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31</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"_Toc216513807" </w:instrText>
      </w:r>
      <w:r>
        <w:rPr/>
        <w:fldChar w:fldCharType="separate"/>
      </w:r>
      <w:r>
        <w:rPr>
          <w:rStyle w:val="style85"/>
          <w:rFonts w:ascii="Times New Roman" w:cs="Times New Roman" w:hAnsi="Times New Roman"/>
          <w:noProof/>
          <w:sz w:val="24"/>
          <w:szCs w:val="24"/>
        </w:rPr>
        <w:t>3.2 Research Paradigm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_Toc216513807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31</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"_Toc216513808" </w:instrText>
      </w:r>
      <w:r>
        <w:rPr/>
        <w:fldChar w:fldCharType="separate"/>
      </w:r>
      <w:r>
        <w:rPr>
          <w:rStyle w:val="style85"/>
          <w:rFonts w:ascii="Times New Roman" w:cs="Times New Roman" w:hAnsi="Times New Roman"/>
          <w:noProof/>
          <w:sz w:val="24"/>
          <w:szCs w:val="24"/>
        </w:rPr>
        <w:t>3.3 Research Design</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_Toc216513808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31</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"_Toc216513809" </w:instrText>
      </w:r>
      <w:r>
        <w:rPr/>
        <w:fldChar w:fldCharType="separate"/>
      </w:r>
      <w:r>
        <w:rPr>
          <w:rStyle w:val="style85"/>
          <w:rFonts w:ascii="Times New Roman" w:cs="Times New Roman" w:hAnsi="Times New Roman"/>
          <w:noProof/>
          <w:sz w:val="24"/>
          <w:szCs w:val="24"/>
        </w:rPr>
        <w:t>3.4 Location of the Study</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_Toc216513809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32</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"_Toc216513810" </w:instrText>
      </w:r>
      <w:r>
        <w:rPr/>
        <w:fldChar w:fldCharType="separate"/>
      </w:r>
      <w:r>
        <w:rPr>
          <w:rStyle w:val="style85"/>
          <w:rFonts w:ascii="Times New Roman" w:cs="Times New Roman" w:hAnsi="Times New Roman"/>
          <w:noProof/>
          <w:sz w:val="24"/>
          <w:szCs w:val="24"/>
        </w:rPr>
        <w:t>3.5 Sampling Procedure</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_Toc216513810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33</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"_Toc216513811" </w:instrText>
      </w:r>
      <w:r>
        <w:rPr/>
        <w:fldChar w:fldCharType="separate"/>
      </w:r>
      <w:r>
        <w:rPr>
          <w:rStyle w:val="style85"/>
          <w:rFonts w:ascii="Times New Roman" w:cs="Times New Roman" w:hAnsi="Times New Roman"/>
          <w:noProof/>
          <w:sz w:val="24"/>
          <w:szCs w:val="24"/>
        </w:rPr>
        <w:t>3.6 Target Population</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_Toc216513811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33</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"_Toc216513812" </w:instrText>
      </w:r>
      <w:r>
        <w:rPr/>
        <w:fldChar w:fldCharType="separate"/>
      </w:r>
      <w:r>
        <w:rPr>
          <w:rStyle w:val="style85"/>
          <w:rFonts w:ascii="Times New Roman" w:cs="Times New Roman" w:hAnsi="Times New Roman"/>
          <w:noProof/>
          <w:sz w:val="24"/>
          <w:szCs w:val="24"/>
        </w:rPr>
        <w:t>3.7 Sample Size</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_Toc216513812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33</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"_Toc216513813" </w:instrText>
      </w:r>
      <w:r>
        <w:rPr/>
        <w:fldChar w:fldCharType="separate"/>
      </w:r>
      <w:r>
        <w:rPr>
          <w:rStyle w:val="style85"/>
          <w:rFonts w:ascii="Times New Roman" w:cs="Times New Roman" w:hAnsi="Times New Roman"/>
          <w:noProof/>
          <w:sz w:val="24"/>
          <w:szCs w:val="24"/>
        </w:rPr>
        <w:t>3.8 Research Instruments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_Toc216513813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34</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"_Toc216513814" </w:instrText>
      </w:r>
      <w:r>
        <w:rPr/>
        <w:fldChar w:fldCharType="separate"/>
      </w:r>
      <w:r>
        <w:rPr>
          <w:rStyle w:val="style85"/>
          <w:rFonts w:ascii="Times New Roman" w:cs="Times New Roman" w:hAnsi="Times New Roman"/>
          <w:noProof/>
          <w:sz w:val="24"/>
          <w:szCs w:val="24"/>
        </w:rPr>
        <w:t>3.9 Validity of Instruments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_Toc216513814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34</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"_Toc216513815" </w:instrText>
      </w:r>
      <w:r>
        <w:rPr/>
        <w:fldChar w:fldCharType="separate"/>
      </w:r>
      <w:r>
        <w:rPr>
          <w:rStyle w:val="style85"/>
          <w:rFonts w:ascii="Times New Roman" w:cs="Times New Roman" w:hAnsi="Times New Roman"/>
          <w:noProof/>
          <w:sz w:val="24"/>
          <w:szCs w:val="24"/>
        </w:rPr>
        <w:t>3.10 Reliability of the Instruments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_Toc216513815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34</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"_Toc216513816" </w:instrText>
      </w:r>
      <w:r>
        <w:rPr/>
        <w:fldChar w:fldCharType="separate"/>
      </w:r>
      <w:r>
        <w:rPr>
          <w:rStyle w:val="style85"/>
          <w:rFonts w:ascii="Times New Roman" w:cs="Times New Roman" w:hAnsi="Times New Roman"/>
          <w:noProof/>
          <w:sz w:val="24"/>
          <w:szCs w:val="24"/>
        </w:rPr>
        <w:t>3.11 Piloting of the Study</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_Toc216513816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35</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"_Toc216513817" </w:instrText>
      </w:r>
      <w:r>
        <w:rPr/>
        <w:fldChar w:fldCharType="separate"/>
      </w:r>
      <w:r>
        <w:rPr>
          <w:rStyle w:val="style85"/>
          <w:rFonts w:ascii="Times New Roman" w:cs="Times New Roman" w:hAnsi="Times New Roman"/>
          <w:noProof/>
          <w:sz w:val="24"/>
          <w:szCs w:val="24"/>
        </w:rPr>
        <w:t>3.12 Data Collection Procedures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_Toc216513817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35</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"_Toc216513818" </w:instrText>
      </w:r>
      <w:r>
        <w:rPr/>
        <w:fldChar w:fldCharType="separate"/>
      </w:r>
      <w:r>
        <w:rPr>
          <w:rStyle w:val="style85"/>
          <w:rFonts w:ascii="Times New Roman" w:cs="Times New Roman" w:hAnsi="Times New Roman"/>
          <w:noProof/>
          <w:sz w:val="24"/>
          <w:szCs w:val="24"/>
        </w:rPr>
        <w:t>3.14 Operational Definition of research Variables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_Toc216513818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35</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"_Toc216513819" </w:instrText>
      </w:r>
      <w:r>
        <w:rPr/>
        <w:fldChar w:fldCharType="separate"/>
      </w:r>
      <w:r>
        <w:rPr>
          <w:rStyle w:val="style85"/>
          <w:rFonts w:ascii="Times New Roman" w:cs="Times New Roman" w:hAnsi="Times New Roman"/>
          <w:noProof/>
          <w:sz w:val="24"/>
          <w:szCs w:val="24"/>
        </w:rPr>
        <w:t>3.14 Data Analysis Methods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_Toc216513819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36</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"_Toc216513820" </w:instrText>
      </w:r>
      <w:r>
        <w:rPr/>
        <w:fldChar w:fldCharType="separate"/>
      </w:r>
      <w:r>
        <w:rPr>
          <w:rStyle w:val="style85"/>
          <w:rFonts w:ascii="Times New Roman" w:cs="Times New Roman" w:hAnsi="Times New Roman"/>
          <w:noProof/>
          <w:sz w:val="24"/>
          <w:szCs w:val="24"/>
        </w:rPr>
        <w:t>3.15 Ethical Considerations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_Toc216513820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36</w:t>
      </w:r>
      <w:r>
        <w:rPr>
          <w:rFonts w:ascii="Times New Roman" w:cs="Times New Roman" w:hAnsi="Times New Roman"/>
          <w:noProof/>
          <w:webHidden/>
          <w:sz w:val="24"/>
          <w:szCs w:val="24"/>
        </w:rPr>
        <w:fldChar w:fldCharType="end"/>
      </w:r>
      <w:r>
        <w:rPr/>
        <w:fldChar w:fldCharType="end"/>
      </w:r>
    </w:p>
    <w:p>
      <w:pPr>
        <w:pStyle w:val="style19"/>
        <w:tabs>
          <w:tab w:val="right" w:leader="dot" w:pos="9962"/>
        </w:tabs>
        <w:jc w:val="center"/>
        <w:rPr>
          <w:rFonts w:ascii="Times New Roman" w:cs="Times New Roman" w:eastAsia="宋体" w:hAnsi="Times New Roman"/>
          <w:b/>
          <w:noProof/>
          <w:sz w:val="24"/>
          <w:szCs w:val="24"/>
        </w:rPr>
      </w:pPr>
      <w:r>
        <w:rPr/>
        <w:fldChar w:fldCharType="begin"/>
      </w:r>
      <w:r>
        <w:instrText xml:space="preserve"> HYPERLINK \l "_Toc216513821" </w:instrText>
      </w:r>
      <w:r>
        <w:rPr/>
        <w:fldChar w:fldCharType="separate"/>
      </w:r>
      <w:r>
        <w:rPr>
          <w:rStyle w:val="style85"/>
          <w:rFonts w:ascii="Times New Roman" w:cs="Times New Roman" w:hAnsi="Times New Roman"/>
          <w:b/>
          <w:noProof/>
          <w:sz w:val="24"/>
          <w:szCs w:val="24"/>
        </w:rPr>
        <w:t xml:space="preserve">CHAPTER FOUR </w:t>
      </w:r>
      <w:r>
        <w:rPr/>
        <w:fldChar w:fldCharType="end"/>
      </w:r>
    </w:p>
    <w:p>
      <w:pPr>
        <w:pStyle w:val="style19"/>
        <w:tabs>
          <w:tab w:val="right" w:leader="dot" w:pos="9962"/>
        </w:tabs>
        <w:jc w:val="center"/>
        <w:rPr>
          <w:rFonts w:ascii="Times New Roman" w:cs="Times New Roman" w:eastAsia="宋体" w:hAnsi="Times New Roman"/>
          <w:b/>
          <w:noProof/>
          <w:sz w:val="24"/>
          <w:szCs w:val="24"/>
        </w:rPr>
      </w:pPr>
      <w:r>
        <w:rPr/>
        <w:fldChar w:fldCharType="begin"/>
      </w:r>
      <w:r>
        <w:instrText xml:space="preserve"> HYPERLINK \l "_Toc216513822" </w:instrText>
      </w:r>
      <w:r>
        <w:rPr/>
        <w:fldChar w:fldCharType="separate"/>
      </w:r>
      <w:r>
        <w:rPr>
          <w:rStyle w:val="style85"/>
          <w:rFonts w:ascii="Times New Roman" w:cs="Times New Roman" w:hAnsi="Times New Roman"/>
          <w:b/>
          <w:noProof/>
          <w:sz w:val="24"/>
          <w:szCs w:val="24"/>
        </w:rPr>
        <w:t>DATA ANALYSIS, INTERPRETATION AND DISCUSSION</w:t>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"_Toc216513823" </w:instrText>
      </w:r>
      <w:r>
        <w:rPr/>
        <w:fldChar w:fldCharType="separate"/>
      </w:r>
      <w:r>
        <w:rPr>
          <w:rStyle w:val="style85"/>
          <w:rFonts w:ascii="Times New Roman" w:cs="Times New Roman" w:hAnsi="Times New Roman"/>
          <w:noProof/>
          <w:sz w:val="24"/>
          <w:szCs w:val="24"/>
        </w:rPr>
        <w:t>4.1 Overview</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_Toc216513823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38</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"_Toc216513824" </w:instrText>
      </w:r>
      <w:r>
        <w:rPr/>
        <w:fldChar w:fldCharType="separate"/>
      </w:r>
      <w:r>
        <w:rPr>
          <w:rStyle w:val="style85"/>
          <w:rFonts w:ascii="Times New Roman" w:cs="Times New Roman" w:hAnsi="Times New Roman"/>
          <w:noProof/>
          <w:sz w:val="24"/>
          <w:szCs w:val="24"/>
        </w:rPr>
        <w:t>4.2 Questionnaire</w:t>
      </w:r>
      <w:r>
        <w:rPr>
          <w:rStyle w:val="style85"/>
          <w:rFonts w:ascii="Times New Roman" w:cs="Times New Roman" w:hAnsi="Times New Roman"/>
          <w:noProof/>
          <w:spacing w:val="-2"/>
          <w:sz w:val="24"/>
          <w:szCs w:val="24"/>
        </w:rPr>
        <w:t xml:space="preserve"> </w:t>
      </w:r>
      <w:r>
        <w:rPr>
          <w:rStyle w:val="style85"/>
          <w:rFonts w:ascii="Times New Roman" w:cs="Times New Roman" w:hAnsi="Times New Roman"/>
          <w:noProof/>
          <w:sz w:val="24"/>
          <w:szCs w:val="24"/>
        </w:rPr>
        <w:t>and Interview</w:t>
      </w:r>
      <w:r>
        <w:rPr>
          <w:rStyle w:val="style85"/>
          <w:rFonts w:ascii="Times New Roman" w:cs="Times New Roman" w:hAnsi="Times New Roman"/>
          <w:noProof/>
          <w:spacing w:val="-2"/>
          <w:sz w:val="24"/>
          <w:szCs w:val="24"/>
        </w:rPr>
        <w:t xml:space="preserve"> </w:t>
      </w:r>
      <w:r>
        <w:rPr>
          <w:rStyle w:val="style85"/>
          <w:rFonts w:ascii="Times New Roman" w:cs="Times New Roman" w:hAnsi="Times New Roman"/>
          <w:noProof/>
          <w:sz w:val="24"/>
          <w:szCs w:val="24"/>
        </w:rPr>
        <w:t xml:space="preserve">Return </w:t>
      </w:r>
      <w:r>
        <w:rPr>
          <w:rStyle w:val="style85"/>
          <w:rFonts w:ascii="Times New Roman" w:cs="Times New Roman" w:hAnsi="Times New Roman"/>
          <w:noProof/>
          <w:spacing w:val="-4"/>
          <w:sz w:val="24"/>
          <w:szCs w:val="24"/>
        </w:rPr>
        <w:t>Rate</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_Toc216513824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39</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"_Toc216513825" </w:instrText>
      </w:r>
      <w:r>
        <w:rPr/>
        <w:fldChar w:fldCharType="separate"/>
      </w:r>
      <w:r>
        <w:rPr>
          <w:rStyle w:val="style85"/>
          <w:rFonts w:ascii="Times New Roman" w:cs="Times New Roman" w:hAnsi="Times New Roman"/>
          <w:noProof/>
          <w:sz w:val="24"/>
          <w:szCs w:val="24"/>
        </w:rPr>
        <w:t>4.3 Background Information of Teachers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_Toc216513825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40</w:t>
      </w:r>
      <w:r>
        <w:rPr>
          <w:rFonts w:ascii="Times New Roman" w:cs="Times New Roman" w:hAnsi="Times New Roman"/>
          <w:noProof/>
          <w:webHidden/>
          <w:sz w:val="24"/>
          <w:szCs w:val="24"/>
        </w:rPr>
        <w:fldChar w:fldCharType="end"/>
      </w:r>
      <w:r>
        <w:rPr/>
        <w:fldChar w:fldCharType="end"/>
      </w:r>
    </w:p>
    <w:p>
      <w:pPr>
        <w:pStyle w:val="style19"/>
        <w:tabs>
          <w:tab w:val="left" w:leader="none" w:pos="660"/>
          <w:tab w:val="right" w:leader="dot" w:pos="9962"/>
        </w:tabs>
        <w:rPr>
          <w:rFonts w:ascii="Times New Roman" w:cs="Times New Roman" w:eastAsia="宋体" w:hAnsi="Times New Roman"/>
          <w:noProof/>
          <w:sz w:val="24"/>
          <w:szCs w:val="24"/>
        </w:rPr>
      </w:pPr>
      <w:r>
        <w:rPr/>
        <w:fldChar w:fldCharType="begin"/>
      </w:r>
      <w:r>
        <w:instrText xml:space="preserve"> HYPERLINK \l "_Toc216513826" </w:instrText>
      </w:r>
      <w:r>
        <w:rPr/>
        <w:fldChar w:fldCharType="separate"/>
      </w:r>
      <w:r>
        <w:rPr>
          <w:rStyle w:val="style85"/>
          <w:rFonts w:ascii="Times New Roman" w:cs="Times New Roman" w:hAnsi="Times New Roman"/>
          <w:noProof/>
          <w:sz w:val="24"/>
          <w:szCs w:val="24"/>
        </w:rPr>
        <w:t>4.4</w:t>
      </w:r>
      <w:r>
        <w:rPr>
          <w:rFonts w:ascii="Times New Roman" w:cs="Times New Roman" w:eastAsia="宋体" w:hAnsi="Times New Roman"/>
          <w:noProof/>
          <w:sz w:val="24"/>
          <w:szCs w:val="24"/>
        </w:rPr>
        <w:t xml:space="preserve"> </w:t>
      </w:r>
      <w:r>
        <w:rPr>
          <w:rStyle w:val="style85"/>
          <w:rFonts w:ascii="Times New Roman" w:cs="Times New Roman" w:hAnsi="Times New Roman"/>
          <w:noProof/>
          <w:sz w:val="24"/>
          <w:szCs w:val="24"/>
        </w:rPr>
        <w:t>Socio-Economic Factors and Learners’ Absenteeism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_Toc216513826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44</w:t>
      </w:r>
      <w:r>
        <w:rPr>
          <w:rFonts w:ascii="Times New Roman" w:cs="Times New Roman" w:hAnsi="Times New Roman"/>
          <w:noProof/>
          <w:webHidden/>
          <w:sz w:val="24"/>
          <w:szCs w:val="24"/>
        </w:rPr>
        <w:fldChar w:fldCharType="end"/>
      </w:r>
      <w:r>
        <w:rPr/>
        <w:fldChar w:fldCharType="end"/>
      </w:r>
    </w:p>
    <w:p>
      <w:pPr>
        <w:pStyle w:val="style19"/>
        <w:tabs>
          <w:tab w:val="left" w:leader="none" w:pos="660"/>
          <w:tab w:val="right" w:leader="dot" w:pos="9962"/>
        </w:tabs>
        <w:rPr>
          <w:rFonts w:ascii="Times New Roman" w:cs="Times New Roman" w:eastAsia="宋体" w:hAnsi="Times New Roman"/>
          <w:noProof/>
          <w:sz w:val="24"/>
          <w:szCs w:val="24"/>
        </w:rPr>
      </w:pPr>
      <w:r>
        <w:rPr/>
        <w:fldChar w:fldCharType="begin"/>
      </w:r>
      <w:r>
        <w:instrText xml:space="preserve"> HYPERLINK \l "_Toc216513827" </w:instrText>
      </w:r>
      <w:r>
        <w:rPr/>
        <w:fldChar w:fldCharType="separate"/>
      </w:r>
      <w:r>
        <w:rPr>
          <w:rStyle w:val="style85"/>
          <w:rFonts w:ascii="Times New Roman" w:cs="Times New Roman" w:hAnsi="Times New Roman"/>
          <w:noProof/>
          <w:sz w:val="24"/>
          <w:szCs w:val="24"/>
        </w:rPr>
        <w:t>4.5</w:t>
      </w:r>
      <w:r>
        <w:rPr>
          <w:rFonts w:ascii="Times New Roman" w:cs="Times New Roman" w:eastAsia="宋体" w:hAnsi="Times New Roman"/>
          <w:noProof/>
          <w:sz w:val="24"/>
          <w:szCs w:val="24"/>
        </w:rPr>
        <w:t xml:space="preserve"> </w:t>
      </w:r>
      <w:r>
        <w:rPr>
          <w:rStyle w:val="style85"/>
          <w:rFonts w:ascii="Times New Roman" w:cs="Times New Roman" w:hAnsi="Times New Roman"/>
          <w:noProof/>
          <w:sz w:val="24"/>
          <w:szCs w:val="24"/>
        </w:rPr>
        <w:t>Cultural Practices and Learners’ Absenteeism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_Toc216513827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50</w:t>
      </w:r>
      <w:r>
        <w:rPr>
          <w:rFonts w:ascii="Times New Roman" w:cs="Times New Roman" w:hAnsi="Times New Roman"/>
          <w:noProof/>
          <w:webHidden/>
          <w:sz w:val="24"/>
          <w:szCs w:val="24"/>
        </w:rPr>
        <w:fldChar w:fldCharType="end"/>
      </w:r>
      <w:r>
        <w:rPr/>
        <w:fldChar w:fldCharType="end"/>
      </w:r>
    </w:p>
    <w:p>
      <w:pPr>
        <w:pStyle w:val="style19"/>
        <w:tabs>
          <w:tab w:val="left" w:leader="none" w:pos="660"/>
          <w:tab w:val="right" w:leader="dot" w:pos="9962"/>
        </w:tabs>
        <w:rPr>
          <w:rFonts w:ascii="Times New Roman" w:cs="Times New Roman" w:eastAsia="宋体" w:hAnsi="Times New Roman"/>
          <w:noProof/>
          <w:sz w:val="24"/>
          <w:szCs w:val="24"/>
        </w:rPr>
      </w:pPr>
      <w:r>
        <w:rPr/>
        <w:fldChar w:fldCharType="begin"/>
      </w:r>
      <w:r>
        <w:instrText xml:space="preserve"> HYPERLINK \l "_Toc216513828" </w:instrText>
      </w:r>
      <w:r>
        <w:rPr/>
        <w:fldChar w:fldCharType="separate"/>
      </w:r>
      <w:r>
        <w:rPr>
          <w:rStyle w:val="style85"/>
          <w:rFonts w:ascii="Times New Roman" w:cs="Times New Roman" w:hAnsi="Times New Roman"/>
          <w:noProof/>
          <w:sz w:val="24"/>
          <w:szCs w:val="24"/>
        </w:rPr>
        <w:t>4.6</w:t>
      </w:r>
      <w:r>
        <w:rPr>
          <w:rFonts w:ascii="Times New Roman" w:cs="Times New Roman" w:eastAsia="宋体" w:hAnsi="Times New Roman"/>
          <w:noProof/>
          <w:sz w:val="24"/>
          <w:szCs w:val="24"/>
        </w:rPr>
        <w:t xml:space="preserve"> </w:t>
      </w:r>
      <w:r>
        <w:rPr>
          <w:rStyle w:val="style85"/>
          <w:rFonts w:ascii="Times New Roman" w:cs="Times New Roman" w:hAnsi="Times New Roman"/>
          <w:noProof/>
          <w:sz w:val="24"/>
          <w:szCs w:val="24"/>
        </w:rPr>
        <w:t>School Environment and Learners’ Absenteeism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_Toc216513828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58</w:t>
      </w:r>
      <w:r>
        <w:rPr>
          <w:rFonts w:ascii="Times New Roman" w:cs="Times New Roman" w:hAnsi="Times New Roman"/>
          <w:noProof/>
          <w:webHidden/>
          <w:sz w:val="24"/>
          <w:szCs w:val="24"/>
        </w:rPr>
        <w:fldChar w:fldCharType="end"/>
      </w:r>
      <w:r>
        <w:rPr/>
        <w:fldChar w:fldCharType="end"/>
      </w:r>
    </w:p>
    <w:p>
      <w:pPr>
        <w:pStyle w:val="style19"/>
        <w:tabs>
          <w:tab w:val="left" w:leader="none" w:pos="660"/>
          <w:tab w:val="right" w:leader="dot" w:pos="9962"/>
        </w:tabs>
        <w:rPr>
          <w:rFonts w:ascii="Times New Roman" w:cs="Times New Roman" w:eastAsia="宋体" w:hAnsi="Times New Roman"/>
          <w:noProof/>
          <w:sz w:val="24"/>
          <w:szCs w:val="24"/>
        </w:rPr>
      </w:pPr>
      <w:r>
        <w:rPr/>
        <w:fldChar w:fldCharType="begin"/>
      </w:r>
      <w:r>
        <w:instrText xml:space="preserve"> HYPERLINK \l "_Toc216513829" </w:instrText>
      </w:r>
      <w:r>
        <w:rPr/>
        <w:fldChar w:fldCharType="separate"/>
      </w:r>
      <w:r>
        <w:rPr>
          <w:rStyle w:val="style85"/>
          <w:rFonts w:ascii="Times New Roman" w:cs="Times New Roman" w:hAnsi="Times New Roman"/>
          <w:noProof/>
          <w:sz w:val="24"/>
          <w:szCs w:val="24"/>
        </w:rPr>
        <w:t>4.7</w:t>
      </w:r>
      <w:r>
        <w:rPr>
          <w:rFonts w:ascii="Times New Roman" w:cs="Times New Roman" w:eastAsia="宋体" w:hAnsi="Times New Roman"/>
          <w:noProof/>
          <w:sz w:val="24"/>
          <w:szCs w:val="24"/>
        </w:rPr>
        <w:t xml:space="preserve"> </w:t>
      </w:r>
      <w:r>
        <w:rPr>
          <w:rStyle w:val="style85"/>
          <w:rFonts w:ascii="Times New Roman" w:cs="Times New Roman" w:hAnsi="Times New Roman"/>
          <w:noProof/>
          <w:sz w:val="24"/>
          <w:szCs w:val="24"/>
        </w:rPr>
        <w:t>Policy Implementation and Learners’ Absenteeism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_Toc216513829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65</w:t>
      </w:r>
      <w:r>
        <w:rPr>
          <w:rFonts w:ascii="Times New Roman" w:cs="Times New Roman" w:hAnsi="Times New Roman"/>
          <w:noProof/>
          <w:webHidden/>
          <w:sz w:val="24"/>
          <w:szCs w:val="24"/>
        </w:rPr>
        <w:fldChar w:fldCharType="end"/>
      </w:r>
      <w:r>
        <w:rPr/>
        <w:fldChar w:fldCharType="end"/>
      </w:r>
    </w:p>
    <w:p>
      <w:pPr>
        <w:pStyle w:val="style19"/>
        <w:tabs>
          <w:tab w:val="left" w:leader="none" w:pos="660"/>
          <w:tab w:val="right" w:leader="dot" w:pos="9962"/>
        </w:tabs>
        <w:rPr>
          <w:rFonts w:ascii="Times New Roman" w:cs="Times New Roman" w:eastAsia="宋体" w:hAnsi="Times New Roman"/>
          <w:noProof/>
          <w:sz w:val="24"/>
          <w:szCs w:val="24"/>
        </w:rPr>
      </w:pPr>
      <w:r>
        <w:rPr/>
        <w:fldChar w:fldCharType="begin"/>
      </w:r>
      <w:r>
        <w:instrText xml:space="preserve"> HYPERLINK \l "_Toc216513830" </w:instrText>
      </w:r>
      <w:r>
        <w:rPr/>
        <w:fldChar w:fldCharType="separate"/>
      </w:r>
      <w:r>
        <w:rPr>
          <w:rStyle w:val="style85"/>
          <w:rFonts w:ascii="Times New Roman" w:cs="Times New Roman" w:hAnsi="Times New Roman"/>
          <w:noProof/>
          <w:sz w:val="24"/>
          <w:szCs w:val="24"/>
        </w:rPr>
        <w:t>4.8</w:t>
      </w:r>
      <w:r>
        <w:rPr>
          <w:rFonts w:ascii="Times New Roman" w:cs="Times New Roman" w:eastAsia="宋体" w:hAnsi="Times New Roman"/>
          <w:noProof/>
          <w:sz w:val="24"/>
          <w:szCs w:val="24"/>
        </w:rPr>
        <w:t xml:space="preserve"> </w:t>
      </w:r>
      <w:r>
        <w:rPr>
          <w:rStyle w:val="style85"/>
          <w:rFonts w:ascii="Times New Roman" w:cs="Times New Roman" w:hAnsi="Times New Roman"/>
          <w:noProof/>
          <w:sz w:val="24"/>
          <w:szCs w:val="24"/>
        </w:rPr>
        <w:t>Learners’ Absenteeism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_Toc216513830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71</w:t>
      </w:r>
      <w:r>
        <w:rPr>
          <w:rFonts w:ascii="Times New Roman" w:cs="Times New Roman" w:hAnsi="Times New Roman"/>
          <w:noProof/>
          <w:webHidden/>
          <w:sz w:val="24"/>
          <w:szCs w:val="24"/>
        </w:rPr>
        <w:fldChar w:fldCharType="end"/>
      </w:r>
      <w:r>
        <w:rPr/>
        <w:fldChar w:fldCharType="end"/>
      </w:r>
    </w:p>
    <w:p>
      <w:pPr>
        <w:pStyle w:val="style19"/>
        <w:tabs>
          <w:tab w:val="left" w:leader="none" w:pos="660"/>
          <w:tab w:val="right" w:leader="dot" w:pos="9962"/>
        </w:tabs>
        <w:rPr>
          <w:rFonts w:ascii="Times New Roman" w:cs="Times New Roman" w:eastAsia="宋体" w:hAnsi="Times New Roman"/>
          <w:noProof/>
          <w:sz w:val="24"/>
          <w:szCs w:val="24"/>
        </w:rPr>
      </w:pPr>
      <w:r>
        <w:rPr/>
        <w:fldChar w:fldCharType="begin"/>
      </w:r>
      <w:r>
        <w:instrText xml:space="preserve"> HYPERLINK \l "_Toc216513831" </w:instrText>
      </w:r>
      <w:r>
        <w:rPr/>
        <w:fldChar w:fldCharType="separate"/>
      </w:r>
      <w:r>
        <w:rPr>
          <w:rStyle w:val="style85"/>
          <w:rFonts w:ascii="Times New Roman" w:cs="Times New Roman" w:hAnsi="Times New Roman"/>
          <w:noProof/>
          <w:sz w:val="24"/>
          <w:szCs w:val="24"/>
        </w:rPr>
        <w:t>4.9</w:t>
      </w:r>
      <w:r>
        <w:rPr>
          <w:rFonts w:ascii="Times New Roman" w:cs="Times New Roman" w:eastAsia="宋体" w:hAnsi="Times New Roman"/>
          <w:noProof/>
          <w:sz w:val="24"/>
          <w:szCs w:val="24"/>
        </w:rPr>
        <w:t xml:space="preserve"> </w:t>
      </w:r>
      <w:r>
        <w:rPr>
          <w:rStyle w:val="style85"/>
          <w:rFonts w:ascii="Times New Roman" w:cs="Times New Roman" w:hAnsi="Times New Roman"/>
          <w:noProof/>
          <w:sz w:val="24"/>
          <w:szCs w:val="24"/>
        </w:rPr>
        <w:t>Reliability Results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_Toc216513831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80</w:t>
      </w:r>
      <w:r>
        <w:rPr>
          <w:rFonts w:ascii="Times New Roman" w:cs="Times New Roman" w:hAnsi="Times New Roman"/>
          <w:noProof/>
          <w:webHidden/>
          <w:sz w:val="24"/>
          <w:szCs w:val="24"/>
        </w:rPr>
        <w:fldChar w:fldCharType="end"/>
      </w:r>
      <w:r>
        <w:rPr/>
        <w:fldChar w:fldCharType="end"/>
      </w:r>
    </w:p>
    <w:p>
      <w:pPr>
        <w:pStyle w:val="style19"/>
        <w:tabs>
          <w:tab w:val="left" w:leader="none" w:pos="660"/>
          <w:tab w:val="right" w:leader="dot" w:pos="9962"/>
        </w:tabs>
        <w:rPr>
          <w:rFonts w:ascii="Times New Roman" w:cs="Times New Roman" w:eastAsia="宋体" w:hAnsi="Times New Roman"/>
          <w:noProof/>
          <w:sz w:val="24"/>
          <w:szCs w:val="24"/>
        </w:rPr>
      </w:pPr>
      <w:r>
        <w:rPr/>
        <w:fldChar w:fldCharType="begin"/>
      </w:r>
      <w:r>
        <w:instrText xml:space="preserve"> HYPERLINK \l "_Toc216513832" </w:instrText>
      </w:r>
      <w:r>
        <w:rPr/>
        <w:fldChar w:fldCharType="separate"/>
      </w:r>
      <w:r>
        <w:rPr>
          <w:rStyle w:val="style85"/>
          <w:rFonts w:ascii="Times New Roman" w:cs="Times New Roman" w:hAnsi="Times New Roman"/>
          <w:noProof/>
          <w:sz w:val="24"/>
          <w:szCs w:val="24"/>
        </w:rPr>
        <w:t>4.10</w:t>
      </w:r>
      <w:r>
        <w:rPr>
          <w:rFonts w:ascii="Times New Roman" w:cs="Times New Roman" w:eastAsia="宋体" w:hAnsi="Times New Roman"/>
          <w:noProof/>
          <w:sz w:val="24"/>
          <w:szCs w:val="24"/>
        </w:rPr>
        <w:t xml:space="preserve"> </w:t>
      </w:r>
      <w:r>
        <w:rPr>
          <w:rStyle w:val="style85"/>
          <w:rFonts w:ascii="Times New Roman" w:cs="Times New Roman" w:hAnsi="Times New Roman"/>
          <w:noProof/>
          <w:sz w:val="24"/>
          <w:szCs w:val="24"/>
        </w:rPr>
        <w:t>Test of Hypotheses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_Toc216513832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82</w:t>
      </w:r>
      <w:r>
        <w:rPr>
          <w:rFonts w:ascii="Times New Roman" w:cs="Times New Roman" w:hAnsi="Times New Roman"/>
          <w:noProof/>
          <w:webHidden/>
          <w:sz w:val="24"/>
          <w:szCs w:val="24"/>
        </w:rPr>
        <w:fldChar w:fldCharType="end"/>
      </w:r>
      <w:r>
        <w:rPr/>
        <w:fldChar w:fldCharType="end"/>
      </w:r>
    </w:p>
    <w:p>
      <w:pPr>
        <w:pStyle w:val="style19"/>
        <w:tabs>
          <w:tab w:val="right" w:leader="dot" w:pos="9962"/>
        </w:tabs>
        <w:jc w:val="center"/>
        <w:rPr>
          <w:rFonts w:ascii="Times New Roman" w:cs="Times New Roman" w:eastAsia="宋体" w:hAnsi="Times New Roman"/>
          <w:b/>
          <w:noProof/>
          <w:sz w:val="24"/>
          <w:szCs w:val="24"/>
        </w:rPr>
      </w:pPr>
      <w:r>
        <w:rPr/>
        <w:fldChar w:fldCharType="begin"/>
      </w:r>
      <w:r>
        <w:instrText xml:space="preserve"> HYPERLINK \l "_Toc216513833" </w:instrText>
      </w:r>
      <w:r>
        <w:rPr/>
        <w:fldChar w:fldCharType="separate"/>
      </w:r>
      <w:r>
        <w:rPr>
          <w:rStyle w:val="style85"/>
          <w:rFonts w:ascii="Times New Roman" w:cs="Times New Roman" w:hAnsi="Times New Roman"/>
          <w:b/>
          <w:noProof/>
          <w:sz w:val="24"/>
          <w:szCs w:val="24"/>
        </w:rPr>
        <w:t>CHAPTER FIVE</w:t>
      </w:r>
      <w:r>
        <w:rPr/>
        <w:fldChar w:fldCharType="end"/>
      </w:r>
    </w:p>
    <w:p>
      <w:pPr>
        <w:pStyle w:val="style19"/>
        <w:tabs>
          <w:tab w:val="right" w:leader="dot" w:pos="9962"/>
        </w:tabs>
        <w:jc w:val="center"/>
        <w:rPr>
          <w:rFonts w:ascii="Times New Roman" w:cs="Times New Roman" w:eastAsia="宋体" w:hAnsi="Times New Roman"/>
          <w:b/>
          <w:noProof/>
          <w:sz w:val="24"/>
          <w:szCs w:val="24"/>
        </w:rPr>
      </w:pPr>
      <w:r>
        <w:rPr/>
        <w:fldChar w:fldCharType="begin"/>
      </w:r>
      <w:r>
        <w:instrText xml:space="preserve"> HYPERLINK \l "_Toc216513834" </w:instrText>
      </w:r>
      <w:r>
        <w:rPr/>
        <w:fldChar w:fldCharType="separate"/>
      </w:r>
      <w:r>
        <w:rPr>
          <w:rStyle w:val="style85"/>
          <w:rFonts w:ascii="Times New Roman" w:cs="Times New Roman" w:hAnsi="Times New Roman"/>
          <w:b/>
          <w:noProof/>
          <w:sz w:val="24"/>
          <w:szCs w:val="24"/>
        </w:rPr>
        <w:t>SUMMARY, CONCLUSIONS AND RECOMMENDATIONS</w:t>
      </w:r>
      <w:r>
        <w:rPr/>
        <w:fldChar w:fldCharType="end"/>
      </w:r>
    </w:p>
    <w:p>
      <w:pPr>
        <w:pStyle w:val="style19"/>
        <w:tabs>
          <w:tab w:val="left" w:leader="none" w:pos="660"/>
          <w:tab w:val="right" w:leader="dot" w:pos="9962"/>
        </w:tabs>
        <w:rPr>
          <w:rFonts w:ascii="Times New Roman" w:cs="Times New Roman" w:eastAsia="宋体" w:hAnsi="Times New Roman"/>
          <w:noProof/>
          <w:sz w:val="24"/>
          <w:szCs w:val="24"/>
        </w:rPr>
      </w:pPr>
      <w:r>
        <w:rPr/>
        <w:fldChar w:fldCharType="begin"/>
      </w:r>
      <w:r>
        <w:instrText xml:space="preserve"> HYPERLINK \l "_Toc216513835" </w:instrText>
      </w:r>
      <w:r>
        <w:rPr/>
        <w:fldChar w:fldCharType="separate"/>
      </w:r>
      <w:r>
        <w:rPr>
          <w:rStyle w:val="style85"/>
          <w:rFonts w:ascii="Times New Roman" w:cs="Times New Roman" w:hAnsi="Times New Roman"/>
          <w:noProof/>
          <w:sz w:val="24"/>
          <w:szCs w:val="24"/>
        </w:rPr>
        <w:t>5.1</w:t>
      </w:r>
      <w:r>
        <w:rPr>
          <w:rFonts w:ascii="Times New Roman" w:cs="Times New Roman" w:eastAsia="宋体" w:hAnsi="Times New Roman"/>
          <w:noProof/>
          <w:sz w:val="24"/>
          <w:szCs w:val="24"/>
        </w:rPr>
        <w:t xml:space="preserve"> </w:t>
      </w:r>
      <w:r>
        <w:rPr>
          <w:rStyle w:val="style85"/>
          <w:rFonts w:ascii="Times New Roman" w:cs="Times New Roman" w:hAnsi="Times New Roman"/>
          <w:noProof/>
          <w:sz w:val="24"/>
          <w:szCs w:val="24"/>
        </w:rPr>
        <w:t>Overview</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_Toc216513835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86</w:t>
      </w:r>
      <w:r>
        <w:rPr>
          <w:rFonts w:ascii="Times New Roman" w:cs="Times New Roman" w:hAnsi="Times New Roman"/>
          <w:noProof/>
          <w:webHidden/>
          <w:sz w:val="24"/>
          <w:szCs w:val="24"/>
        </w:rPr>
        <w:fldChar w:fldCharType="end"/>
      </w:r>
      <w:r>
        <w:rPr/>
        <w:fldChar w:fldCharType="end"/>
      </w:r>
    </w:p>
    <w:p>
      <w:pPr>
        <w:pStyle w:val="style19"/>
        <w:tabs>
          <w:tab w:val="left" w:leader="none" w:pos="660"/>
          <w:tab w:val="right" w:leader="dot" w:pos="9962"/>
        </w:tabs>
        <w:rPr>
          <w:rFonts w:ascii="Times New Roman" w:cs="Times New Roman" w:eastAsia="宋体" w:hAnsi="Times New Roman"/>
          <w:noProof/>
          <w:sz w:val="24"/>
          <w:szCs w:val="24"/>
        </w:rPr>
      </w:pPr>
      <w:r>
        <w:rPr/>
        <w:fldChar w:fldCharType="begin"/>
      </w:r>
      <w:r>
        <w:instrText xml:space="preserve"> HYPERLINK \l "_Toc216513836" </w:instrText>
      </w:r>
      <w:r>
        <w:rPr/>
        <w:fldChar w:fldCharType="separate"/>
      </w:r>
      <w:r>
        <w:rPr>
          <w:rStyle w:val="style85"/>
          <w:rFonts w:ascii="Times New Roman" w:cs="Times New Roman" w:hAnsi="Times New Roman"/>
          <w:noProof/>
          <w:sz w:val="24"/>
          <w:szCs w:val="24"/>
        </w:rPr>
        <w:t>5.2</w:t>
      </w:r>
      <w:r>
        <w:rPr>
          <w:rFonts w:ascii="Times New Roman" w:cs="Times New Roman" w:eastAsia="宋体" w:hAnsi="Times New Roman"/>
          <w:noProof/>
          <w:sz w:val="24"/>
          <w:szCs w:val="24"/>
        </w:rPr>
        <w:t xml:space="preserve"> </w:t>
      </w:r>
      <w:r>
        <w:rPr>
          <w:rStyle w:val="style85"/>
          <w:rFonts w:ascii="Times New Roman" w:cs="Times New Roman" w:hAnsi="Times New Roman"/>
          <w:noProof/>
          <w:sz w:val="24"/>
          <w:szCs w:val="24"/>
        </w:rPr>
        <w:t>Summary of the Study Findings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_Toc216513836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86</w:t>
      </w:r>
      <w:r>
        <w:rPr>
          <w:rFonts w:ascii="Times New Roman" w:cs="Times New Roman" w:hAnsi="Times New Roman"/>
          <w:noProof/>
          <w:webHidden/>
          <w:sz w:val="24"/>
          <w:szCs w:val="24"/>
        </w:rPr>
        <w:fldChar w:fldCharType="end"/>
      </w:r>
      <w:r>
        <w:rPr/>
        <w:fldChar w:fldCharType="end"/>
      </w:r>
    </w:p>
    <w:p>
      <w:pPr>
        <w:pStyle w:val="style19"/>
        <w:tabs>
          <w:tab w:val="left" w:leader="none" w:pos="660"/>
          <w:tab w:val="right" w:leader="dot" w:pos="9962"/>
        </w:tabs>
        <w:rPr>
          <w:rFonts w:ascii="Times New Roman" w:cs="Times New Roman" w:eastAsia="宋体" w:hAnsi="Times New Roman"/>
          <w:noProof/>
          <w:sz w:val="24"/>
          <w:szCs w:val="24"/>
        </w:rPr>
      </w:pPr>
      <w:r>
        <w:rPr/>
        <w:fldChar w:fldCharType="begin"/>
      </w:r>
      <w:r>
        <w:instrText xml:space="preserve"> HYPERLINK \l "_Toc216513837" </w:instrText>
      </w:r>
      <w:r>
        <w:rPr/>
        <w:fldChar w:fldCharType="separate"/>
      </w:r>
      <w:r>
        <w:rPr>
          <w:rStyle w:val="style85"/>
          <w:rFonts w:ascii="Times New Roman" w:cs="Times New Roman" w:hAnsi="Times New Roman"/>
          <w:noProof/>
          <w:sz w:val="24"/>
          <w:szCs w:val="24"/>
        </w:rPr>
        <w:t>5.3</w:t>
      </w:r>
      <w:r>
        <w:rPr>
          <w:rFonts w:ascii="Times New Roman" w:cs="Times New Roman" w:eastAsia="宋体" w:hAnsi="Times New Roman"/>
          <w:noProof/>
          <w:sz w:val="24"/>
          <w:szCs w:val="24"/>
        </w:rPr>
        <w:t xml:space="preserve"> </w:t>
      </w:r>
      <w:r>
        <w:rPr>
          <w:rStyle w:val="style85"/>
          <w:rFonts w:ascii="Times New Roman" w:cs="Times New Roman" w:hAnsi="Times New Roman"/>
          <w:noProof/>
          <w:sz w:val="24"/>
          <w:szCs w:val="24"/>
        </w:rPr>
        <w:t>Conclusions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_Toc216513837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91</w:t>
      </w:r>
      <w:r>
        <w:rPr>
          <w:rFonts w:ascii="Times New Roman" w:cs="Times New Roman" w:hAnsi="Times New Roman"/>
          <w:noProof/>
          <w:webHidden/>
          <w:sz w:val="24"/>
          <w:szCs w:val="24"/>
        </w:rPr>
        <w:fldChar w:fldCharType="end"/>
      </w:r>
      <w:r>
        <w:rPr/>
        <w:fldChar w:fldCharType="end"/>
      </w:r>
    </w:p>
    <w:p>
      <w:pPr>
        <w:pStyle w:val="style19"/>
        <w:tabs>
          <w:tab w:val="left" w:leader="none" w:pos="660"/>
          <w:tab w:val="right" w:leader="dot" w:pos="9962"/>
        </w:tabs>
        <w:rPr>
          <w:rFonts w:ascii="Times New Roman" w:cs="Times New Roman" w:eastAsia="宋体" w:hAnsi="Times New Roman"/>
          <w:noProof/>
          <w:sz w:val="24"/>
          <w:szCs w:val="24"/>
        </w:rPr>
      </w:pPr>
      <w:r>
        <w:rPr/>
        <w:fldChar w:fldCharType="begin"/>
      </w:r>
      <w:r>
        <w:instrText xml:space="preserve"> HYPERLINK \l "_Toc216513838" </w:instrText>
      </w:r>
      <w:r>
        <w:rPr/>
        <w:fldChar w:fldCharType="separate"/>
      </w:r>
      <w:r>
        <w:rPr>
          <w:rStyle w:val="style85"/>
          <w:rFonts w:ascii="Times New Roman" w:cs="Times New Roman" w:hAnsi="Times New Roman"/>
          <w:noProof/>
          <w:sz w:val="24"/>
          <w:szCs w:val="24"/>
        </w:rPr>
        <w:t>5.4</w:t>
      </w:r>
      <w:r>
        <w:rPr>
          <w:rFonts w:ascii="Times New Roman" w:cs="Times New Roman" w:eastAsia="宋体" w:hAnsi="Times New Roman"/>
          <w:noProof/>
          <w:sz w:val="24"/>
          <w:szCs w:val="24"/>
        </w:rPr>
        <w:t xml:space="preserve"> </w:t>
      </w:r>
      <w:r>
        <w:rPr>
          <w:rStyle w:val="style85"/>
          <w:rFonts w:ascii="Times New Roman" w:cs="Times New Roman" w:hAnsi="Times New Roman"/>
          <w:noProof/>
          <w:sz w:val="24"/>
          <w:szCs w:val="24"/>
        </w:rPr>
        <w:t>Recommendations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_Toc216513838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95</w:t>
      </w:r>
      <w:r>
        <w:rPr>
          <w:rFonts w:ascii="Times New Roman" w:cs="Times New Roman" w:hAnsi="Times New Roman"/>
          <w:noProof/>
          <w:webHidden/>
          <w:sz w:val="24"/>
          <w:szCs w:val="24"/>
        </w:rPr>
        <w:fldChar w:fldCharType="end"/>
      </w:r>
      <w:r>
        <w:rPr/>
        <w:fldChar w:fldCharType="end"/>
      </w:r>
    </w:p>
    <w:p>
      <w:pPr>
        <w:pStyle w:val="style19"/>
        <w:tabs>
          <w:tab w:val="left" w:leader="none" w:pos="660"/>
          <w:tab w:val="right" w:leader="dot" w:pos="9962"/>
        </w:tabs>
        <w:rPr>
          <w:rFonts w:ascii="Times New Roman" w:cs="Times New Roman" w:eastAsia="宋体" w:hAnsi="Times New Roman"/>
          <w:noProof/>
          <w:sz w:val="24"/>
          <w:szCs w:val="24"/>
        </w:rPr>
      </w:pPr>
      <w:r>
        <w:rPr/>
        <w:fldChar w:fldCharType="begin"/>
      </w:r>
      <w:r>
        <w:instrText xml:space="preserve"> HYPERLINK \l "_Toc216513839" </w:instrText>
      </w:r>
      <w:r>
        <w:rPr/>
        <w:fldChar w:fldCharType="separate"/>
      </w:r>
      <w:r>
        <w:rPr>
          <w:rStyle w:val="style85"/>
          <w:rFonts w:ascii="Times New Roman" w:cs="Times New Roman" w:hAnsi="Times New Roman"/>
          <w:noProof/>
          <w:sz w:val="24"/>
          <w:szCs w:val="24"/>
        </w:rPr>
        <w:t>5.5</w:t>
      </w:r>
      <w:r>
        <w:rPr>
          <w:rFonts w:ascii="Times New Roman" w:cs="Times New Roman" w:eastAsia="宋体" w:hAnsi="Times New Roman"/>
          <w:noProof/>
          <w:sz w:val="24"/>
          <w:szCs w:val="24"/>
        </w:rPr>
        <w:t xml:space="preserve"> </w:t>
      </w:r>
      <w:r>
        <w:rPr>
          <w:rStyle w:val="style85"/>
          <w:rFonts w:ascii="Times New Roman" w:cs="Times New Roman" w:hAnsi="Times New Roman"/>
          <w:noProof/>
          <w:sz w:val="24"/>
          <w:szCs w:val="24"/>
        </w:rPr>
        <w:t>Suggestions for Further Research</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_Toc216513839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96</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"_Toc216513840" </w:instrText>
      </w:r>
      <w:r>
        <w:rPr/>
        <w:fldChar w:fldCharType="separate"/>
      </w:r>
      <w:r>
        <w:rPr>
          <w:rStyle w:val="style85"/>
          <w:rFonts w:ascii="Times New Roman" w:cs="Times New Roman" w:hAnsi="Times New Roman"/>
          <w:noProof/>
          <w:sz w:val="24"/>
          <w:szCs w:val="24"/>
        </w:rPr>
        <w:t>REFERENCES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_Toc216513840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97</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"_Toc216513841" </w:instrText>
      </w:r>
      <w:r>
        <w:rPr/>
        <w:fldChar w:fldCharType="separate"/>
      </w:r>
      <w:r>
        <w:rPr>
          <w:rStyle w:val="style85"/>
          <w:rFonts w:ascii="Times New Roman" w:cs="Times New Roman" w:hAnsi="Times New Roman"/>
          <w:noProof/>
          <w:sz w:val="24"/>
          <w:szCs w:val="24"/>
        </w:rPr>
        <w:t>APPENDIX I: LETTER OF INTRODUCTION</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_Toc216513841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106</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"_Toc216513842" </w:instrText>
      </w:r>
      <w:r>
        <w:rPr/>
        <w:fldChar w:fldCharType="separate"/>
      </w:r>
      <w:r>
        <w:rPr>
          <w:rStyle w:val="style85"/>
          <w:rFonts w:ascii="Times New Roman" w:cs="Times New Roman" w:hAnsi="Times New Roman"/>
          <w:noProof/>
          <w:sz w:val="24"/>
          <w:szCs w:val="24"/>
        </w:rPr>
        <w:t>APPENDIX II: QUESTIONNAIRES FOR TEACHERS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_Toc216513842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107</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"_Toc216513843" </w:instrText>
      </w:r>
      <w:r>
        <w:rPr/>
        <w:fldChar w:fldCharType="separate"/>
      </w:r>
      <w:r>
        <w:rPr>
          <w:rStyle w:val="style85"/>
          <w:rFonts w:ascii="Times New Roman" w:cs="Times New Roman" w:hAnsi="Times New Roman"/>
          <w:noProof/>
          <w:sz w:val="24"/>
          <w:szCs w:val="24"/>
        </w:rPr>
        <w:t>APPENDIX</w:t>
      </w:r>
      <w:r>
        <w:rPr>
          <w:rStyle w:val="style85"/>
          <w:rFonts w:ascii="Times New Roman" w:cs="Times New Roman" w:eastAsia="TimesNewRoman" w:hAnsi="Times New Roman"/>
          <w:noProof/>
          <w:sz w:val="24"/>
          <w:szCs w:val="24"/>
        </w:rPr>
        <w:t xml:space="preserve"> IV</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_Toc216513843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112</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"_Toc216513844" </w:instrText>
      </w:r>
      <w:r>
        <w:rPr/>
        <w:fldChar w:fldCharType="separate"/>
      </w:r>
      <w:r>
        <w:rPr>
          <w:rStyle w:val="style85"/>
          <w:rFonts w:ascii="Times New Roman" w:cs="Times New Roman" w:hAnsi="Times New Roman"/>
          <w:noProof/>
          <w:sz w:val="24"/>
          <w:szCs w:val="24"/>
        </w:rPr>
        <w:t>CONSENT FORM</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_Toc216513844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112</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"_Toc216513845" </w:instrText>
      </w:r>
      <w:r>
        <w:rPr/>
        <w:fldChar w:fldCharType="separate"/>
      </w:r>
      <w:r>
        <w:rPr>
          <w:rStyle w:val="style85"/>
          <w:rFonts w:ascii="Times New Roman" w:cs="Times New Roman" w:hAnsi="Times New Roman"/>
          <w:noProof/>
          <w:sz w:val="24"/>
          <w:szCs w:val="24"/>
        </w:rPr>
        <w:t>APPENDIX V: TIME SHEDULE</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_Toc216513845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113</w:t>
      </w:r>
      <w:r>
        <w:rPr>
          <w:rFonts w:ascii="Times New Roman" w:cs="Times New Roman" w:hAnsi="Times New Roman"/>
          <w:noProof/>
          <w:webHidden/>
          <w:sz w:val="24"/>
          <w:szCs w:val="24"/>
        </w:rPr>
        <w:fldChar w:fldCharType="end"/>
      </w:r>
      <w:r>
        <w:rPr/>
        <w:fldChar w:fldCharType="end"/>
      </w:r>
    </w:p>
    <w:p>
      <w:pPr>
        <w:pStyle w:val="style19"/>
        <w:tabs>
          <w:tab w:val="right" w:leader="dot" w:pos="9962"/>
        </w:tabs>
        <w:rPr>
          <w:rFonts w:ascii="Times New Roman" w:cs="Times New Roman" w:eastAsia="宋体" w:hAnsi="Times New Roman"/>
          <w:noProof/>
          <w:sz w:val="24"/>
          <w:szCs w:val="24"/>
        </w:rPr>
      </w:pPr>
      <w:r>
        <w:rPr/>
        <w:fldChar w:fldCharType="begin"/>
      </w:r>
      <w:r>
        <w:instrText xml:space="preserve"> HYPERLINK \l "_Toc216513846" </w:instrText>
      </w:r>
      <w:r>
        <w:rPr/>
        <w:fldChar w:fldCharType="separate"/>
      </w:r>
      <w:r>
        <w:rPr>
          <w:rStyle w:val="style85"/>
          <w:rFonts w:ascii="Times New Roman" w:cs="Times New Roman" w:eastAsia="Times New Roman" w:hAnsi="Times New Roman"/>
          <w:noProof/>
          <w:sz w:val="24"/>
          <w:szCs w:val="24"/>
        </w:rPr>
        <w:t>APPENDIX VI: PROPOSAL BUDGET</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_Toc216513846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114</w:t>
      </w:r>
      <w:r>
        <w:rPr>
          <w:rFonts w:ascii="Times New Roman" w:cs="Times New Roman" w:hAnsi="Times New Roman"/>
          <w:noProof/>
          <w:webHidden/>
          <w:sz w:val="24"/>
          <w:szCs w:val="24"/>
        </w:rPr>
        <w:fldChar w:fldCharType="end"/>
      </w:r>
      <w:r>
        <w:rPr/>
        <w:fldChar w:fldCharType="end"/>
      </w:r>
    </w:p>
    <w:p>
      <w:pPr>
        <w:pStyle w:val="style0"/>
        <w:spacing w:lineRule="auto" w:line="360"/>
        <w:jc w:val="both"/>
        <w:rPr>
          <w:rFonts w:ascii="Times New Roman" w:cs="Times New Roman" w:hAnsi="Times New Roman"/>
          <w:b/>
          <w:bCs/>
          <w:noProof/>
          <w:color w:val="000000"/>
          <w:sz w:val="24"/>
          <w:szCs w:val="24"/>
        </w:rPr>
      </w:pPr>
      <w:r>
        <w:rPr>
          <w:rFonts w:ascii="Times New Roman" w:cs="Times New Roman" w:hAnsi="Times New Roman"/>
          <w:b/>
          <w:bCs/>
          <w:noProof/>
          <w:color w:val="000000"/>
          <w:sz w:val="24"/>
          <w:szCs w:val="24"/>
        </w:rPr>
        <w:fldChar w:fldCharType="end"/>
      </w:r>
    </w:p>
    <w:p>
      <w:pPr>
        <w:pStyle w:val="style0"/>
        <w:spacing w:after="200" w:lineRule="auto" w:line="360"/>
        <w:rPr>
          <w:rFonts w:ascii="Times New Roman" w:cs="Times New Roman" w:hAnsi="Times New Roman"/>
          <w:b/>
          <w:bCs/>
          <w:noProof/>
          <w:color w:val="000000"/>
          <w:sz w:val="24"/>
          <w:szCs w:val="24"/>
        </w:rPr>
      </w:pPr>
      <w:r>
        <w:rPr>
          <w:rFonts w:ascii="Times New Roman" w:cs="Times New Roman" w:hAnsi="Times New Roman"/>
          <w:b/>
          <w:bCs/>
          <w:noProof/>
          <w:color w:val="000000"/>
          <w:sz w:val="24"/>
          <w:szCs w:val="24"/>
        </w:rPr>
        <w:br w:type="page"/>
      </w:r>
    </w:p>
    <w:bookmarkStart w:id="6" w:name="_Toc216513762"/>
    <w:bookmarkStart w:id="7" w:name="_Toc188281856"/>
    <w:p>
      <w:pPr>
        <w:pStyle w:val="style1"/>
        <w:spacing w:before="240"/>
        <w:rPr>
          <w:color w:val="000000"/>
        </w:rPr>
      </w:pPr>
      <w:r>
        <w:rPr>
          <w:color w:val="000000"/>
        </w:rPr>
        <w:t>LIST OF FIGURES</w:t>
      </w:r>
      <w:bookmarkEnd w:id="6"/>
    </w:p>
    <w:p>
      <w:pPr>
        <w:pStyle w:val="style35"/>
        <w:tabs>
          <w:tab w:val="right" w:leader="dot" w:pos="9962"/>
        </w:tabs>
        <w:spacing w:lineRule="auto" w:line="360"/>
        <w:jc w:val="both"/>
        <w:rPr>
          <w:rFonts w:ascii="Times New Roman" w:cs="Times New Roman" w:eastAsia="宋体" w:hAnsi="Times New Roman"/>
          <w:noProof/>
          <w:color w:val="000000"/>
          <w:sz w:val="24"/>
          <w:szCs w:val="24"/>
        </w:rPr>
      </w:pPr>
      <w:r>
        <w:rPr>
          <w:color w:val="000000"/>
        </w:rPr>
        <w:fldChar w:fldCharType="begin"/>
      </w:r>
      <w:r>
        <w:rPr>
          <w:color w:val="000000"/>
        </w:rPr>
        <w:instrText xml:space="preserve"> TOC \h \z \t "FOG" \c </w:instrText>
      </w:r>
      <w:r>
        <w:rPr>
          <w:color w:val="000000"/>
        </w:rPr>
        <w:fldChar w:fldCharType="separate"/>
      </w:r>
      <w:r>
        <w:rPr/>
        <w:fldChar w:fldCharType="begin"/>
      </w:r>
      <w:r>
        <w:instrText xml:space="preserve"> HYPERLINK \l "_Toc216423853" </w:instrText>
      </w:r>
      <w:r>
        <w:rPr/>
        <w:fldChar w:fldCharType="separate"/>
      </w:r>
      <w:r>
        <w:rPr>
          <w:rStyle w:val="style85"/>
          <w:rFonts w:ascii="Times New Roman" w:cs="Times New Roman" w:hAnsi="Times New Roman"/>
          <w:noProof/>
          <w:color w:val="000000"/>
          <w:sz w:val="24"/>
          <w:szCs w:val="24"/>
        </w:rPr>
        <w:t>Figure 1</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_Toc216423853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8</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962"/>
        </w:tabs>
        <w:spacing w:lineRule="auto" w:line="360"/>
        <w:jc w:val="both"/>
        <w:rPr>
          <w:rFonts w:ascii="Times New Roman" w:cs="Times New Roman" w:eastAsia="宋体" w:hAnsi="Times New Roman"/>
          <w:noProof/>
          <w:color w:val="000000"/>
          <w:sz w:val="24"/>
          <w:szCs w:val="24"/>
        </w:rPr>
      </w:pPr>
      <w:r>
        <w:rPr/>
        <w:fldChar w:fldCharType="begin"/>
      </w:r>
      <w:r>
        <w:instrText xml:space="preserve"> HYPERLINK \l "_Toc216423854" </w:instrText>
      </w:r>
      <w:r>
        <w:rPr/>
        <w:fldChar w:fldCharType="separate"/>
      </w:r>
      <w:r>
        <w:rPr>
          <w:rStyle w:val="style85"/>
          <w:rFonts w:ascii="Times New Roman" w:cs="Times New Roman" w:hAnsi="Times New Roman"/>
          <w:noProof/>
          <w:color w:val="000000"/>
          <w:sz w:val="24"/>
          <w:szCs w:val="24"/>
        </w:rPr>
        <w:t>Conceptual Framework</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_Toc216423854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8</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962"/>
        </w:tabs>
        <w:spacing w:lineRule="auto" w:line="360"/>
        <w:jc w:val="both"/>
        <w:rPr>
          <w:rFonts w:ascii="Times New Roman" w:cs="Times New Roman" w:eastAsia="宋体" w:hAnsi="Times New Roman"/>
          <w:noProof/>
          <w:color w:val="000000"/>
          <w:sz w:val="24"/>
          <w:szCs w:val="24"/>
        </w:rPr>
      </w:pPr>
      <w:r>
        <w:rPr/>
        <w:fldChar w:fldCharType="begin"/>
      </w:r>
      <w:r>
        <w:instrText xml:space="preserve"> HYPERLINK \l "_Toc216423855" </w:instrText>
      </w:r>
      <w:r>
        <w:rPr/>
        <w:fldChar w:fldCharType="separate"/>
      </w:r>
      <w:r>
        <w:rPr>
          <w:rStyle w:val="style85"/>
          <w:rFonts w:ascii="Times New Roman" w:cs="Times New Roman" w:hAnsi="Times New Roman"/>
          <w:noProof/>
          <w:color w:val="000000"/>
          <w:sz w:val="24"/>
          <w:szCs w:val="24"/>
        </w:rPr>
        <w:t>Figure 2</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_Toc216423855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32</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962"/>
        </w:tabs>
        <w:spacing w:lineRule="auto" w:line="360"/>
        <w:jc w:val="both"/>
        <w:rPr>
          <w:rFonts w:ascii="Times New Roman" w:cs="Times New Roman" w:eastAsia="宋体" w:hAnsi="Times New Roman"/>
          <w:noProof/>
          <w:color w:val="000000"/>
          <w:sz w:val="24"/>
          <w:szCs w:val="24"/>
        </w:rPr>
      </w:pPr>
      <w:r>
        <w:rPr/>
        <w:fldChar w:fldCharType="begin"/>
      </w:r>
      <w:r>
        <w:instrText xml:space="preserve"> HYPERLINK \l "_Toc216423856" </w:instrText>
      </w:r>
      <w:r>
        <w:rPr/>
        <w:fldChar w:fldCharType="separate"/>
      </w:r>
      <w:r>
        <w:rPr>
          <w:rStyle w:val="style85"/>
          <w:rFonts w:ascii="Times New Roman" w:cs="Times New Roman" w:hAnsi="Times New Roman"/>
          <w:noProof/>
          <w:color w:val="000000"/>
          <w:sz w:val="24"/>
          <w:szCs w:val="24"/>
        </w:rPr>
        <w:t>Location of the Study</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_Toc216423856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32</w:t>
      </w:r>
      <w:r>
        <w:rPr>
          <w:rFonts w:ascii="Times New Roman" w:cs="Times New Roman" w:hAnsi="Times New Roman"/>
          <w:noProof/>
          <w:webHidden/>
          <w:color w:val="000000"/>
          <w:sz w:val="24"/>
          <w:szCs w:val="24"/>
        </w:rPr>
        <w:fldChar w:fldCharType="end"/>
      </w:r>
      <w:r>
        <w:rPr/>
        <w:fldChar w:fldCharType="end"/>
      </w:r>
    </w:p>
    <w:p>
      <w:pPr>
        <w:pStyle w:val="style0"/>
        <w:spacing w:after="200" w:lineRule="auto" w:line="360"/>
        <w:rPr>
          <w:color w:val="000000"/>
        </w:rPr>
      </w:pPr>
      <w:r>
        <w:rPr>
          <w:color w:val="000000"/>
        </w:rPr>
        <w:fldChar w:fldCharType="end"/>
      </w:r>
      <w:r>
        <w:rPr>
          <w:color w:val="000000"/>
        </w:rPr>
        <w:br w:type="page"/>
      </w:r>
    </w:p>
    <w:bookmarkStart w:id="8" w:name="_Toc216513763"/>
    <w:p>
      <w:pPr>
        <w:pStyle w:val="style1"/>
        <w:spacing w:lineRule="auto" w:line="360"/>
        <w:rPr>
          <w:color w:val="000000"/>
        </w:rPr>
      </w:pPr>
      <w:r>
        <w:rPr>
          <w:color w:val="000000"/>
        </w:rPr>
        <w:t>LIST OF TABLES</w:t>
      </w:r>
      <w:bookmarkEnd w:id="8"/>
    </w:p>
    <w:p>
      <w:pPr>
        <w:pStyle w:val="style35"/>
        <w:tabs>
          <w:tab w:val="right" w:leader="dot" w:pos="9350"/>
        </w:tabs>
        <w:rPr>
          <w:rFonts w:ascii="Times New Roman" w:cs="Times New Roman" w:eastAsia="宋体" w:hAnsi="Times New Roman"/>
          <w:noProof/>
          <w:color w:val="000000"/>
          <w:sz w:val="24"/>
          <w:szCs w:val="24"/>
        </w:rPr>
      </w:pPr>
      <w:r>
        <w:rPr>
          <w:rFonts w:ascii="Times New Roman" w:cs="Times New Roman" w:hAnsi="Times New Roman"/>
          <w:color w:val="000000"/>
          <w:sz w:val="24"/>
          <w:szCs w:val="24"/>
        </w:rPr>
        <w:fldChar w:fldCharType="begin"/>
      </w:r>
      <w:r>
        <w:rPr>
          <w:rFonts w:ascii="Times New Roman" w:cs="Times New Roman" w:hAnsi="Times New Roman"/>
          <w:color w:val="000000"/>
          <w:sz w:val="24"/>
          <w:szCs w:val="24"/>
        </w:rPr>
        <w:instrText xml:space="preserve"> TOC \h \z \t "TOT" \c </w:instrText>
      </w:r>
      <w:r>
        <w:rPr>
          <w:rFonts w:ascii="Times New Roman" w:cs="Times New Roman" w:hAnsi="Times New Roman"/>
          <w:color w:val="000000"/>
          <w:sz w:val="24"/>
          <w:szCs w:val="24"/>
        </w:rPr>
        <w:fldChar w:fldCharType="separate"/>
      </w:r>
      <w:r>
        <w:rPr/>
        <w:fldChar w:fldCharType="begin"/>
      </w:r>
      <w:r>
        <w:instrText xml:space="preserve"> HYPERLINK \l "_Toc216299129" </w:instrText>
      </w:r>
      <w:r>
        <w:rPr/>
        <w:fldChar w:fldCharType="separate"/>
      </w:r>
      <w:r>
        <w:rPr>
          <w:rStyle w:val="style85"/>
          <w:rFonts w:ascii="Times New Roman" w:cs="Times New Roman" w:hAnsi="Times New Roman"/>
          <w:b/>
          <w:noProof/>
          <w:color w:val="000000"/>
          <w:sz w:val="24"/>
          <w:szCs w:val="24"/>
        </w:rPr>
        <w:t>Table 1</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_Toc216299129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34</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350"/>
        </w:tabs>
        <w:rPr>
          <w:rFonts w:ascii="Times New Roman" w:cs="Times New Roman" w:eastAsia="宋体" w:hAnsi="Times New Roman"/>
          <w:noProof/>
          <w:color w:val="000000"/>
          <w:sz w:val="24"/>
          <w:szCs w:val="24"/>
        </w:rPr>
      </w:pPr>
      <w:r>
        <w:rPr/>
        <w:fldChar w:fldCharType="begin"/>
      </w:r>
      <w:r>
        <w:instrText xml:space="preserve"> HYPERLINK \l "_Toc216299130" </w:instrText>
      </w:r>
      <w:r>
        <w:rPr/>
        <w:fldChar w:fldCharType="separate"/>
      </w:r>
      <w:r>
        <w:rPr>
          <w:rStyle w:val="style85"/>
          <w:rFonts w:ascii="Times New Roman" w:cs="Times New Roman" w:hAnsi="Times New Roman"/>
          <w:noProof/>
          <w:color w:val="000000"/>
          <w:sz w:val="24"/>
          <w:szCs w:val="24"/>
        </w:rPr>
        <w:t>Sample Size</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_Toc216299130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34</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350"/>
        </w:tabs>
        <w:rPr>
          <w:rFonts w:ascii="Times New Roman" w:cs="Times New Roman" w:eastAsia="宋体" w:hAnsi="Times New Roman"/>
          <w:noProof/>
          <w:color w:val="000000"/>
          <w:sz w:val="24"/>
          <w:szCs w:val="24"/>
        </w:rPr>
      </w:pPr>
      <w:r>
        <w:rPr/>
        <w:fldChar w:fldCharType="begin"/>
      </w:r>
      <w:r>
        <w:instrText xml:space="preserve"> HYPERLINK \l "_Toc216299131" </w:instrText>
      </w:r>
      <w:r>
        <w:rPr/>
        <w:fldChar w:fldCharType="separate"/>
      </w:r>
      <w:r>
        <w:rPr>
          <w:rStyle w:val="style85"/>
          <w:rFonts w:ascii="Times New Roman" w:cs="Times New Roman" w:hAnsi="Times New Roman"/>
          <w:b/>
          <w:noProof/>
          <w:color w:val="000000"/>
          <w:sz w:val="24"/>
          <w:szCs w:val="24"/>
        </w:rPr>
        <w:t>Table 2:</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_Toc216299131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36</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350"/>
        </w:tabs>
        <w:rPr>
          <w:rFonts w:ascii="Times New Roman" w:cs="Times New Roman" w:eastAsia="宋体" w:hAnsi="Times New Roman"/>
          <w:noProof/>
          <w:color w:val="000000"/>
          <w:sz w:val="24"/>
          <w:szCs w:val="24"/>
        </w:rPr>
      </w:pPr>
      <w:r>
        <w:rPr/>
        <w:fldChar w:fldCharType="begin"/>
      </w:r>
      <w:r>
        <w:instrText xml:space="preserve"> HYPERLINK \l "_Toc216299132" </w:instrText>
      </w:r>
      <w:r>
        <w:rPr/>
        <w:fldChar w:fldCharType="separate"/>
      </w:r>
      <w:r>
        <w:rPr>
          <w:rStyle w:val="style85"/>
          <w:rFonts w:ascii="Times New Roman" w:cs="Times New Roman" w:hAnsi="Times New Roman"/>
          <w:noProof/>
          <w:color w:val="000000"/>
          <w:sz w:val="24"/>
          <w:szCs w:val="24"/>
        </w:rPr>
        <w:t>Operational Definition of Research Variables</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_Toc216299132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36</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350"/>
        </w:tabs>
        <w:rPr>
          <w:rFonts w:ascii="Times New Roman" w:cs="Times New Roman" w:eastAsia="宋体" w:hAnsi="Times New Roman"/>
          <w:noProof/>
          <w:color w:val="000000"/>
          <w:sz w:val="24"/>
          <w:szCs w:val="24"/>
        </w:rPr>
      </w:pPr>
      <w:r>
        <w:rPr/>
        <w:fldChar w:fldCharType="begin"/>
      </w:r>
      <w:r>
        <w:instrText xml:space="preserve"> HYPERLINK \l "_Toc216299133" </w:instrText>
      </w:r>
      <w:r>
        <w:rPr/>
        <w:fldChar w:fldCharType="separate"/>
      </w:r>
      <w:r>
        <w:rPr>
          <w:rStyle w:val="style85"/>
          <w:rFonts w:ascii="Times New Roman" w:cs="Times New Roman" w:hAnsi="Times New Roman"/>
          <w:b/>
          <w:noProof/>
          <w:color w:val="000000"/>
          <w:sz w:val="24"/>
          <w:szCs w:val="24"/>
        </w:rPr>
        <w:t>Table 3</w:t>
      </w:r>
      <w:r>
        <w:rPr>
          <w:rStyle w:val="style85"/>
          <w:rFonts w:ascii="Times New Roman" w:cs="Times New Roman" w:hAnsi="Times New Roman"/>
          <w:noProof/>
          <w:color w:val="000000"/>
          <w:sz w:val="24"/>
          <w:szCs w:val="24"/>
        </w:rPr>
        <w:t>:</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_Toc216299133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39</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350"/>
        </w:tabs>
        <w:rPr>
          <w:rFonts w:ascii="Times New Roman" w:cs="Times New Roman" w:eastAsia="宋体" w:hAnsi="Times New Roman"/>
          <w:noProof/>
          <w:color w:val="000000"/>
          <w:sz w:val="24"/>
          <w:szCs w:val="24"/>
        </w:rPr>
      </w:pPr>
      <w:r>
        <w:rPr/>
        <w:fldChar w:fldCharType="begin"/>
      </w:r>
      <w:r>
        <w:instrText xml:space="preserve"> HYPERLINK \l "_Toc216299134" </w:instrText>
      </w:r>
      <w:r>
        <w:rPr/>
        <w:fldChar w:fldCharType="separate"/>
      </w:r>
      <w:r>
        <w:rPr>
          <w:rStyle w:val="style85"/>
          <w:rFonts w:ascii="Times New Roman" w:cs="Times New Roman" w:hAnsi="Times New Roman"/>
          <w:noProof/>
          <w:color w:val="000000"/>
          <w:sz w:val="24"/>
          <w:szCs w:val="24"/>
        </w:rPr>
        <w:t>Response Rate</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_Toc216299134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39</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350"/>
        </w:tabs>
        <w:rPr>
          <w:rFonts w:ascii="Times New Roman" w:cs="Times New Roman" w:eastAsia="宋体" w:hAnsi="Times New Roman"/>
          <w:noProof/>
          <w:color w:val="000000"/>
          <w:sz w:val="24"/>
          <w:szCs w:val="24"/>
        </w:rPr>
      </w:pPr>
      <w:r>
        <w:rPr/>
        <w:fldChar w:fldCharType="begin"/>
      </w:r>
      <w:r>
        <w:instrText xml:space="preserve"> HYPERLINK \l "_Toc216299135" </w:instrText>
      </w:r>
      <w:r>
        <w:rPr/>
        <w:fldChar w:fldCharType="separate"/>
      </w:r>
      <w:r>
        <w:rPr>
          <w:rStyle w:val="style85"/>
          <w:rFonts w:ascii="Times New Roman" w:cs="Times New Roman" w:hAnsi="Times New Roman"/>
          <w:b/>
          <w:noProof/>
          <w:color w:val="000000"/>
          <w:sz w:val="24"/>
          <w:szCs w:val="24"/>
        </w:rPr>
        <w:t>Table 4</w:t>
      </w:r>
      <w:r>
        <w:rPr>
          <w:rStyle w:val="style85"/>
          <w:rFonts w:ascii="Times New Roman" w:cs="Times New Roman" w:hAnsi="Times New Roman"/>
          <w:noProof/>
          <w:color w:val="000000"/>
          <w:sz w:val="24"/>
          <w:szCs w:val="24"/>
        </w:rPr>
        <w:t>:</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_Toc216299135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41</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350"/>
        </w:tabs>
        <w:rPr>
          <w:rFonts w:ascii="Times New Roman" w:cs="Times New Roman" w:eastAsia="宋体" w:hAnsi="Times New Roman"/>
          <w:noProof/>
          <w:color w:val="000000"/>
          <w:sz w:val="24"/>
          <w:szCs w:val="24"/>
        </w:rPr>
      </w:pPr>
      <w:r>
        <w:rPr/>
        <w:fldChar w:fldCharType="begin"/>
      </w:r>
      <w:r>
        <w:instrText xml:space="preserve"> HYPERLINK \l "_Toc216299136" </w:instrText>
      </w:r>
      <w:r>
        <w:rPr/>
        <w:fldChar w:fldCharType="separate"/>
      </w:r>
      <w:r>
        <w:rPr>
          <w:rStyle w:val="style85"/>
          <w:rFonts w:ascii="Times New Roman" w:cs="Times New Roman" w:hAnsi="Times New Roman"/>
          <w:noProof/>
          <w:color w:val="000000"/>
          <w:sz w:val="24"/>
          <w:szCs w:val="24"/>
        </w:rPr>
        <w:t>Gender of Teachers</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_Toc216299136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41</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350"/>
        </w:tabs>
        <w:rPr>
          <w:rFonts w:ascii="Times New Roman" w:cs="Times New Roman" w:eastAsia="宋体" w:hAnsi="Times New Roman"/>
          <w:noProof/>
          <w:color w:val="000000"/>
          <w:sz w:val="24"/>
          <w:szCs w:val="24"/>
        </w:rPr>
      </w:pPr>
      <w:r>
        <w:rPr/>
        <w:fldChar w:fldCharType="begin"/>
      </w:r>
      <w:r>
        <w:instrText xml:space="preserve"> HYPERLINK \l "_Toc216299137" </w:instrText>
      </w:r>
      <w:r>
        <w:rPr/>
        <w:fldChar w:fldCharType="separate"/>
      </w:r>
      <w:r>
        <w:rPr>
          <w:rStyle w:val="style85"/>
          <w:rFonts w:ascii="Times New Roman" w:cs="Times New Roman" w:hAnsi="Times New Roman"/>
          <w:b/>
          <w:noProof/>
          <w:color w:val="000000"/>
          <w:sz w:val="24"/>
          <w:szCs w:val="24"/>
        </w:rPr>
        <w:t>Table 5</w:t>
      </w:r>
      <w:r>
        <w:rPr>
          <w:rStyle w:val="style85"/>
          <w:rFonts w:ascii="Times New Roman" w:cs="Times New Roman" w:hAnsi="Times New Roman"/>
          <w:noProof/>
          <w:color w:val="000000"/>
          <w:sz w:val="24"/>
          <w:szCs w:val="24"/>
        </w:rPr>
        <w:t>:</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_Toc216299137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42</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350"/>
        </w:tabs>
        <w:rPr>
          <w:rFonts w:ascii="Times New Roman" w:cs="Times New Roman" w:eastAsia="宋体" w:hAnsi="Times New Roman"/>
          <w:noProof/>
          <w:color w:val="000000"/>
          <w:sz w:val="24"/>
          <w:szCs w:val="24"/>
        </w:rPr>
      </w:pPr>
      <w:r>
        <w:rPr/>
        <w:fldChar w:fldCharType="begin"/>
      </w:r>
      <w:r>
        <w:instrText xml:space="preserve"> HYPERLINK \l "_Toc216299138" </w:instrText>
      </w:r>
      <w:r>
        <w:rPr/>
        <w:fldChar w:fldCharType="separate"/>
      </w:r>
      <w:r>
        <w:rPr>
          <w:rStyle w:val="style85"/>
          <w:rFonts w:ascii="Times New Roman" w:cs="Times New Roman" w:hAnsi="Times New Roman"/>
          <w:noProof/>
          <w:color w:val="000000"/>
          <w:sz w:val="24"/>
          <w:szCs w:val="24"/>
        </w:rPr>
        <w:t>Employer of Teachers</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_Toc216299138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42</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350"/>
        </w:tabs>
        <w:rPr>
          <w:rFonts w:ascii="Times New Roman" w:cs="Times New Roman" w:eastAsia="宋体" w:hAnsi="Times New Roman"/>
          <w:noProof/>
          <w:color w:val="000000"/>
          <w:sz w:val="24"/>
          <w:szCs w:val="24"/>
        </w:rPr>
      </w:pPr>
      <w:r>
        <w:rPr/>
        <w:fldChar w:fldCharType="begin"/>
      </w:r>
      <w:r>
        <w:instrText xml:space="preserve"> HYPERLINK \l "_Toc216299139" </w:instrText>
      </w:r>
      <w:r>
        <w:rPr/>
        <w:fldChar w:fldCharType="separate"/>
      </w:r>
      <w:r>
        <w:rPr>
          <w:rStyle w:val="style85"/>
          <w:rFonts w:ascii="Times New Roman" w:cs="Times New Roman" w:hAnsi="Times New Roman"/>
          <w:b/>
          <w:noProof/>
          <w:color w:val="000000"/>
          <w:sz w:val="24"/>
          <w:szCs w:val="24"/>
        </w:rPr>
        <w:t>Table 6</w:t>
      </w:r>
      <w:r>
        <w:rPr>
          <w:rStyle w:val="style85"/>
          <w:rFonts w:ascii="Times New Roman" w:cs="Times New Roman" w:hAnsi="Times New Roman"/>
          <w:noProof/>
          <w:color w:val="000000"/>
          <w:sz w:val="24"/>
          <w:szCs w:val="24"/>
        </w:rPr>
        <w:t>:</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_Toc216299139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43</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350"/>
        </w:tabs>
        <w:rPr>
          <w:rFonts w:ascii="Times New Roman" w:cs="Times New Roman" w:eastAsia="宋体" w:hAnsi="Times New Roman"/>
          <w:noProof/>
          <w:color w:val="000000"/>
          <w:sz w:val="24"/>
          <w:szCs w:val="24"/>
        </w:rPr>
      </w:pPr>
      <w:r>
        <w:rPr/>
        <w:fldChar w:fldCharType="begin"/>
      </w:r>
      <w:r>
        <w:instrText xml:space="preserve"> HYPERLINK \l "_Toc216299140" </w:instrText>
      </w:r>
      <w:r>
        <w:rPr/>
        <w:fldChar w:fldCharType="separate"/>
      </w:r>
      <w:r>
        <w:rPr>
          <w:rStyle w:val="style85"/>
          <w:rFonts w:ascii="Times New Roman" w:cs="Times New Roman" w:hAnsi="Times New Roman"/>
          <w:noProof/>
          <w:color w:val="000000"/>
          <w:sz w:val="24"/>
          <w:szCs w:val="24"/>
        </w:rPr>
        <w:t>Teachers Experience in Years</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_Toc216299140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43</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350"/>
        </w:tabs>
        <w:rPr>
          <w:rFonts w:ascii="Times New Roman" w:cs="Times New Roman" w:eastAsia="宋体" w:hAnsi="Times New Roman"/>
          <w:noProof/>
          <w:color w:val="000000"/>
          <w:sz w:val="24"/>
          <w:szCs w:val="24"/>
        </w:rPr>
      </w:pPr>
      <w:r>
        <w:rPr/>
        <w:fldChar w:fldCharType="begin"/>
      </w:r>
      <w:r>
        <w:instrText xml:space="preserve"> HYPERLINK \l "_Toc216299141" </w:instrText>
      </w:r>
      <w:r>
        <w:rPr/>
        <w:fldChar w:fldCharType="separate"/>
      </w:r>
      <w:r>
        <w:rPr>
          <w:rStyle w:val="style85"/>
          <w:rFonts w:ascii="Times New Roman" w:cs="Times New Roman" w:hAnsi="Times New Roman"/>
          <w:b/>
          <w:noProof/>
          <w:color w:val="000000"/>
          <w:sz w:val="24"/>
          <w:szCs w:val="24"/>
        </w:rPr>
        <w:t>Table 7</w:t>
      </w:r>
      <w:r>
        <w:rPr>
          <w:rStyle w:val="style85"/>
          <w:rFonts w:ascii="Times New Roman" w:cs="Times New Roman" w:hAnsi="Times New Roman"/>
          <w:noProof/>
          <w:color w:val="000000"/>
          <w:sz w:val="24"/>
          <w:szCs w:val="24"/>
        </w:rPr>
        <w:t>:</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_Toc216299141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44</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350"/>
        </w:tabs>
        <w:rPr>
          <w:rFonts w:ascii="Times New Roman" w:cs="Times New Roman" w:eastAsia="宋体" w:hAnsi="Times New Roman"/>
          <w:noProof/>
          <w:color w:val="000000"/>
          <w:sz w:val="24"/>
          <w:szCs w:val="24"/>
        </w:rPr>
      </w:pPr>
      <w:r>
        <w:rPr/>
        <w:fldChar w:fldCharType="begin"/>
      </w:r>
      <w:r>
        <w:instrText xml:space="preserve"> HYPERLINK \l "_Toc216299142" </w:instrText>
      </w:r>
      <w:r>
        <w:rPr/>
        <w:fldChar w:fldCharType="separate"/>
      </w:r>
      <w:r>
        <w:rPr>
          <w:rStyle w:val="style85"/>
          <w:rFonts w:ascii="Times New Roman" w:cs="Times New Roman" w:hAnsi="Times New Roman"/>
          <w:noProof/>
          <w:color w:val="000000"/>
          <w:sz w:val="24"/>
          <w:szCs w:val="24"/>
        </w:rPr>
        <w:t>Socio-Economic Factors According to Teachers</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_Toc216299142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44</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350"/>
        </w:tabs>
        <w:rPr>
          <w:rFonts w:ascii="Times New Roman" w:cs="Times New Roman" w:eastAsia="宋体" w:hAnsi="Times New Roman"/>
          <w:noProof/>
          <w:color w:val="000000"/>
          <w:sz w:val="24"/>
          <w:szCs w:val="24"/>
        </w:rPr>
      </w:pPr>
      <w:r>
        <w:rPr/>
        <w:fldChar w:fldCharType="begin"/>
      </w:r>
      <w:r>
        <w:instrText xml:space="preserve"> HYPERLINK \l "_Toc216299143" </w:instrText>
      </w:r>
      <w:r>
        <w:rPr/>
        <w:fldChar w:fldCharType="separate"/>
      </w:r>
      <w:r>
        <w:rPr>
          <w:rStyle w:val="style85"/>
          <w:rFonts w:ascii="Times New Roman" w:cs="Times New Roman" w:hAnsi="Times New Roman"/>
          <w:b/>
          <w:noProof/>
          <w:color w:val="000000"/>
          <w:sz w:val="24"/>
          <w:szCs w:val="24"/>
        </w:rPr>
        <w:t>Table 8</w:t>
      </w:r>
      <w:r>
        <w:rPr>
          <w:rStyle w:val="style85"/>
          <w:rFonts w:ascii="Times New Roman" w:cs="Times New Roman" w:hAnsi="Times New Roman"/>
          <w:noProof/>
          <w:color w:val="000000"/>
          <w:sz w:val="24"/>
          <w:szCs w:val="24"/>
        </w:rPr>
        <w:t>:</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_Toc216299143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50</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350"/>
        </w:tabs>
        <w:rPr>
          <w:rFonts w:ascii="Times New Roman" w:cs="Times New Roman" w:eastAsia="宋体" w:hAnsi="Times New Roman"/>
          <w:noProof/>
          <w:color w:val="000000"/>
          <w:sz w:val="24"/>
          <w:szCs w:val="24"/>
        </w:rPr>
      </w:pPr>
      <w:r>
        <w:rPr/>
        <w:fldChar w:fldCharType="begin"/>
      </w:r>
      <w:r>
        <w:instrText xml:space="preserve"> HYPERLINK \l "_Toc216299144" </w:instrText>
      </w:r>
      <w:r>
        <w:rPr/>
        <w:fldChar w:fldCharType="separate"/>
      </w:r>
      <w:r>
        <w:rPr>
          <w:rStyle w:val="style85"/>
          <w:rFonts w:ascii="Times New Roman" w:cs="Times New Roman" w:hAnsi="Times New Roman"/>
          <w:noProof/>
          <w:color w:val="000000"/>
          <w:sz w:val="24"/>
          <w:szCs w:val="24"/>
        </w:rPr>
        <w:t>Cultural Practices According to Teachers</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_Toc216299144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50</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350"/>
        </w:tabs>
        <w:rPr>
          <w:rFonts w:ascii="Times New Roman" w:cs="Times New Roman" w:eastAsia="宋体" w:hAnsi="Times New Roman"/>
          <w:noProof/>
          <w:color w:val="000000"/>
          <w:sz w:val="24"/>
          <w:szCs w:val="24"/>
        </w:rPr>
      </w:pPr>
      <w:r>
        <w:rPr/>
        <w:fldChar w:fldCharType="begin"/>
      </w:r>
      <w:r>
        <w:instrText xml:space="preserve"> HYPERLINK \l "_Toc216299145" </w:instrText>
      </w:r>
      <w:r>
        <w:rPr/>
        <w:fldChar w:fldCharType="separate"/>
      </w:r>
      <w:r>
        <w:rPr>
          <w:rStyle w:val="style85"/>
          <w:rFonts w:ascii="Times New Roman" w:cs="Times New Roman" w:hAnsi="Times New Roman"/>
          <w:b/>
          <w:noProof/>
          <w:color w:val="000000"/>
          <w:sz w:val="24"/>
          <w:szCs w:val="24"/>
        </w:rPr>
        <w:t>Table 9</w:t>
      </w:r>
      <w:r>
        <w:rPr>
          <w:rStyle w:val="style85"/>
          <w:rFonts w:ascii="Times New Roman" w:cs="Times New Roman" w:hAnsi="Times New Roman"/>
          <w:noProof/>
          <w:color w:val="000000"/>
          <w:sz w:val="24"/>
          <w:szCs w:val="24"/>
        </w:rPr>
        <w:t>:</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_Toc216299145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58</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350"/>
        </w:tabs>
        <w:rPr>
          <w:rFonts w:ascii="Times New Roman" w:cs="Times New Roman" w:eastAsia="宋体" w:hAnsi="Times New Roman"/>
          <w:noProof/>
          <w:color w:val="000000"/>
          <w:sz w:val="24"/>
          <w:szCs w:val="24"/>
        </w:rPr>
      </w:pPr>
      <w:r>
        <w:rPr/>
        <w:fldChar w:fldCharType="begin"/>
      </w:r>
      <w:r>
        <w:instrText xml:space="preserve"> HYPERLINK \l "_Toc216299146" </w:instrText>
      </w:r>
      <w:r>
        <w:rPr/>
        <w:fldChar w:fldCharType="separate"/>
      </w:r>
      <w:r>
        <w:rPr>
          <w:rStyle w:val="style85"/>
          <w:rFonts w:ascii="Times New Roman" w:cs="Times New Roman" w:hAnsi="Times New Roman"/>
          <w:noProof/>
          <w:color w:val="000000"/>
          <w:sz w:val="24"/>
          <w:szCs w:val="24"/>
        </w:rPr>
        <w:t>School Environment According to Teachers</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_Toc216299146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58</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350"/>
        </w:tabs>
        <w:rPr>
          <w:rFonts w:ascii="Times New Roman" w:cs="Times New Roman" w:eastAsia="宋体" w:hAnsi="Times New Roman"/>
          <w:noProof/>
          <w:color w:val="000000"/>
          <w:sz w:val="24"/>
          <w:szCs w:val="24"/>
        </w:rPr>
      </w:pPr>
      <w:r>
        <w:rPr/>
        <w:fldChar w:fldCharType="begin"/>
      </w:r>
      <w:r>
        <w:instrText xml:space="preserve"> HYPERLINK \l "_Toc216299147" </w:instrText>
      </w:r>
      <w:r>
        <w:rPr/>
        <w:fldChar w:fldCharType="separate"/>
      </w:r>
      <w:r>
        <w:rPr>
          <w:rStyle w:val="style85"/>
          <w:rFonts w:ascii="Times New Roman" w:cs="Times New Roman" w:hAnsi="Times New Roman"/>
          <w:b/>
          <w:noProof/>
          <w:color w:val="000000"/>
          <w:sz w:val="24"/>
          <w:szCs w:val="24"/>
        </w:rPr>
        <w:t>Table 10</w:t>
      </w:r>
      <w:r>
        <w:rPr>
          <w:rStyle w:val="style85"/>
          <w:rFonts w:ascii="Times New Roman" w:cs="Times New Roman" w:hAnsi="Times New Roman"/>
          <w:noProof/>
          <w:color w:val="000000"/>
          <w:sz w:val="24"/>
          <w:szCs w:val="24"/>
        </w:rPr>
        <w:t>:</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_Toc216299147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65</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350"/>
        </w:tabs>
        <w:rPr>
          <w:rFonts w:ascii="Times New Roman" w:cs="Times New Roman" w:eastAsia="宋体" w:hAnsi="Times New Roman"/>
          <w:noProof/>
          <w:color w:val="000000"/>
          <w:sz w:val="24"/>
          <w:szCs w:val="24"/>
        </w:rPr>
      </w:pPr>
      <w:r>
        <w:rPr/>
        <w:fldChar w:fldCharType="begin"/>
      </w:r>
      <w:r>
        <w:instrText xml:space="preserve"> HYPERLINK \l "_Toc216299148" </w:instrText>
      </w:r>
      <w:r>
        <w:rPr/>
        <w:fldChar w:fldCharType="separate"/>
      </w:r>
      <w:r>
        <w:rPr>
          <w:rStyle w:val="style85"/>
          <w:rFonts w:ascii="Times New Roman" w:cs="Times New Roman" w:hAnsi="Times New Roman"/>
          <w:noProof/>
          <w:color w:val="000000"/>
          <w:sz w:val="24"/>
          <w:szCs w:val="24"/>
        </w:rPr>
        <w:t>Policy Implementation According to Teachers</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_Toc216299148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65</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350"/>
        </w:tabs>
        <w:rPr>
          <w:rFonts w:ascii="Times New Roman" w:cs="Times New Roman" w:eastAsia="宋体" w:hAnsi="Times New Roman"/>
          <w:noProof/>
          <w:color w:val="000000"/>
          <w:sz w:val="24"/>
          <w:szCs w:val="24"/>
        </w:rPr>
      </w:pPr>
      <w:r>
        <w:rPr/>
        <w:fldChar w:fldCharType="begin"/>
      </w:r>
      <w:r>
        <w:instrText xml:space="preserve"> HYPERLINK \l "_Toc216299149" </w:instrText>
      </w:r>
      <w:r>
        <w:rPr/>
        <w:fldChar w:fldCharType="separate"/>
      </w:r>
      <w:r>
        <w:rPr>
          <w:rStyle w:val="style85"/>
          <w:rFonts w:ascii="Times New Roman" w:cs="Times New Roman" w:hAnsi="Times New Roman"/>
          <w:b/>
          <w:noProof/>
          <w:color w:val="000000"/>
          <w:sz w:val="24"/>
          <w:szCs w:val="24"/>
        </w:rPr>
        <w:t>Table 11</w:t>
      </w:r>
      <w:r>
        <w:rPr>
          <w:rStyle w:val="style85"/>
          <w:rFonts w:ascii="Times New Roman" w:cs="Times New Roman" w:hAnsi="Times New Roman"/>
          <w:noProof/>
          <w:color w:val="000000"/>
          <w:sz w:val="24"/>
          <w:szCs w:val="24"/>
        </w:rPr>
        <w:t>:</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_Toc216299149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71</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350"/>
        </w:tabs>
        <w:rPr>
          <w:rFonts w:ascii="Times New Roman" w:cs="Times New Roman" w:eastAsia="宋体" w:hAnsi="Times New Roman"/>
          <w:noProof/>
          <w:color w:val="000000"/>
          <w:sz w:val="24"/>
          <w:szCs w:val="24"/>
        </w:rPr>
      </w:pPr>
      <w:r>
        <w:rPr/>
        <w:fldChar w:fldCharType="begin"/>
      </w:r>
      <w:r>
        <w:instrText xml:space="preserve"> HYPERLINK \l "_Toc216299150" </w:instrText>
      </w:r>
      <w:r>
        <w:rPr/>
        <w:fldChar w:fldCharType="separate"/>
      </w:r>
      <w:r>
        <w:rPr>
          <w:rStyle w:val="style85"/>
          <w:rFonts w:ascii="Times New Roman" w:cs="Times New Roman" w:hAnsi="Times New Roman"/>
          <w:noProof/>
          <w:color w:val="000000"/>
          <w:sz w:val="24"/>
          <w:szCs w:val="24"/>
        </w:rPr>
        <w:t>Policy Implementation According to Teachers</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_Toc216299150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71</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350"/>
        </w:tabs>
        <w:rPr>
          <w:rFonts w:ascii="Times New Roman" w:cs="Times New Roman" w:eastAsia="宋体" w:hAnsi="Times New Roman"/>
          <w:noProof/>
          <w:color w:val="000000"/>
          <w:sz w:val="24"/>
          <w:szCs w:val="24"/>
        </w:rPr>
      </w:pPr>
      <w:r>
        <w:rPr/>
        <w:fldChar w:fldCharType="begin"/>
      </w:r>
      <w:r>
        <w:instrText xml:space="preserve"> HYPERLINK \l "_Toc216299151" </w:instrText>
      </w:r>
      <w:r>
        <w:rPr/>
        <w:fldChar w:fldCharType="separate"/>
      </w:r>
      <w:r>
        <w:rPr>
          <w:rStyle w:val="style85"/>
          <w:rFonts w:ascii="Times New Roman" w:cs="Times New Roman" w:hAnsi="Times New Roman"/>
          <w:b/>
          <w:noProof/>
          <w:color w:val="000000"/>
          <w:sz w:val="24"/>
          <w:szCs w:val="24"/>
        </w:rPr>
        <w:t>Table 12</w:t>
      </w:r>
      <w:r>
        <w:rPr>
          <w:rStyle w:val="style85"/>
          <w:rFonts w:ascii="Times New Roman" w:cs="Times New Roman" w:hAnsi="Times New Roman"/>
          <w:noProof/>
          <w:color w:val="000000"/>
          <w:sz w:val="24"/>
          <w:szCs w:val="24"/>
        </w:rPr>
        <w:t>:</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_Toc216299151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80</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350"/>
        </w:tabs>
        <w:rPr>
          <w:rFonts w:ascii="Times New Roman" w:cs="Times New Roman" w:eastAsia="宋体" w:hAnsi="Times New Roman"/>
          <w:noProof/>
          <w:color w:val="000000"/>
          <w:sz w:val="24"/>
          <w:szCs w:val="24"/>
        </w:rPr>
      </w:pPr>
      <w:r>
        <w:rPr/>
        <w:fldChar w:fldCharType="begin"/>
      </w:r>
      <w:r>
        <w:instrText xml:space="preserve"> HYPERLINK \l "_Toc216299152" </w:instrText>
      </w:r>
      <w:r>
        <w:rPr/>
        <w:fldChar w:fldCharType="separate"/>
      </w:r>
      <w:r>
        <w:rPr>
          <w:rStyle w:val="style85"/>
          <w:rFonts w:ascii="Times New Roman" w:cs="Times New Roman" w:hAnsi="Times New Roman"/>
          <w:noProof/>
          <w:color w:val="000000"/>
          <w:sz w:val="24"/>
          <w:szCs w:val="24"/>
        </w:rPr>
        <w:t>Reliability Results</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_Toc216299152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81</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350"/>
        </w:tabs>
        <w:rPr>
          <w:rFonts w:ascii="Times New Roman" w:cs="Times New Roman" w:eastAsia="宋体" w:hAnsi="Times New Roman"/>
          <w:noProof/>
          <w:color w:val="000000"/>
          <w:sz w:val="24"/>
          <w:szCs w:val="24"/>
        </w:rPr>
      </w:pPr>
      <w:r>
        <w:rPr/>
        <w:fldChar w:fldCharType="begin"/>
      </w:r>
      <w:r>
        <w:instrText xml:space="preserve"> HYPERLINK \l "_Toc216299153" </w:instrText>
      </w:r>
      <w:r>
        <w:rPr/>
        <w:fldChar w:fldCharType="separate"/>
      </w:r>
      <w:r>
        <w:rPr>
          <w:rStyle w:val="style85"/>
          <w:rFonts w:ascii="Times New Roman" w:cs="Times New Roman" w:hAnsi="Times New Roman"/>
          <w:b/>
          <w:noProof/>
          <w:color w:val="000000"/>
          <w:sz w:val="24"/>
          <w:szCs w:val="24"/>
        </w:rPr>
        <w:t>Table 13</w:t>
      </w:r>
      <w:r>
        <w:rPr>
          <w:rStyle w:val="style85"/>
          <w:rFonts w:ascii="Times New Roman" w:cs="Times New Roman" w:hAnsi="Times New Roman"/>
          <w:noProof/>
          <w:color w:val="000000"/>
          <w:sz w:val="24"/>
          <w:szCs w:val="24"/>
        </w:rPr>
        <w:t>:</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_Toc216299153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83</w:t>
      </w:r>
      <w:r>
        <w:rPr>
          <w:rFonts w:ascii="Times New Roman" w:cs="Times New Roman" w:hAnsi="Times New Roman"/>
          <w:noProof/>
          <w:webHidden/>
          <w:color w:val="000000"/>
          <w:sz w:val="24"/>
          <w:szCs w:val="24"/>
        </w:rPr>
        <w:fldChar w:fldCharType="end"/>
      </w:r>
      <w:r>
        <w:rPr/>
        <w:fldChar w:fldCharType="end"/>
      </w:r>
    </w:p>
    <w:p>
      <w:pPr>
        <w:pStyle w:val="style35"/>
        <w:tabs>
          <w:tab w:val="right" w:leader="dot" w:pos="9350"/>
        </w:tabs>
        <w:rPr>
          <w:rFonts w:ascii="Times New Roman" w:cs="Times New Roman" w:eastAsia="宋体" w:hAnsi="Times New Roman"/>
          <w:noProof/>
          <w:color w:val="000000"/>
          <w:sz w:val="24"/>
          <w:szCs w:val="24"/>
        </w:rPr>
      </w:pPr>
      <w:r>
        <w:rPr/>
        <w:fldChar w:fldCharType="begin"/>
      </w:r>
      <w:r>
        <w:instrText xml:space="preserve"> HYPERLINK \l "_Toc216299154" </w:instrText>
      </w:r>
      <w:r>
        <w:rPr/>
        <w:fldChar w:fldCharType="separate"/>
      </w:r>
      <w:r>
        <w:rPr>
          <w:rStyle w:val="style85"/>
          <w:rFonts w:ascii="Times New Roman" w:cs="Times New Roman" w:hAnsi="Times New Roman"/>
          <w:noProof/>
          <w:color w:val="000000"/>
          <w:sz w:val="24"/>
          <w:szCs w:val="24"/>
        </w:rPr>
        <w:t>Correlation</w:t>
      </w:r>
      <w:r>
        <w:rPr>
          <w:rFonts w:ascii="Times New Roman" w:cs="Times New Roman" w:hAnsi="Times New Roman"/>
          <w:noProof/>
          <w:webHidden/>
          <w:color w:val="000000"/>
          <w:sz w:val="24"/>
          <w:szCs w:val="24"/>
        </w:rPr>
        <w:tab/>
      </w:r>
      <w:r>
        <w:rPr>
          <w:rFonts w:ascii="Times New Roman" w:cs="Times New Roman" w:hAnsi="Times New Roman"/>
          <w:noProof/>
          <w:webHidden/>
          <w:color w:val="000000"/>
          <w:sz w:val="24"/>
          <w:szCs w:val="24"/>
        </w:rPr>
        <w:fldChar w:fldCharType="begin"/>
      </w:r>
      <w:r>
        <w:rPr>
          <w:rFonts w:ascii="Times New Roman" w:cs="Times New Roman" w:hAnsi="Times New Roman"/>
          <w:noProof/>
          <w:webHidden/>
          <w:color w:val="000000"/>
          <w:sz w:val="24"/>
          <w:szCs w:val="24"/>
        </w:rPr>
        <w:instrText xml:space="preserve"> PAGEREF _Toc216299154 \h </w:instrText>
      </w:r>
      <w:r>
        <w:rPr>
          <w:rFonts w:ascii="Times New Roman" w:cs="Times New Roman" w:hAnsi="Times New Roman"/>
          <w:noProof/>
          <w:webHidden/>
          <w:color w:val="000000"/>
          <w:sz w:val="24"/>
          <w:szCs w:val="24"/>
        </w:rPr>
        <w:fldChar w:fldCharType="separate"/>
      </w:r>
      <w:r>
        <w:rPr>
          <w:rFonts w:ascii="Times New Roman" w:cs="Times New Roman" w:hAnsi="Times New Roman"/>
          <w:noProof/>
          <w:webHidden/>
          <w:color w:val="000000"/>
          <w:sz w:val="24"/>
          <w:szCs w:val="24"/>
        </w:rPr>
        <w:t>83</w:t>
      </w:r>
      <w:r>
        <w:rPr>
          <w:rFonts w:ascii="Times New Roman" w:cs="Times New Roman" w:hAnsi="Times New Roman"/>
          <w:noProof/>
          <w:webHidden/>
          <w:color w:val="000000"/>
          <w:sz w:val="24"/>
          <w:szCs w:val="24"/>
        </w:rPr>
        <w:fldChar w:fldCharType="end"/>
      </w:r>
      <w:r>
        <w:rPr/>
        <w:fldChar w:fldCharType="end"/>
      </w:r>
    </w:p>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fldChar w:fldCharType="end"/>
      </w: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bookmarkStart w:id="9" w:name="_Toc216513764"/>
    <w:p>
      <w:pPr>
        <w:pStyle w:val="style1"/>
        <w:spacing w:before="240"/>
        <w:rPr>
          <w:color w:val="000000"/>
        </w:rPr>
      </w:pPr>
      <w:r>
        <w:rPr>
          <w:color w:val="000000"/>
        </w:rPr>
        <w:t>LIST OF ABBREVIATIONS AND ACRONYMS</w:t>
      </w:r>
      <w:bookmarkEnd w:id="7"/>
      <w:bookmarkEnd w:id="9"/>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lang w:val="en-GB"/>
        </w:rPr>
        <w:t>​</w:t>
      </w:r>
      <w:r>
        <w:rPr>
          <w:rFonts w:ascii="Times New Roman" w:cs="Times New Roman" w:hAnsi="Times New Roman"/>
          <w:b/>
          <w:color w:val="000000"/>
          <w:sz w:val="24"/>
          <w:szCs w:val="24"/>
          <w:lang w:val="en-GB"/>
        </w:rPr>
        <w:t>COVID-19:</w:t>
      </w:r>
      <w:r>
        <w:rPr>
          <w:rFonts w:ascii="Times New Roman" w:cs="Times New Roman" w:hAnsi="Times New Roman"/>
          <w:color w:val="000000"/>
          <w:sz w:val="24"/>
          <w:szCs w:val="24"/>
          <w:lang w:val="en-GB"/>
        </w:rPr>
        <w:tab/>
      </w:r>
      <w:r>
        <w:rPr>
          <w:rFonts w:ascii="Times New Roman" w:cs="Times New Roman" w:hAnsi="Times New Roman"/>
          <w:color w:val="000000"/>
          <w:sz w:val="24"/>
          <w:szCs w:val="24"/>
          <w:lang w:val="en-GB"/>
        </w:rPr>
        <w:t xml:space="preserve">Corona </w:t>
      </w:r>
      <w:r>
        <w:rPr>
          <w:rFonts w:ascii="Times New Roman" w:cs="Times New Roman" w:hAnsi="Times New Roman"/>
          <w:color w:val="000000"/>
          <w:sz w:val="24"/>
          <w:szCs w:val="24"/>
          <w:lang w:val="en-GB"/>
        </w:rPr>
        <w:t>Virus Disease</w:t>
      </w:r>
      <w:r>
        <w:rPr>
          <w:rFonts w:ascii="Times New Roman" w:cs="Times New Roman" w:hAnsi="Times New Roman"/>
          <w:color w:val="000000"/>
          <w:sz w:val="24"/>
          <w:szCs w:val="24"/>
          <w:lang w:val="en-GB"/>
        </w:rPr>
        <w:t>.</w:t>
      </w:r>
    </w:p>
    <w:p>
      <w:pPr>
        <w:pStyle w:val="style0"/>
        <w:spacing w:before="240" w:after="0" w:lineRule="auto" w:line="480"/>
        <w:jc w:val="both"/>
        <w:rPr>
          <w:rFonts w:ascii="Times New Roman" w:cs="Times New Roman" w:hAnsi="Times New Roman"/>
          <w:color w:val="000000"/>
          <w:sz w:val="24"/>
          <w:szCs w:val="24"/>
          <w:lang w:val="en-GB"/>
        </w:rPr>
      </w:pPr>
      <w:r>
        <w:rPr>
          <w:rFonts w:ascii="Times New Roman" w:cs="Times New Roman" w:hAnsi="Times New Roman"/>
          <w:color w:val="000000"/>
          <w:sz w:val="24"/>
          <w:szCs w:val="24"/>
          <w:lang w:val="en-GB"/>
        </w:rPr>
        <w:t>​</w:t>
      </w:r>
      <w:r>
        <w:rPr>
          <w:rFonts w:ascii="Times New Roman" w:cs="Times New Roman" w:hAnsi="Times New Roman"/>
          <w:b/>
          <w:color w:val="000000"/>
          <w:sz w:val="24"/>
          <w:szCs w:val="24"/>
          <w:lang w:val="en-GB"/>
        </w:rPr>
        <w:t xml:space="preserve">FGM:       </w:t>
      </w:r>
      <w:r>
        <w:rPr>
          <w:rFonts w:ascii="Times New Roman" w:cs="Times New Roman" w:hAnsi="Times New Roman"/>
          <w:b/>
          <w:color w:val="000000"/>
          <w:sz w:val="24"/>
          <w:szCs w:val="24"/>
          <w:lang w:val="en-GB"/>
        </w:rPr>
        <w:tab/>
      </w:r>
      <w:r>
        <w:rPr>
          <w:rFonts w:ascii="Times New Roman" w:cs="Times New Roman" w:hAnsi="Times New Roman"/>
          <w:color w:val="000000"/>
          <w:sz w:val="24"/>
          <w:szCs w:val="24"/>
          <w:lang w:val="en-GB"/>
        </w:rPr>
        <w:t>Female Genital Mutilation.</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b/>
          <w:color w:val="000000"/>
          <w:sz w:val="24"/>
          <w:szCs w:val="24"/>
          <w:lang w:val="en-GB"/>
        </w:rPr>
        <w:t>HOIs:</w:t>
      </w:r>
      <w:r>
        <w:rPr>
          <w:rFonts w:ascii="Times New Roman" w:cs="Times New Roman" w:hAnsi="Times New Roman"/>
          <w:color w:val="000000"/>
          <w:sz w:val="24"/>
          <w:szCs w:val="24"/>
          <w:lang w:val="en-GB"/>
        </w:rPr>
        <w:t xml:space="preserve"> </w:t>
      </w:r>
      <w:r>
        <w:rPr>
          <w:rFonts w:ascii="Times New Roman" w:cs="Times New Roman" w:hAnsi="Times New Roman"/>
          <w:color w:val="000000"/>
          <w:sz w:val="24"/>
          <w:szCs w:val="24"/>
          <w:lang w:val="en-GB"/>
        </w:rPr>
        <w:tab/>
      </w:r>
      <w:r>
        <w:rPr>
          <w:rFonts w:ascii="Times New Roman" w:cs="Times New Roman" w:hAnsi="Times New Roman"/>
          <w:color w:val="000000"/>
          <w:sz w:val="24"/>
          <w:szCs w:val="24"/>
          <w:lang w:val="en-GB"/>
        </w:rPr>
        <w:tab/>
      </w:r>
      <w:r>
        <w:rPr>
          <w:rFonts w:ascii="Times New Roman" w:cs="Times New Roman" w:hAnsi="Times New Roman"/>
          <w:color w:val="000000"/>
          <w:sz w:val="24"/>
          <w:szCs w:val="24"/>
          <w:lang w:val="en-GB"/>
        </w:rPr>
        <w:t xml:space="preserve">Heads of Institutions </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lang w:val="en-GB"/>
        </w:rPr>
        <w:t>​</w:t>
      </w:r>
      <w:r>
        <w:rPr>
          <w:rFonts w:ascii="Times New Roman" w:cs="Times New Roman" w:hAnsi="Times New Roman"/>
          <w:b/>
          <w:color w:val="000000"/>
          <w:sz w:val="24"/>
          <w:szCs w:val="24"/>
          <w:lang w:val="en-GB"/>
        </w:rPr>
        <w:t>INEE:</w:t>
      </w:r>
      <w:r>
        <w:rPr>
          <w:rFonts w:ascii="Times New Roman" w:cs="Times New Roman" w:hAnsi="Times New Roman"/>
          <w:color w:val="000000"/>
          <w:sz w:val="24"/>
          <w:szCs w:val="24"/>
          <w:lang w:val="en-GB"/>
        </w:rPr>
        <w:t xml:space="preserve">      </w:t>
      </w:r>
      <w:r>
        <w:rPr>
          <w:rFonts w:ascii="Times New Roman" w:cs="Times New Roman" w:hAnsi="Times New Roman"/>
          <w:color w:val="000000"/>
          <w:sz w:val="24"/>
          <w:szCs w:val="24"/>
          <w:lang w:val="en-GB"/>
        </w:rPr>
        <w:tab/>
      </w:r>
      <w:r>
        <w:rPr>
          <w:rFonts w:ascii="Times New Roman" w:cs="Times New Roman" w:hAnsi="Times New Roman"/>
          <w:color w:val="000000"/>
          <w:sz w:val="24"/>
          <w:szCs w:val="24"/>
          <w:lang w:val="en-GB"/>
        </w:rPr>
        <w:t>Inter-agency Network for Education in Emergencies.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lang w:val="en-GB"/>
        </w:rPr>
        <w:t>​</w:t>
      </w:r>
      <w:r>
        <w:rPr>
          <w:rFonts w:ascii="Times New Roman" w:cs="Times New Roman" w:hAnsi="Times New Roman"/>
          <w:b/>
          <w:color w:val="000000"/>
          <w:sz w:val="24"/>
          <w:szCs w:val="24"/>
          <w:lang w:val="en-GB"/>
        </w:rPr>
        <w:t>KNBS:</w:t>
      </w:r>
      <w:r>
        <w:rPr>
          <w:rFonts w:ascii="Times New Roman" w:cs="Times New Roman" w:hAnsi="Times New Roman"/>
          <w:color w:val="000000"/>
          <w:sz w:val="24"/>
          <w:szCs w:val="24"/>
          <w:lang w:val="en-GB"/>
        </w:rPr>
        <w:t xml:space="preserve">     </w:t>
      </w:r>
      <w:r>
        <w:rPr>
          <w:rFonts w:ascii="Times New Roman" w:cs="Times New Roman" w:hAnsi="Times New Roman"/>
          <w:color w:val="000000"/>
          <w:sz w:val="24"/>
          <w:szCs w:val="24"/>
          <w:lang w:val="en-GB"/>
        </w:rPr>
        <w:tab/>
      </w:r>
      <w:r>
        <w:rPr>
          <w:rFonts w:ascii="Times New Roman" w:cs="Times New Roman" w:hAnsi="Times New Roman"/>
          <w:color w:val="000000"/>
          <w:sz w:val="24"/>
          <w:szCs w:val="24"/>
          <w:lang w:val="en-GB"/>
        </w:rPr>
        <w:t>Kenya National Bureau of Statistics.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lang w:val="en-GB"/>
        </w:rPr>
        <w:t>​</w:t>
      </w:r>
      <w:r>
        <w:rPr>
          <w:rFonts w:ascii="Times New Roman" w:cs="Times New Roman" w:hAnsi="Times New Roman"/>
          <w:b/>
          <w:color w:val="000000"/>
          <w:sz w:val="24"/>
          <w:szCs w:val="24"/>
          <w:lang w:val="en-GB"/>
        </w:rPr>
        <w:t>NCCP:</w:t>
      </w:r>
      <w:r>
        <w:rPr>
          <w:rFonts w:ascii="Times New Roman" w:cs="Times New Roman" w:hAnsi="Times New Roman"/>
          <w:color w:val="000000"/>
          <w:sz w:val="24"/>
          <w:szCs w:val="24"/>
          <w:lang w:val="en-GB"/>
        </w:rPr>
        <w:t xml:space="preserve">     </w:t>
      </w:r>
      <w:r>
        <w:rPr>
          <w:rFonts w:ascii="Times New Roman" w:cs="Times New Roman" w:hAnsi="Times New Roman"/>
          <w:color w:val="000000"/>
          <w:sz w:val="24"/>
          <w:szCs w:val="24"/>
          <w:lang w:val="en-GB"/>
        </w:rPr>
        <w:tab/>
      </w:r>
      <w:r>
        <w:rPr>
          <w:rFonts w:ascii="Times New Roman" w:cs="Times New Roman" w:hAnsi="Times New Roman"/>
          <w:color w:val="000000"/>
          <w:sz w:val="24"/>
          <w:szCs w:val="24"/>
          <w:lang w:val="en-GB"/>
        </w:rPr>
        <w:t>National Centre for Children in Poverty.</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lang w:val="en-GB"/>
        </w:rPr>
        <w:t>​</w:t>
      </w:r>
      <w:r>
        <w:rPr>
          <w:rFonts w:ascii="Times New Roman" w:cs="Times New Roman" w:hAnsi="Times New Roman"/>
          <w:b/>
          <w:color w:val="000000"/>
          <w:sz w:val="24"/>
          <w:szCs w:val="24"/>
          <w:lang w:val="en-GB"/>
        </w:rPr>
        <w:t>SEM:</w:t>
      </w:r>
      <w:r>
        <w:rPr>
          <w:rFonts w:ascii="Times New Roman" w:cs="Times New Roman" w:hAnsi="Times New Roman"/>
          <w:color w:val="000000"/>
          <w:sz w:val="24"/>
          <w:szCs w:val="24"/>
          <w:lang w:val="en-GB"/>
        </w:rPr>
        <w:t xml:space="preserve">        </w:t>
      </w:r>
      <w:r>
        <w:rPr>
          <w:rFonts w:ascii="Times New Roman" w:cs="Times New Roman" w:hAnsi="Times New Roman"/>
          <w:color w:val="000000"/>
          <w:sz w:val="24"/>
          <w:szCs w:val="24"/>
          <w:lang w:val="en-GB"/>
        </w:rPr>
        <w:tab/>
      </w:r>
      <w:r>
        <w:rPr>
          <w:rFonts w:ascii="Times New Roman" w:cs="Times New Roman" w:hAnsi="Times New Roman"/>
          <w:color w:val="000000"/>
          <w:sz w:val="24"/>
          <w:szCs w:val="24"/>
          <w:lang w:val="en-GB"/>
        </w:rPr>
        <w:t>Social Ecological Model.</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lang w:val="en-GB"/>
        </w:rPr>
        <w:t>​</w:t>
      </w:r>
      <w:r>
        <w:rPr>
          <w:rFonts w:ascii="Times New Roman" w:cs="Times New Roman" w:hAnsi="Times New Roman"/>
          <w:b/>
          <w:color w:val="000000"/>
          <w:sz w:val="24"/>
          <w:szCs w:val="24"/>
          <w:lang w:val="en-GB"/>
        </w:rPr>
        <w:t>UNESCO:</w:t>
      </w:r>
      <w:r>
        <w:rPr>
          <w:rFonts w:ascii="Times New Roman" w:cs="Times New Roman" w:hAnsi="Times New Roman"/>
          <w:color w:val="000000"/>
          <w:sz w:val="24"/>
          <w:szCs w:val="24"/>
          <w:lang w:val="en-GB"/>
        </w:rPr>
        <w:t xml:space="preserve">  </w:t>
      </w:r>
      <w:r>
        <w:rPr>
          <w:rFonts w:ascii="Times New Roman" w:cs="Times New Roman" w:hAnsi="Times New Roman"/>
          <w:color w:val="000000"/>
          <w:sz w:val="24"/>
          <w:szCs w:val="24"/>
          <w:lang w:val="en-GB"/>
        </w:rPr>
        <w:tab/>
      </w:r>
      <w:r>
        <w:rPr>
          <w:rFonts w:ascii="Times New Roman" w:cs="Times New Roman" w:hAnsi="Times New Roman"/>
          <w:color w:val="000000"/>
          <w:sz w:val="24"/>
          <w:szCs w:val="24"/>
          <w:lang w:val="en-GB"/>
        </w:rPr>
        <w:t>United Nations Educational, Scientific and Cultural Organization.</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lang w:val="en-GB"/>
        </w:rPr>
        <w:t>​</w:t>
      </w:r>
      <w:r>
        <w:rPr>
          <w:rFonts w:ascii="Times New Roman" w:cs="Times New Roman" w:hAnsi="Times New Roman"/>
          <w:b/>
          <w:color w:val="000000"/>
          <w:sz w:val="24"/>
          <w:szCs w:val="24"/>
          <w:lang w:val="en-GB"/>
        </w:rPr>
        <w:t xml:space="preserve">UNICEF:  </w:t>
      </w:r>
      <w:r>
        <w:rPr>
          <w:rFonts w:ascii="Times New Roman" w:cs="Times New Roman" w:hAnsi="Times New Roman"/>
          <w:color w:val="000000"/>
          <w:sz w:val="24"/>
          <w:szCs w:val="24"/>
          <w:lang w:val="en-GB"/>
        </w:rPr>
        <w:t xml:space="preserve"> </w:t>
      </w:r>
      <w:r>
        <w:rPr>
          <w:rFonts w:ascii="Times New Roman" w:cs="Times New Roman" w:hAnsi="Times New Roman"/>
          <w:color w:val="000000"/>
          <w:sz w:val="24"/>
          <w:szCs w:val="24"/>
          <w:lang w:val="en-GB"/>
        </w:rPr>
        <w:tab/>
      </w:r>
      <w:r>
        <w:rPr>
          <w:rFonts w:ascii="Times New Roman" w:cs="Times New Roman" w:hAnsi="Times New Roman"/>
          <w:color w:val="000000"/>
          <w:sz w:val="24"/>
          <w:szCs w:val="24"/>
          <w:lang w:val="en-GB"/>
        </w:rPr>
        <w:t>United Nations Children’s Fund.</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lang w:val="en-GB"/>
        </w:rPr>
        <w:t>​</w:t>
      </w:r>
      <w:r>
        <w:rPr>
          <w:rFonts w:ascii="Times New Roman" w:cs="Times New Roman" w:hAnsi="Times New Roman"/>
          <w:b/>
          <w:color w:val="000000"/>
          <w:sz w:val="24"/>
          <w:szCs w:val="24"/>
          <w:lang w:val="en-GB"/>
        </w:rPr>
        <w:t>WHO:</w:t>
      </w:r>
      <w:r>
        <w:rPr>
          <w:rFonts w:ascii="Times New Roman" w:cs="Times New Roman" w:hAnsi="Times New Roman"/>
          <w:color w:val="000000"/>
          <w:sz w:val="24"/>
          <w:szCs w:val="24"/>
          <w:lang w:val="en-GB"/>
        </w:rPr>
        <w:t xml:space="preserve">         </w:t>
      </w:r>
      <w:r>
        <w:rPr>
          <w:rFonts w:ascii="Times New Roman" w:cs="Times New Roman" w:hAnsi="Times New Roman"/>
          <w:color w:val="000000"/>
          <w:sz w:val="24"/>
          <w:szCs w:val="24"/>
          <w:lang w:val="en-GB"/>
        </w:rPr>
        <w:tab/>
      </w:r>
      <w:r>
        <w:rPr>
          <w:rFonts w:ascii="Times New Roman" w:cs="Times New Roman" w:hAnsi="Times New Roman"/>
          <w:color w:val="000000"/>
          <w:sz w:val="24"/>
          <w:szCs w:val="24"/>
          <w:lang w:val="en-GB"/>
        </w:rPr>
        <w:t>World Health Organization.</w:t>
      </w: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p>
      <w:pPr>
        <w:pStyle w:val="style0"/>
        <w:spacing w:after="200" w:lineRule="auto" w:line="360"/>
        <w:rPr>
          <w:rFonts w:ascii="Times New Roman" w:cs="Times New Roman" w:hAnsi="Times New Roman"/>
          <w:color w:val="000000"/>
          <w:sz w:val="24"/>
          <w:szCs w:val="24"/>
        </w:rPr>
      </w:pPr>
      <w:r>
        <w:rPr>
          <w:rFonts w:ascii="Times New Roman" w:cs="Times New Roman" w:hAnsi="Times New Roman"/>
          <w:color w:val="000000"/>
          <w:sz w:val="24"/>
          <w:szCs w:val="24"/>
        </w:rPr>
        <w:br w:type="page"/>
      </w:r>
    </w:p>
    <w:bookmarkStart w:id="10" w:name="_Toc188281857"/>
    <w:bookmarkStart w:id="11" w:name="_Toc216513765"/>
    <w:p>
      <w:pPr>
        <w:pStyle w:val="style1"/>
        <w:spacing w:lineRule="auto" w:line="360"/>
        <w:rPr>
          <w:color w:val="000000"/>
        </w:rPr>
      </w:pPr>
      <w:r>
        <w:rPr>
          <w:color w:val="000000"/>
        </w:rPr>
        <w:t>ABSTRACT</w:t>
      </w:r>
      <w:bookmarkEnd w:id="10"/>
      <w:bookmarkEnd w:id="11"/>
    </w:p>
    <w:p>
      <w:pPr>
        <w:pStyle w:val="style0"/>
        <w:spacing w:after="0" w:lineRule="auto" w:line="24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Despite various interventions by the Ministry of Education, learner absenteeism remains a persistent challenge in public primary schools within Bangal Sub-county, negatively impacting academic performance and educational outcomes. </w:t>
      </w:r>
      <w:r>
        <w:rPr>
          <w:rFonts w:ascii="Times New Roman" w:cs="Times New Roman" w:hAnsi="Times New Roman"/>
          <w:color w:val="000000"/>
          <w:sz w:val="24"/>
          <w:szCs w:val="24"/>
        </w:rPr>
        <w:t xml:space="preserve">This study sought to identify and analyze the determinants of learners’ absenteeism in public primary schools in Bangal Sub-county. The </w:t>
      </w:r>
      <w:r>
        <w:rPr>
          <w:rFonts w:ascii="Times New Roman" w:cs="Times New Roman" w:hAnsi="Times New Roman"/>
          <w:color w:val="000000"/>
          <w:sz w:val="24"/>
          <w:szCs w:val="24"/>
        </w:rPr>
        <w:t xml:space="preserve">specific </w:t>
      </w:r>
      <w:r>
        <w:rPr>
          <w:rFonts w:ascii="Times New Roman" w:cs="Times New Roman" w:hAnsi="Times New Roman"/>
          <w:color w:val="000000"/>
          <w:sz w:val="24"/>
          <w:szCs w:val="24"/>
        </w:rPr>
        <w:t>research objectives we</w:t>
      </w:r>
      <w:r>
        <w:rPr>
          <w:rFonts w:ascii="Times New Roman" w:cs="Times New Roman" w:hAnsi="Times New Roman"/>
          <w:color w:val="000000"/>
          <w:sz w:val="24"/>
          <w:szCs w:val="24"/>
        </w:rPr>
        <w:t>re to assess the influence of economic factors on learners’ absenteeism, examine how cultural practices influence learners' attendance, evaluate the role of the school environment in contributing to absenteeism and establish the effect of policy implementation on learners’ absenteeism.</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 xml:space="preserve">​This study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guided by the Social Ecological Model and adopt</w:t>
      </w:r>
      <w:r>
        <w:rPr>
          <w:rFonts w:ascii="Times New Roman" w:cs="Times New Roman" w:hAnsi="Times New Roman"/>
          <w:color w:val="000000"/>
          <w:sz w:val="24"/>
          <w:szCs w:val="24"/>
        </w:rPr>
        <w:t>ed</w:t>
      </w:r>
      <w:r>
        <w:rPr>
          <w:rFonts w:ascii="Times New Roman" w:cs="Times New Roman" w:hAnsi="Times New Roman"/>
          <w:color w:val="000000"/>
          <w:sz w:val="24"/>
          <w:szCs w:val="24"/>
        </w:rPr>
        <w:t xml:space="preserve"> a mixed-methods approach, combining both quantitative and qualitative methods through a descriptive survey research design. The study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conducted in Bangal Sub-county, targeting 30 public primary schools, 232 teachers and 30 head teachers. A sample size of 30%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used, based on Mugenda and Mugenda (2003), as this percentage is adequate for generalization. </w:t>
      </w:r>
      <w:r>
        <w:rPr>
          <w:rFonts w:ascii="Times New Roman" w:cs="Times New Roman" w:hAnsi="Times New Roman"/>
          <w:color w:val="000000"/>
          <w:sz w:val="24"/>
          <w:szCs w:val="24"/>
        </w:rPr>
        <w:t>Semi-s</w:t>
      </w:r>
      <w:r>
        <w:rPr>
          <w:rFonts w:ascii="Times New Roman" w:cs="Times New Roman" w:hAnsi="Times New Roman"/>
          <w:color w:val="000000"/>
          <w:sz w:val="24"/>
          <w:szCs w:val="24"/>
        </w:rPr>
        <w:t xml:space="preserve">tructured questionnaires </w:t>
      </w:r>
      <w:r>
        <w:rPr>
          <w:rFonts w:ascii="Times New Roman" w:cs="Times New Roman" w:hAnsi="Times New Roman"/>
          <w:color w:val="000000"/>
          <w:sz w:val="24"/>
          <w:szCs w:val="24"/>
        </w:rPr>
        <w:t>were</w:t>
      </w:r>
      <w:r>
        <w:rPr>
          <w:rFonts w:ascii="Times New Roman" w:cs="Times New Roman" w:hAnsi="Times New Roman"/>
          <w:color w:val="000000"/>
          <w:sz w:val="24"/>
          <w:szCs w:val="24"/>
        </w:rPr>
        <w:t xml:space="preserve"> used to obtain </w:t>
      </w:r>
      <w:r>
        <w:rPr>
          <w:rFonts w:ascii="Times New Roman" w:cs="Times New Roman" w:hAnsi="Times New Roman"/>
          <w:color w:val="000000"/>
          <w:sz w:val="24"/>
          <w:szCs w:val="24"/>
        </w:rPr>
        <w:t xml:space="preserve">both qualitative and </w:t>
      </w:r>
      <w:r>
        <w:rPr>
          <w:rFonts w:ascii="Times New Roman" w:cs="Times New Roman" w:hAnsi="Times New Roman"/>
          <w:color w:val="000000"/>
          <w:sz w:val="24"/>
          <w:szCs w:val="24"/>
        </w:rPr>
        <w:t xml:space="preserve">quantitative data from teachers, while structured interviews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used to collect qualitative data from </w:t>
      </w:r>
      <w:r>
        <w:rPr>
          <w:rFonts w:ascii="Times New Roman" w:cs="Times New Roman" w:hAnsi="Times New Roman"/>
          <w:color w:val="000000"/>
          <w:sz w:val="24"/>
          <w:szCs w:val="24"/>
        </w:rPr>
        <w:t>heads of institutions</w:t>
      </w:r>
      <w:r>
        <w:rPr>
          <w:rFonts w:ascii="Times New Roman" w:cs="Times New Roman" w:hAnsi="Times New Roman"/>
          <w:color w:val="000000"/>
          <w:sz w:val="24"/>
          <w:szCs w:val="24"/>
        </w:rPr>
        <w:t xml:space="preserve">. Quantitative data from the questionnaires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analyzed using the Pearson correlation test, while qualitative data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analyzed thematically.</w:t>
      </w:r>
      <w:r>
        <w:rPr>
          <w:rFonts w:ascii="Times New Roman" w:cs="Times New Roman" w:hAnsi="Times New Roman"/>
          <w:color w:val="000000"/>
          <w:sz w:val="24"/>
          <w:szCs w:val="24"/>
        </w:rPr>
        <w:t xml:space="preserve"> Pearson correlation analysis revealed strong negative relationships between all independent variables and learner attendance. Socio-economic factors showed the strongest correlation (r = - 0.701, p &lt; 0.05), with financial challenges, poverty, and child labor significantly contributing to absenteeism. Teachers reported that hunger and lack of basic necessities were primary barriers to attendance, with pupils often required to work or support family income. Cultural practices, including early marriages, FGM, and gender-based role expectations, demonstrated a moderate negative correlation (r = - 0.477, p &lt; 0.05), particularly affecting girls. The school environment exhibited a very strong relationship with absenteeism (r = - 0.870, p &lt; 0.05), with inadequate facilities, overcrowding, and poor sanitation identified as major deterrents. Policy implementation showed moderate correlation (r = - 0.513, p &lt; 0.05), with weak monitoring and limited parental engagement undermining attendance interventions. The study recommends implementing comprehensive school feeding programs, improving infrastructure and sanitation facilities, strengthening community sensitization on education value, enhancing parental engagement mechanisms, providing targeted support for economically disadvantaged families, and developing culturally sensitive interventions addressing harmful traditional practices. </w:t>
      </w:r>
    </w:p>
    <w:p>
      <w:pPr>
        <w:pStyle w:val="style0"/>
        <w:spacing w:after="0" w:lineRule="auto" w:line="240"/>
        <w:jc w:val="both"/>
        <w:rPr>
          <w:rFonts w:ascii="Times New Roman" w:cs="Times New Roman" w:hAnsi="Times New Roman"/>
          <w:color w:val="000000"/>
          <w:sz w:val="24"/>
          <w:szCs w:val="24"/>
        </w:rPr>
        <w:sectPr>
          <w:footerReference w:type="default" r:id="rId2"/>
          <w:pgSz w:w="12240" w:h="15840" w:orient="portrait"/>
          <w:pgMar w:top="1134" w:right="1134" w:bottom="1134" w:left="1134" w:header="720" w:footer="720" w:gutter="0"/>
          <w:pgNumType w:fmt="lowerRoman" w:start="1"/>
          <w:cols w:space="720"/>
          <w:titlePg/>
          <w:docGrid w:linePitch="360"/>
        </w:sectPr>
      </w:pPr>
    </w:p>
    <w:bookmarkStart w:id="12" w:name="_Toc188281858"/>
    <w:bookmarkStart w:id="13" w:name="_Toc191462824"/>
    <w:bookmarkStart w:id="14" w:name="_Toc216513766"/>
    <w:p>
      <w:pPr>
        <w:pStyle w:val="style1"/>
        <w:spacing w:before="240"/>
        <w:rPr>
          <w:color w:val="000000"/>
        </w:rPr>
      </w:pPr>
      <w:r>
        <w:rPr>
          <w:color w:val="000000"/>
        </w:rPr>
        <w:t>CHAPTER ONE</w:t>
      </w:r>
      <w:bookmarkEnd w:id="12"/>
      <w:bookmarkEnd w:id="13"/>
      <w:bookmarkEnd w:id="14"/>
    </w:p>
    <w:bookmarkStart w:id="15" w:name="_Toc188281859"/>
    <w:bookmarkStart w:id="16" w:name="_Toc191462825"/>
    <w:bookmarkStart w:id="17" w:name="_Toc216513767"/>
    <w:p>
      <w:pPr>
        <w:pStyle w:val="style1"/>
        <w:spacing w:before="240"/>
        <w:rPr>
          <w:color w:val="000000"/>
        </w:rPr>
      </w:pPr>
      <w:r>
        <w:rPr>
          <w:color w:val="000000"/>
        </w:rPr>
        <w:t>INTRODUCTION</w:t>
      </w:r>
      <w:bookmarkEnd w:id="15"/>
      <w:bookmarkEnd w:id="16"/>
      <w:bookmarkEnd w:id="17"/>
    </w:p>
    <w:bookmarkStart w:id="18" w:name="_Toc216513768"/>
    <w:p>
      <w:pPr>
        <w:pStyle w:val="style1"/>
        <w:numPr>
          <w:ilvl w:val="0"/>
          <w:numId w:val="1"/>
        </w:numPr>
        <w:spacing w:before="240"/>
        <w:jc w:val="both"/>
        <w:rPr>
          <w:color w:val="000000"/>
        </w:rPr>
      </w:pPr>
      <w:r>
        <w:rPr>
          <w:color w:val="000000"/>
        </w:rPr>
        <w:t>Overview</w:t>
      </w:r>
      <w:bookmarkEnd w:id="18"/>
    </w:p>
    <w:bookmarkStart w:id="19" w:name="_Toc218583330"/>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This chapter </w:t>
      </w:r>
      <w:r>
        <w:rPr>
          <w:rFonts w:ascii="Times New Roman" w:cs="Times New Roman" w:hAnsi="Times New Roman"/>
          <w:color w:val="000000"/>
          <w:sz w:val="24"/>
          <w:szCs w:val="24"/>
        </w:rPr>
        <w:t>deals</w:t>
      </w:r>
      <w:r>
        <w:rPr>
          <w:rFonts w:ascii="Times New Roman" w:cs="Times New Roman" w:hAnsi="Times New Roman"/>
          <w:color w:val="000000"/>
          <w:sz w:val="24"/>
          <w:szCs w:val="24"/>
        </w:rPr>
        <w:t xml:space="preserve"> with the background to the study and the statement of the problem. The purpose of the research has been illustrated together with objectives, research questions, hypothesis, and assumptions. The section demonstrates significance of the study, theoretical and conceptual framework, limitation and delimita</w:t>
      </w:r>
      <w:r>
        <w:rPr>
          <w:rFonts w:ascii="Times New Roman" w:cs="Times New Roman" w:hAnsi="Times New Roman"/>
          <w:color w:val="000000"/>
          <w:sz w:val="24"/>
          <w:szCs w:val="24"/>
        </w:rPr>
        <w:t>tions of the study. The chapters</w:t>
      </w:r>
      <w:r>
        <w:rPr>
          <w:rFonts w:ascii="Times New Roman" w:cs="Times New Roman" w:hAnsi="Times New Roman"/>
          <w:color w:val="000000"/>
          <w:sz w:val="24"/>
          <w:szCs w:val="24"/>
        </w:rPr>
        <w:t xml:space="preserve"> also include operational definitions of key terms that </w:t>
      </w:r>
      <w:r>
        <w:rPr>
          <w:rFonts w:ascii="Times New Roman" w:cs="Times New Roman" w:hAnsi="Times New Roman"/>
          <w:color w:val="000000"/>
          <w:sz w:val="24"/>
          <w:szCs w:val="24"/>
        </w:rPr>
        <w:t>were</w:t>
      </w:r>
      <w:r>
        <w:rPr>
          <w:rFonts w:ascii="Times New Roman" w:cs="Times New Roman" w:hAnsi="Times New Roman"/>
          <w:color w:val="000000"/>
          <w:sz w:val="24"/>
          <w:szCs w:val="24"/>
        </w:rPr>
        <w:t xml:space="preserve"> used in the entire research work.</w:t>
      </w:r>
      <w:bookmarkEnd w:id="19"/>
      <w:r>
        <w:rPr>
          <w:rFonts w:ascii="Times New Roman" w:cs="Times New Roman" w:hAnsi="Times New Roman"/>
          <w:color w:val="000000"/>
          <w:sz w:val="24"/>
          <w:szCs w:val="24"/>
        </w:rPr>
        <w:t xml:space="preserve"> </w:t>
      </w:r>
    </w:p>
    <w:bookmarkStart w:id="20" w:name="_Toc188281860"/>
    <w:bookmarkStart w:id="21" w:name="_Toc216513769"/>
    <w:p>
      <w:pPr>
        <w:pStyle w:val="style1"/>
        <w:spacing w:before="240"/>
        <w:jc w:val="both"/>
        <w:rPr>
          <w:color w:val="000000"/>
        </w:rPr>
      </w:pPr>
      <w:r>
        <w:rPr>
          <w:color w:val="000000"/>
        </w:rPr>
        <w:t>1.1 Background</w:t>
      </w:r>
      <w:bookmarkEnd w:id="20"/>
      <w:bookmarkEnd w:id="21"/>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Globally, learners’ absenteeism is recognized as a significant barrier to educational attainment. UNESCO (2020) reports that absenteeism affects learning outcomes and contributes to drop-out rates, particularly in low-income countries. According to the report, even before the COVID-19 hit around 258 million school age children were out of school, with absenteeism being the key obstacle in achieving universal education. This alarming statistic underscores the persistent disparities in educational access, particularly highlighting how wealth significantly influences attendance rates.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The UNESCO (2020) report also sheds light on the broader implications of absenteeism, not only through increased rate of student absenteeism but also with respect to absenteeism among staff, which can further exacerbate the challenges faced by schools. Furthermore, the impact of the COVID-19 pandemic was pronounced, with over 850 million children and youth forced to remain home from school during 2020. This has led to an increase of learners’ absenteeism after the pandemic by 6 million worldwide since 2021. </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East Africa, particularly in countries like Uganda, Kenya and Tanzania, absenteeism is reported as a substantial issue affecting the education system. There are many challenges facing these countries associated with low-income regions. In Uganda, chronic absenteeism of pupils poses a real threat to the effective deliverance of education according to (UNICEF, 2016). Despite various interventions by the government such as free primary education and improved infrastructure, the country still battles absenteeism as major setback in achieving academic goals.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According to Mugisha (2021), a strong correlation exists between economic hardship and absenteeism in East Africa, with children from impoverished backgrounds being especially susceptible to missed school days, often due to need to support their families financially or attend to health related issues.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Kenya, absenteeism is a pressing issue, especially in rural areas. According to the Ministry of Education (2021), the national average attendance rate is approximately 80%, with significant disparities between urban and rural schools. According to the report, absenteeism has been linked to various socio-economic factors including poverty, family instability and health concerns. The report showed that absenteeism had significantly affected academic performances and future opportunities for pupils.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Kwamboka (2013) stated that although Kenyan education sector consumes about 30% of public expenditure, 1.8 million children are still out of school, the reasons given being calamities such as floods, droughts and conflicts which have devastating effects on formal and informal education. Many factors have been identified to contribute to student absenteeism. In Bangal sub- County, factors such as frequent floods that have rendered a lot the learners homeless and the schools flooded Stephen (2024), financial constrains and cultural practices have majorly influenced absenteeism of pupils in primary schools. </w:t>
      </w:r>
    </w:p>
    <w:bookmarkStart w:id="22" w:name="_Toc188281861"/>
    <w:bookmarkStart w:id="23" w:name="_Toc216513770"/>
    <w:p>
      <w:pPr>
        <w:pStyle w:val="style1"/>
        <w:spacing w:before="240"/>
        <w:jc w:val="both"/>
        <w:rPr>
          <w:color w:val="000000"/>
        </w:rPr>
      </w:pPr>
      <w:r>
        <w:rPr>
          <w:color w:val="000000"/>
        </w:rPr>
        <w:t>1.2 Statement of the Problem</w:t>
      </w:r>
      <w:bookmarkEnd w:id="22"/>
      <w:bookmarkEnd w:id="23"/>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Kenyan government's policy of 100% transition aims to ensure all primary school pupils attend school. However, this goal faces a significant challenge: the Ministry of Education (2020) reported that 20% of pupils were not accounted for in school attendance, highlighting a persistent gap between policy and reality.</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​While extensive studies have been conducted on absenteeism, a crucial research gap exists concerning rural Kenyan primary schools. There is limited exploration into the long-term social and economic effects of absenteeism, the influence of cultural factors on attendance, and how different aspects of the school environment contribute to this issue. Furthermore, gender-focused studies and research on the effectiveness of existing absenteeism-reduction programs in Kenya are scarce.</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​Bangal Sub-county exemplifies these broader challenges. A recent preliminary study in one primary school revealed that 32% of pupils in Grades 4 to 6 were absent in the past year. This local data is particularly concerning as it showed a higher rate of absenteeism among girls (50) compared to boys (39). Despite various interventions, a clear understanding of the specific determinants of absenteeism in this sub-county is lacking. This study, therefore, s</w:t>
      </w:r>
      <w:r>
        <w:rPr>
          <w:rFonts w:ascii="Times New Roman" w:cs="Times New Roman" w:hAnsi="Times New Roman"/>
          <w:color w:val="000000"/>
          <w:sz w:val="24"/>
          <w:szCs w:val="24"/>
        </w:rPr>
        <w:t>ought</w:t>
      </w:r>
      <w:r>
        <w:rPr>
          <w:rFonts w:ascii="Times New Roman" w:cs="Times New Roman" w:hAnsi="Times New Roman"/>
          <w:color w:val="000000"/>
          <w:sz w:val="24"/>
          <w:szCs w:val="24"/>
        </w:rPr>
        <w:t xml:space="preserve"> to address these identified knowledge gaps by investigating the unique context of Bangal Sub-county to inform the development of effective, targeted strategies that enhance school attendance and align with the national 100% transition policy.</w:t>
      </w:r>
    </w:p>
    <w:bookmarkStart w:id="24" w:name="_Toc188281862"/>
    <w:bookmarkStart w:id="25" w:name="_Toc216513771"/>
    <w:p>
      <w:pPr>
        <w:pStyle w:val="style1"/>
        <w:spacing w:before="240"/>
        <w:ind w:left="0" w:firstLine="0"/>
        <w:jc w:val="both"/>
        <w:rPr>
          <w:color w:val="000000"/>
        </w:rPr>
      </w:pPr>
      <w:r>
        <w:rPr>
          <w:color w:val="000000"/>
        </w:rPr>
        <w:t>1.3 Purpose of the Study</w:t>
      </w:r>
      <w:bookmarkEnd w:id="24"/>
      <w:bookmarkEnd w:id="25"/>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The purpose of this study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to identify and analyze the determinants of learners’ absenteeism in primary schools in Bangal Sub-county, Tana River County, Kenya.</w:t>
      </w:r>
    </w:p>
    <w:bookmarkStart w:id="26" w:name="_Toc188281863"/>
    <w:bookmarkStart w:id="27" w:name="_Toc216513772"/>
    <w:p>
      <w:pPr>
        <w:pStyle w:val="style1"/>
        <w:spacing w:before="240"/>
        <w:jc w:val="both"/>
        <w:rPr>
          <w:color w:val="000000"/>
        </w:rPr>
      </w:pPr>
      <w:r>
        <w:rPr>
          <w:color w:val="000000"/>
        </w:rPr>
        <w:t>1.4 Objectives</w:t>
      </w:r>
      <w:bookmarkEnd w:id="26"/>
      <w:bookmarkEnd w:id="27"/>
    </w:p>
    <w:p>
      <w:pPr>
        <w:pStyle w:val="style179"/>
        <w:numPr>
          <w:ilvl w:val="0"/>
          <w:numId w:val="22"/>
        </w:numPr>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To assess the </w:t>
      </w:r>
      <w:r>
        <w:rPr>
          <w:rFonts w:ascii="Times New Roman" w:cs="Times New Roman" w:hAnsi="Times New Roman"/>
          <w:color w:val="000000"/>
          <w:sz w:val="24"/>
          <w:szCs w:val="24"/>
        </w:rPr>
        <w:t>relationship</w:t>
      </w:r>
      <w:r>
        <w:rPr>
          <w:rFonts w:ascii="Times New Roman" w:cs="Times New Roman" w:hAnsi="Times New Roman"/>
          <w:color w:val="000000"/>
          <w:sz w:val="24"/>
          <w:szCs w:val="24"/>
        </w:rPr>
        <w:t xml:space="preserve"> between economic factors and learners’ absenteeism in Primary schools in Bangal sub-county, Tana River County, Kenya.</w:t>
      </w:r>
    </w:p>
    <w:p>
      <w:pPr>
        <w:pStyle w:val="style179"/>
        <w:numPr>
          <w:ilvl w:val="0"/>
          <w:numId w:val="22"/>
        </w:numPr>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To examine </w:t>
      </w:r>
      <w:r>
        <w:rPr>
          <w:rFonts w:ascii="Times New Roman" w:cs="Times New Roman" w:hAnsi="Times New Roman"/>
          <w:color w:val="000000"/>
          <w:sz w:val="24"/>
          <w:szCs w:val="24"/>
        </w:rPr>
        <w:t xml:space="preserve">the </w:t>
      </w:r>
      <w:r>
        <w:rPr>
          <w:rFonts w:ascii="Times New Roman" w:cs="Times New Roman" w:hAnsi="Times New Roman"/>
          <w:color w:val="000000"/>
          <w:sz w:val="24"/>
          <w:szCs w:val="24"/>
        </w:rPr>
        <w:t>relationship</w:t>
      </w:r>
      <w:r>
        <w:rPr>
          <w:rFonts w:ascii="Times New Roman" w:cs="Times New Roman" w:hAnsi="Times New Roman"/>
          <w:color w:val="000000"/>
          <w:sz w:val="24"/>
          <w:szCs w:val="24"/>
        </w:rPr>
        <w:t xml:space="preserve"> between</w:t>
      </w:r>
      <w:r>
        <w:rPr>
          <w:rFonts w:ascii="Times New Roman" w:cs="Times New Roman" w:hAnsi="Times New Roman"/>
          <w:color w:val="000000"/>
          <w:sz w:val="24"/>
          <w:szCs w:val="24"/>
        </w:rPr>
        <w:t xml:space="preserve"> cultural practices</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and learners’ absenteeism in Primary schools in Bangal sub-county, Tana River County, Kenya.</w:t>
      </w:r>
    </w:p>
    <w:p>
      <w:pPr>
        <w:pStyle w:val="style179"/>
        <w:numPr>
          <w:ilvl w:val="0"/>
          <w:numId w:val="22"/>
        </w:numPr>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To evaluate </w:t>
      </w:r>
      <w:r>
        <w:rPr>
          <w:rFonts w:ascii="Times New Roman" w:cs="Times New Roman" w:hAnsi="Times New Roman"/>
          <w:color w:val="000000"/>
          <w:sz w:val="24"/>
          <w:szCs w:val="24"/>
        </w:rPr>
        <w:t>relationship between</w:t>
      </w:r>
      <w:r>
        <w:rPr>
          <w:rFonts w:ascii="Times New Roman" w:cs="Times New Roman" w:hAnsi="Times New Roman"/>
          <w:color w:val="000000"/>
          <w:sz w:val="24"/>
          <w:szCs w:val="24"/>
        </w:rPr>
        <w:t xml:space="preserve"> school environment </w:t>
      </w:r>
      <w:r>
        <w:rPr>
          <w:rFonts w:ascii="Times New Roman" w:cs="Times New Roman" w:hAnsi="Times New Roman"/>
          <w:color w:val="000000"/>
          <w:sz w:val="24"/>
          <w:szCs w:val="24"/>
        </w:rPr>
        <w:t>and learners’ absenteeism in Primary schools in Bangal sub-county, Tana River County, Kenya.</w:t>
      </w:r>
    </w:p>
    <w:p>
      <w:pPr>
        <w:pStyle w:val="style179"/>
        <w:numPr>
          <w:ilvl w:val="0"/>
          <w:numId w:val="22"/>
        </w:numPr>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To establish the </w:t>
      </w:r>
      <w:r>
        <w:rPr>
          <w:rFonts w:ascii="Times New Roman" w:cs="Times New Roman" w:hAnsi="Times New Roman"/>
          <w:color w:val="000000"/>
          <w:sz w:val="24"/>
          <w:szCs w:val="24"/>
        </w:rPr>
        <w:t>relationship</w:t>
      </w:r>
      <w:r>
        <w:rPr>
          <w:rFonts w:ascii="Times New Roman" w:cs="Times New Roman" w:hAnsi="Times New Roman"/>
          <w:color w:val="000000"/>
          <w:sz w:val="24"/>
          <w:szCs w:val="24"/>
        </w:rPr>
        <w:t xml:space="preserve"> between </w:t>
      </w:r>
      <w:r>
        <w:rPr>
          <w:rFonts w:ascii="Times New Roman" w:cs="Times New Roman" w:hAnsi="Times New Roman"/>
          <w:color w:val="000000"/>
          <w:sz w:val="24"/>
          <w:szCs w:val="24"/>
        </w:rPr>
        <w:t xml:space="preserve">policy implementation </w:t>
      </w:r>
      <w:r>
        <w:rPr>
          <w:rFonts w:ascii="Times New Roman" w:cs="Times New Roman" w:hAnsi="Times New Roman"/>
          <w:color w:val="000000"/>
          <w:sz w:val="24"/>
          <w:szCs w:val="24"/>
        </w:rPr>
        <w:t>and learners’ absenteeism in Primary schools in Bangal sub-county, Tana River County, Kenya.</w:t>
      </w:r>
    </w:p>
    <w:bookmarkStart w:id="28" w:name="_Toc216513773"/>
    <w:p>
      <w:pPr>
        <w:pStyle w:val="style1"/>
        <w:spacing w:before="240"/>
        <w:jc w:val="both"/>
        <w:rPr>
          <w:b w:val="false"/>
          <w:color w:val="000000"/>
        </w:rPr>
      </w:pPr>
      <w:r>
        <w:rPr>
          <w:color w:val="000000"/>
        </w:rPr>
        <w:t>1.5</w:t>
      </w:r>
      <w:r>
        <w:rPr>
          <w:b w:val="false"/>
          <w:color w:val="000000"/>
        </w:rPr>
        <w:t xml:space="preserve"> </w:t>
      </w:r>
      <w:r>
        <w:rPr>
          <w:color w:val="000000"/>
        </w:rPr>
        <w:t>Research</w:t>
      </w:r>
      <w:r>
        <w:rPr>
          <w:b w:val="false"/>
          <w:color w:val="000000"/>
        </w:rPr>
        <w:t xml:space="preserve"> </w:t>
      </w:r>
      <w:r>
        <w:rPr>
          <w:color w:val="000000"/>
        </w:rPr>
        <w:t>Questions</w:t>
      </w:r>
      <w:bookmarkEnd w:id="28"/>
    </w:p>
    <w:p>
      <w:pPr>
        <w:pStyle w:val="style179"/>
        <w:numPr>
          <w:ilvl w:val="0"/>
          <w:numId w:val="23"/>
        </w:numPr>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What is </w:t>
      </w:r>
      <w:r>
        <w:rPr>
          <w:rFonts w:ascii="Times New Roman" w:cs="Times New Roman" w:hAnsi="Times New Roman"/>
          <w:color w:val="000000"/>
          <w:sz w:val="24"/>
          <w:szCs w:val="24"/>
        </w:rPr>
        <w:t xml:space="preserve">the </w:t>
      </w:r>
      <w:r>
        <w:rPr>
          <w:rFonts w:ascii="Times New Roman" w:cs="Times New Roman" w:hAnsi="Times New Roman"/>
          <w:color w:val="000000"/>
          <w:sz w:val="24"/>
          <w:szCs w:val="24"/>
        </w:rPr>
        <w:t>relationship</w:t>
      </w:r>
      <w:r>
        <w:rPr>
          <w:rFonts w:ascii="Times New Roman" w:cs="Times New Roman" w:hAnsi="Times New Roman"/>
          <w:color w:val="000000"/>
          <w:sz w:val="24"/>
          <w:szCs w:val="24"/>
        </w:rPr>
        <w:t xml:space="preserve"> between economic factors and learners’ absenteeism in Primary schools in Bangal sub-county, Tana River County, </w:t>
      </w:r>
      <w:r>
        <w:rPr>
          <w:rFonts w:ascii="Times New Roman" w:cs="Times New Roman" w:hAnsi="Times New Roman"/>
          <w:color w:val="000000"/>
          <w:sz w:val="24"/>
          <w:szCs w:val="24"/>
        </w:rPr>
        <w:t>Kenya?</w:t>
      </w:r>
    </w:p>
    <w:p>
      <w:pPr>
        <w:pStyle w:val="style179"/>
        <w:numPr>
          <w:ilvl w:val="0"/>
          <w:numId w:val="23"/>
        </w:numPr>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What is relationship</w:t>
      </w:r>
      <w:r>
        <w:rPr>
          <w:rFonts w:ascii="Times New Roman" w:cs="Times New Roman" w:hAnsi="Times New Roman"/>
          <w:color w:val="000000"/>
          <w:sz w:val="24"/>
          <w:szCs w:val="24"/>
        </w:rPr>
        <w:t xml:space="preserve"> between cultural practices</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and learners’ absenteeism in Primary schools in Bangal sub-c</w:t>
      </w:r>
      <w:r>
        <w:rPr>
          <w:rFonts w:ascii="Times New Roman" w:cs="Times New Roman" w:hAnsi="Times New Roman"/>
          <w:color w:val="000000"/>
          <w:sz w:val="24"/>
          <w:szCs w:val="24"/>
        </w:rPr>
        <w:t>ounty, Tana River County, Kenya?</w:t>
      </w:r>
    </w:p>
    <w:p>
      <w:pPr>
        <w:pStyle w:val="style179"/>
        <w:numPr>
          <w:ilvl w:val="0"/>
          <w:numId w:val="23"/>
        </w:numPr>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What is relationship between</w:t>
      </w:r>
      <w:r>
        <w:rPr>
          <w:rFonts w:ascii="Times New Roman" w:cs="Times New Roman" w:hAnsi="Times New Roman"/>
          <w:color w:val="000000"/>
          <w:sz w:val="24"/>
          <w:szCs w:val="24"/>
        </w:rPr>
        <w:t xml:space="preserve"> school environment and learners’ absenteeism in Primary schools in Bangal sub-c</w:t>
      </w:r>
      <w:r>
        <w:rPr>
          <w:rFonts w:ascii="Times New Roman" w:cs="Times New Roman" w:hAnsi="Times New Roman"/>
          <w:color w:val="000000"/>
          <w:sz w:val="24"/>
          <w:szCs w:val="24"/>
        </w:rPr>
        <w:t>ounty, Tana River County, Kenya?</w:t>
      </w:r>
    </w:p>
    <w:p>
      <w:pPr>
        <w:pStyle w:val="style179"/>
        <w:numPr>
          <w:ilvl w:val="0"/>
          <w:numId w:val="23"/>
        </w:numPr>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What is relationship</w:t>
      </w:r>
      <w:r>
        <w:rPr>
          <w:rFonts w:ascii="Times New Roman" w:cs="Times New Roman" w:hAnsi="Times New Roman"/>
          <w:color w:val="000000"/>
          <w:sz w:val="24"/>
          <w:szCs w:val="24"/>
        </w:rPr>
        <w:t xml:space="preserve"> between </w:t>
      </w:r>
      <w:r>
        <w:rPr>
          <w:rFonts w:ascii="Times New Roman" w:cs="Times New Roman" w:hAnsi="Times New Roman"/>
          <w:color w:val="000000"/>
          <w:sz w:val="24"/>
          <w:szCs w:val="24"/>
        </w:rPr>
        <w:t xml:space="preserve">policy implementation </w:t>
      </w:r>
      <w:r>
        <w:rPr>
          <w:rFonts w:ascii="Times New Roman" w:cs="Times New Roman" w:hAnsi="Times New Roman"/>
          <w:color w:val="000000"/>
          <w:sz w:val="24"/>
          <w:szCs w:val="24"/>
        </w:rPr>
        <w:t>and learners’ absenteeism in Primary schools in Bangal sub-c</w:t>
      </w:r>
      <w:r>
        <w:rPr>
          <w:rFonts w:ascii="Times New Roman" w:cs="Times New Roman" w:hAnsi="Times New Roman"/>
          <w:color w:val="000000"/>
          <w:sz w:val="24"/>
          <w:szCs w:val="24"/>
        </w:rPr>
        <w:t>ounty, Tana River County, Kenya?</w:t>
      </w:r>
    </w:p>
    <w:bookmarkStart w:id="29" w:name="_Toc216513774"/>
    <w:p>
      <w:pPr>
        <w:pStyle w:val="style0"/>
        <w:spacing w:after="200" w:lineRule="auto" w:line="276"/>
        <w:rPr>
          <w:rFonts w:ascii="Times New Roman" w:cs="Times New Roman" w:hAnsi="Times New Roman"/>
          <w:b/>
          <w:color w:val="000000"/>
          <w:sz w:val="24"/>
          <w:szCs w:val="24"/>
        </w:rPr>
      </w:pPr>
      <w:r>
        <w:rPr>
          <w:color w:val="000000"/>
        </w:rPr>
        <w:br w:type="page"/>
      </w:r>
    </w:p>
    <w:bookmarkStart w:id="30" w:name="_GoBack"/>
    <w:bookmarkEnd w:id="30"/>
    <w:p>
      <w:pPr>
        <w:pStyle w:val="style1"/>
        <w:spacing w:before="240"/>
        <w:jc w:val="both"/>
        <w:rPr>
          <w:color w:val="000000"/>
        </w:rPr>
      </w:pPr>
      <w:r>
        <w:rPr>
          <w:color w:val="000000"/>
        </w:rPr>
        <w:t>1.6 Hypotheses</w:t>
      </w:r>
      <w:bookmarkEnd w:id="29"/>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HO</w:t>
      </w:r>
      <w:r>
        <w:rPr>
          <w:rFonts w:ascii="Times New Roman" w:cs="Times New Roman" w:hAnsi="Times New Roman"/>
          <w:color w:val="000000"/>
          <w:sz w:val="24"/>
          <w:szCs w:val="24"/>
          <w:vertAlign w:val="subscript"/>
        </w:rPr>
        <w:t>1</w:t>
      </w:r>
      <w:r>
        <w:rPr>
          <w:rFonts w:ascii="Times New Roman" w:cs="Times New Roman" w:hAnsi="Times New Roman"/>
          <w:color w:val="000000"/>
          <w:sz w:val="24"/>
          <w:szCs w:val="24"/>
        </w:rPr>
        <w:t>: There is no significant relationship between</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economic factors and learners’ absenteeism Primary schools in Bangal sub-county</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HO</w:t>
      </w:r>
      <w:r>
        <w:rPr>
          <w:rFonts w:ascii="Times New Roman" w:cs="Times New Roman" w:hAnsi="Times New Roman"/>
          <w:color w:val="000000"/>
          <w:sz w:val="24"/>
          <w:szCs w:val="24"/>
          <w:vertAlign w:val="subscript"/>
        </w:rPr>
        <w:t>2</w:t>
      </w:r>
      <w:r>
        <w:rPr>
          <w:rFonts w:ascii="Times New Roman" w:cs="Times New Roman" w:hAnsi="Times New Roman"/>
          <w:color w:val="000000"/>
          <w:sz w:val="24"/>
          <w:szCs w:val="24"/>
        </w:rPr>
        <w:t>: There is no significant relationship between Cultural practices and learners’ absenteeism Primary schools in Bangal sub-county</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HO</w:t>
      </w:r>
      <w:r>
        <w:rPr>
          <w:rFonts w:ascii="Times New Roman" w:cs="Times New Roman" w:hAnsi="Times New Roman"/>
          <w:color w:val="000000"/>
          <w:sz w:val="24"/>
          <w:szCs w:val="24"/>
          <w:vertAlign w:val="subscript"/>
        </w:rPr>
        <w:t>3</w:t>
      </w:r>
      <w:r>
        <w:rPr>
          <w:rFonts w:ascii="Times New Roman" w:cs="Times New Roman" w:hAnsi="Times New Roman"/>
          <w:color w:val="000000"/>
          <w:sz w:val="24"/>
          <w:szCs w:val="24"/>
        </w:rPr>
        <w:t>: There is no significant relationship between school environment and learners’ absenteeism in public Primary schools in Bangal sub-county</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HO</w:t>
      </w:r>
      <w:r>
        <w:rPr>
          <w:rFonts w:ascii="Times New Roman" w:cs="Times New Roman" w:hAnsi="Times New Roman"/>
          <w:color w:val="000000"/>
          <w:sz w:val="24"/>
          <w:szCs w:val="24"/>
          <w:vertAlign w:val="subscript"/>
        </w:rPr>
        <w:t>4</w:t>
      </w:r>
      <w:r>
        <w:rPr>
          <w:rFonts w:ascii="Times New Roman" w:cs="Times New Roman" w:hAnsi="Times New Roman"/>
          <w:color w:val="000000"/>
          <w:sz w:val="24"/>
          <w:szCs w:val="24"/>
        </w:rPr>
        <w:t>: There is no significant relationship between policy implementation and learners’ absenteeism Primary schools in Bangal sub-county</w:t>
      </w:r>
    </w:p>
    <w:bookmarkStart w:id="31" w:name="_Toc216513775"/>
    <w:p>
      <w:pPr>
        <w:pStyle w:val="style1"/>
        <w:spacing w:before="240"/>
        <w:jc w:val="both"/>
        <w:rPr>
          <w:color w:val="000000"/>
        </w:rPr>
      </w:pPr>
      <w:r>
        <w:rPr>
          <w:color w:val="000000"/>
        </w:rPr>
        <w:t>1.7 Significance of the Study</w:t>
      </w:r>
      <w:bookmarkEnd w:id="31"/>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This study </w:t>
      </w:r>
      <w:r>
        <w:rPr>
          <w:rFonts w:ascii="Times New Roman" w:cs="Times New Roman" w:hAnsi="Times New Roman"/>
          <w:color w:val="000000"/>
          <w:sz w:val="24"/>
          <w:szCs w:val="24"/>
        </w:rPr>
        <w:t>would</w:t>
      </w:r>
      <w:r>
        <w:rPr>
          <w:rFonts w:ascii="Times New Roman" w:cs="Times New Roman" w:hAnsi="Times New Roman"/>
          <w:color w:val="000000"/>
          <w:sz w:val="24"/>
          <w:szCs w:val="24"/>
        </w:rPr>
        <w:t xml:space="preserve"> provide valuable insights into the factors contributing to learners’ absenteeism in Bangal Sub-county. The findings </w:t>
      </w:r>
      <w:r>
        <w:rPr>
          <w:rFonts w:ascii="Times New Roman" w:cs="Times New Roman" w:hAnsi="Times New Roman"/>
          <w:color w:val="000000"/>
          <w:sz w:val="24"/>
          <w:szCs w:val="24"/>
        </w:rPr>
        <w:t>could</w:t>
      </w:r>
      <w:r>
        <w:rPr>
          <w:rFonts w:ascii="Times New Roman" w:cs="Times New Roman" w:hAnsi="Times New Roman"/>
          <w:color w:val="000000"/>
          <w:sz w:val="24"/>
          <w:szCs w:val="24"/>
        </w:rPr>
        <w:t xml:space="preserve"> help inform the policy makers in the development of policies aimed at reducing absenteeism. By understanding the root causes of absenteeism such as economic, cultural and school environment, the policy makers </w:t>
      </w:r>
      <w:r>
        <w:rPr>
          <w:rFonts w:ascii="Times New Roman" w:cs="Times New Roman" w:hAnsi="Times New Roman"/>
          <w:color w:val="000000"/>
          <w:sz w:val="24"/>
          <w:szCs w:val="24"/>
        </w:rPr>
        <w:t>could</w:t>
      </w:r>
      <w:r>
        <w:rPr>
          <w:rFonts w:ascii="Times New Roman" w:cs="Times New Roman" w:hAnsi="Times New Roman"/>
          <w:color w:val="000000"/>
          <w:sz w:val="24"/>
          <w:szCs w:val="24"/>
        </w:rPr>
        <w:t xml:space="preserve"> design targeted interventions to tackle such issues that keep learners away from school. This ensures that every child has the opportunity to attend school and learn.</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For the community, this research emphasizes the vital role of the community in supporting school attendance. It encourages parents and community members to be proactive in ensuring their children regularly attend school, fostering a more supportive and engaged environment for students.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Teachers and school administrators </w:t>
      </w:r>
      <w:r>
        <w:rPr>
          <w:rFonts w:ascii="Times New Roman" w:cs="Times New Roman" w:hAnsi="Times New Roman"/>
          <w:color w:val="000000"/>
          <w:sz w:val="24"/>
          <w:szCs w:val="24"/>
        </w:rPr>
        <w:t>could</w:t>
      </w:r>
      <w:r>
        <w:rPr>
          <w:rFonts w:ascii="Times New Roman" w:cs="Times New Roman" w:hAnsi="Times New Roman"/>
          <w:color w:val="000000"/>
          <w:sz w:val="24"/>
          <w:szCs w:val="24"/>
        </w:rPr>
        <w:t xml:space="preserve"> also use the findings to better understand why students a</w:t>
      </w:r>
      <w:r>
        <w:rPr>
          <w:rFonts w:ascii="Times New Roman" w:cs="Times New Roman" w:hAnsi="Times New Roman"/>
          <w:color w:val="000000"/>
          <w:sz w:val="24"/>
          <w:szCs w:val="24"/>
        </w:rPr>
        <w:t>re absent. This knowledge allows</w:t>
      </w:r>
      <w:r>
        <w:rPr>
          <w:rFonts w:ascii="Times New Roman" w:cs="Times New Roman" w:hAnsi="Times New Roman"/>
          <w:color w:val="000000"/>
          <w:sz w:val="24"/>
          <w:szCs w:val="24"/>
        </w:rPr>
        <w:t xml:space="preserve"> them to develop strategies to keep students engaged and motivated. It also encourages collaboration with parents and the community to address and reduce absenteeism  </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study findings would</w:t>
      </w:r>
      <w:r>
        <w:rPr>
          <w:rFonts w:ascii="Times New Roman" w:cs="Times New Roman" w:hAnsi="Times New Roman"/>
          <w:color w:val="000000"/>
          <w:sz w:val="24"/>
          <w:szCs w:val="24"/>
        </w:rPr>
        <w:t xml:space="preserve"> also assist in implementing health and nutritional programs to ensure that students are physically able to attend school. Regular health check-ups, nutritional supplements and awareness campaigns about hygiene can significantly bring major change in terms of students’ school attendance</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The research findings </w:t>
      </w:r>
      <w:r>
        <w:rPr>
          <w:rFonts w:ascii="Times New Roman" w:cs="Times New Roman" w:hAnsi="Times New Roman"/>
          <w:color w:val="000000"/>
          <w:sz w:val="24"/>
          <w:szCs w:val="24"/>
        </w:rPr>
        <w:t>could</w:t>
      </w:r>
      <w:r>
        <w:rPr>
          <w:rFonts w:ascii="Times New Roman" w:cs="Times New Roman" w:hAnsi="Times New Roman"/>
          <w:color w:val="000000"/>
          <w:sz w:val="24"/>
          <w:szCs w:val="24"/>
        </w:rPr>
        <w:t xml:space="preserve"> also be used for financial assistance. The learners from low-income households</w:t>
      </w:r>
      <w:r>
        <w:rPr>
          <w:rFonts w:ascii="Times New Roman" w:cs="Times New Roman" w:hAnsi="Times New Roman"/>
          <w:color w:val="000000"/>
          <w:sz w:val="24"/>
          <w:szCs w:val="24"/>
        </w:rPr>
        <w:t xml:space="preserve"> could </w:t>
      </w:r>
      <w:r>
        <w:rPr>
          <w:rFonts w:ascii="Times New Roman" w:cs="Times New Roman" w:hAnsi="Times New Roman"/>
          <w:color w:val="000000"/>
          <w:sz w:val="24"/>
          <w:szCs w:val="24"/>
        </w:rPr>
        <w:t>benefit from the financial assistance from various organizations and Government entities to alleviate the economic burden that might prevent them from attending school. Scholarships, stipends and provision of school supplies cam make education more accessible.</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Parental education </w:t>
      </w:r>
      <w:r>
        <w:rPr>
          <w:rFonts w:ascii="Times New Roman" w:cs="Times New Roman" w:hAnsi="Times New Roman"/>
          <w:color w:val="000000"/>
          <w:sz w:val="24"/>
          <w:szCs w:val="24"/>
        </w:rPr>
        <w:t>could</w:t>
      </w:r>
      <w:r>
        <w:rPr>
          <w:rFonts w:ascii="Times New Roman" w:cs="Times New Roman" w:hAnsi="Times New Roman"/>
          <w:color w:val="000000"/>
          <w:sz w:val="24"/>
          <w:szCs w:val="24"/>
        </w:rPr>
        <w:t xml:space="preserve"> be done using the findings form the research. Educating parents about the importance of regular school attendance and providing them with the tools to support their children’s education can have a positive impact. Worksh</w:t>
      </w:r>
      <w:r>
        <w:rPr>
          <w:rFonts w:ascii="Times New Roman" w:cs="Times New Roman" w:hAnsi="Times New Roman"/>
          <w:color w:val="000000"/>
          <w:sz w:val="24"/>
          <w:szCs w:val="24"/>
        </w:rPr>
        <w:t>ops and informational sessions could</w:t>
      </w:r>
      <w:r>
        <w:rPr>
          <w:rFonts w:ascii="Times New Roman" w:cs="Times New Roman" w:hAnsi="Times New Roman"/>
          <w:color w:val="000000"/>
          <w:sz w:val="24"/>
          <w:szCs w:val="24"/>
        </w:rPr>
        <w:t xml:space="preserve"> empower parents to become active participants in their children’s education.</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The study findings </w:t>
      </w:r>
      <w:r>
        <w:rPr>
          <w:rFonts w:ascii="Times New Roman" w:cs="Times New Roman" w:hAnsi="Times New Roman"/>
          <w:color w:val="000000"/>
          <w:sz w:val="24"/>
          <w:szCs w:val="24"/>
        </w:rPr>
        <w:t>could</w:t>
      </w:r>
      <w:r>
        <w:rPr>
          <w:rFonts w:ascii="Times New Roman" w:cs="Times New Roman" w:hAnsi="Times New Roman"/>
          <w:color w:val="000000"/>
          <w:sz w:val="24"/>
          <w:szCs w:val="24"/>
        </w:rPr>
        <w:t xml:space="preserve"> be used by administrators in developing incentive programs that reward regular attendance. This can in turn motivate learners to attend school consistently. Recognition, awards and small prizes </w:t>
      </w:r>
      <w:r>
        <w:rPr>
          <w:rFonts w:ascii="Times New Roman" w:cs="Times New Roman" w:hAnsi="Times New Roman"/>
          <w:color w:val="000000"/>
          <w:sz w:val="24"/>
          <w:szCs w:val="24"/>
        </w:rPr>
        <w:t xml:space="preserve">could </w:t>
      </w:r>
      <w:r>
        <w:rPr>
          <w:rFonts w:ascii="Times New Roman" w:cs="Times New Roman" w:hAnsi="Times New Roman"/>
          <w:color w:val="000000"/>
          <w:sz w:val="24"/>
          <w:szCs w:val="24"/>
        </w:rPr>
        <w:t>encourage students to maintain good school attendance records.</w:t>
      </w:r>
    </w:p>
    <w:bookmarkStart w:id="32" w:name="_Toc216513776"/>
    <w:p>
      <w:pPr>
        <w:pStyle w:val="style1"/>
        <w:spacing w:before="240"/>
        <w:jc w:val="both"/>
        <w:rPr>
          <w:color w:val="000000"/>
        </w:rPr>
      </w:pPr>
      <w:r>
        <w:rPr>
          <w:color w:val="000000"/>
        </w:rPr>
        <w:t>1.8 Theoretical Framework</w:t>
      </w:r>
      <w:bookmarkEnd w:id="32"/>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The study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guided by the Social Ecological Model, which posits that individual behavior is influenced by multiple levels of factors, including individual, relationship, community, and societal levels (Bronfenbrenner, 1979).</w:t>
      </w:r>
    </w:p>
    <w:p>
      <w:pPr>
        <w:pStyle w:val="style0"/>
        <w:spacing w:before="240" w:after="0" w:lineRule="auto" w:line="480"/>
        <w:jc w:val="both"/>
        <w:rPr>
          <w:rFonts w:ascii="Times New Roman" w:cs="Times New Roman" w:hAnsi="Times New Roman"/>
          <w:i/>
          <w:color w:val="000000"/>
          <w:sz w:val="24"/>
          <w:szCs w:val="24"/>
        </w:rPr>
      </w:pPr>
      <w:r>
        <w:rPr>
          <w:rFonts w:ascii="Times New Roman" w:cs="Times New Roman" w:eastAsia="Times New Roman" w:hAnsi="Times New Roman"/>
          <w:color w:val="000000"/>
          <w:sz w:val="24"/>
          <w:szCs w:val="24"/>
        </w:rPr>
        <w:t xml:space="preserve">The Social Ecological Model (SEM) is a framework for understanding the multifaceted and interactive effects of individual, relationship, community, and societal factors on health outcomes, including behaviors like learners’ absenteeism. </w:t>
      </w:r>
      <w:r>
        <w:rPr>
          <w:rFonts w:ascii="Times New Roman" w:cs="Times New Roman" w:eastAsia="Times New Roman" w:hAnsi="Times New Roman"/>
          <w:color w:val="000000"/>
          <w:sz w:val="24"/>
          <w:szCs w:val="24"/>
        </w:rPr>
        <w:t xml:space="preserve">There are various </w:t>
      </w:r>
      <w:r>
        <w:rPr>
          <w:rFonts w:ascii="Times New Roman" w:cs="Times New Roman" w:eastAsia="Times New Roman" w:hAnsi="Times New Roman"/>
          <w:color w:val="000000"/>
          <w:sz w:val="24"/>
          <w:szCs w:val="24"/>
        </w:rPr>
        <w:t>l</w:t>
      </w:r>
      <w:r>
        <w:rPr>
          <w:rFonts w:ascii="Times New Roman" w:cs="Times New Roman" w:hAnsi="Times New Roman"/>
          <w:color w:val="000000"/>
          <w:sz w:val="24"/>
          <w:szCs w:val="24"/>
        </w:rPr>
        <w:t>evels of the</w:t>
      </w:r>
      <w:r>
        <w:rPr>
          <w:rFonts w:ascii="Times New Roman" w:cs="Times New Roman" w:hAnsi="Times New Roman"/>
          <w:color w:val="000000"/>
          <w:sz w:val="24"/>
          <w:szCs w:val="24"/>
        </w:rPr>
        <w:t xml:space="preserve"> Social Ecological Model.</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bCs/>
          <w:color w:val="000000"/>
          <w:sz w:val="24"/>
          <w:szCs w:val="24"/>
        </w:rPr>
        <w:t>Individual Level</w:t>
      </w:r>
      <w:r>
        <w:rPr>
          <w:rFonts w:ascii="Times New Roman" w:cs="Times New Roman" w:hAnsi="Times New Roman"/>
          <w:color w:val="000000"/>
          <w:sz w:val="24"/>
          <w:szCs w:val="24"/>
        </w:rPr>
        <w:t xml:space="preserve">: This level focuses on personal factors that influence behavior, such as knowledge, attitudes, and skills. </w:t>
      </w:r>
      <w:r>
        <w:rPr>
          <w:rFonts w:ascii="Times New Roman" w:cs="Times New Roman" w:hAnsi="Times New Roman"/>
          <w:bCs/>
          <w:color w:val="000000"/>
          <w:sz w:val="24"/>
          <w:szCs w:val="24"/>
        </w:rPr>
        <w:t>Example</w:t>
      </w:r>
      <w:r>
        <w:rPr>
          <w:rFonts w:ascii="Times New Roman" w:cs="Times New Roman" w:hAnsi="Times New Roman"/>
          <w:color w:val="000000"/>
          <w:sz w:val="24"/>
          <w:szCs w:val="24"/>
        </w:rPr>
        <w:t>: A child’s perception of school importance may affect their attendance.</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bCs/>
          <w:color w:val="000000"/>
          <w:sz w:val="24"/>
          <w:szCs w:val="24"/>
        </w:rPr>
        <w:t>Relationship Level</w:t>
      </w:r>
      <w:r>
        <w:rPr>
          <w:rFonts w:ascii="Times New Roman" w:cs="Times New Roman" w:hAnsi="Times New Roman"/>
          <w:color w:val="000000"/>
          <w:sz w:val="24"/>
          <w:szCs w:val="24"/>
        </w:rPr>
        <w:t xml:space="preserve">: This level examines how close relationships, such as family and peers, influence behaviors. </w:t>
      </w:r>
      <w:r>
        <w:rPr>
          <w:rFonts w:ascii="Times New Roman" w:cs="Times New Roman" w:hAnsi="Times New Roman"/>
          <w:bCs/>
          <w:color w:val="000000"/>
          <w:sz w:val="24"/>
          <w:szCs w:val="24"/>
        </w:rPr>
        <w:t>Example</w:t>
      </w:r>
      <w:r>
        <w:rPr>
          <w:rFonts w:ascii="Times New Roman" w:cs="Times New Roman" w:hAnsi="Times New Roman"/>
          <w:color w:val="000000"/>
          <w:sz w:val="24"/>
          <w:szCs w:val="24"/>
        </w:rPr>
        <w:t>: Support from family or friends can motivate a child to attend school regularly.</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bCs/>
          <w:color w:val="000000"/>
          <w:sz w:val="24"/>
          <w:szCs w:val="24"/>
        </w:rPr>
        <w:t>Community Level</w:t>
      </w:r>
      <w:r>
        <w:rPr>
          <w:rFonts w:ascii="Times New Roman" w:cs="Times New Roman" w:hAnsi="Times New Roman"/>
          <w:color w:val="000000"/>
          <w:sz w:val="24"/>
          <w:szCs w:val="24"/>
        </w:rPr>
        <w:t xml:space="preserve">: This level considers the settings where social relationships occur, such as schools and neighborhoods. </w:t>
      </w:r>
      <w:r>
        <w:rPr>
          <w:rFonts w:ascii="Times New Roman" w:cs="Times New Roman" w:hAnsi="Times New Roman"/>
          <w:bCs/>
          <w:color w:val="000000"/>
          <w:sz w:val="24"/>
          <w:szCs w:val="24"/>
        </w:rPr>
        <w:t>Example</w:t>
      </w:r>
      <w:r>
        <w:rPr>
          <w:rFonts w:ascii="Times New Roman" w:cs="Times New Roman" w:hAnsi="Times New Roman"/>
          <w:color w:val="000000"/>
          <w:sz w:val="24"/>
          <w:szCs w:val="24"/>
        </w:rPr>
        <w:t>: Schools that foster a positive environment may reduce absenteeism.</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bCs/>
          <w:color w:val="000000"/>
          <w:sz w:val="24"/>
          <w:szCs w:val="24"/>
        </w:rPr>
        <w:t>Societal Level</w:t>
      </w:r>
      <w:r>
        <w:rPr>
          <w:rFonts w:ascii="Times New Roman" w:cs="Times New Roman" w:hAnsi="Times New Roman"/>
          <w:color w:val="000000"/>
          <w:sz w:val="24"/>
          <w:szCs w:val="24"/>
        </w:rPr>
        <w:t xml:space="preserve">: This level addresses broader societal factors, including policies, cultural norms, and socioeconomic conditions. </w:t>
      </w:r>
      <w:r>
        <w:rPr>
          <w:rFonts w:ascii="Times New Roman" w:cs="Times New Roman" w:hAnsi="Times New Roman"/>
          <w:bCs/>
          <w:color w:val="000000"/>
          <w:sz w:val="24"/>
          <w:szCs w:val="24"/>
        </w:rPr>
        <w:t>Example</w:t>
      </w:r>
      <w:r>
        <w:rPr>
          <w:rFonts w:ascii="Times New Roman" w:cs="Times New Roman" w:hAnsi="Times New Roman"/>
          <w:color w:val="000000"/>
          <w:sz w:val="24"/>
          <w:szCs w:val="24"/>
        </w:rPr>
        <w:t>: National education policies that promote attendance can impact overall rates</w:t>
      </w:r>
    </w:p>
    <w:bookmarkStart w:id="33" w:name="_Toc188281864"/>
    <w:p>
      <w:pPr>
        <w:pStyle w:val="style0"/>
        <w:spacing w:after="200" w:lineRule="auto" w:line="276"/>
        <w:rPr>
          <w:rFonts w:ascii="Times New Roman" w:cs="Times New Roman" w:hAnsi="Times New Roman"/>
          <w:b/>
          <w:color w:val="000000"/>
          <w:sz w:val="24"/>
          <w:szCs w:val="24"/>
        </w:rPr>
      </w:pPr>
      <w:r>
        <w:rPr>
          <w:color w:val="000000"/>
        </w:rPr>
        <w:br w:type="page"/>
      </w:r>
    </w:p>
    <w:bookmarkStart w:id="34" w:name="_Toc216513777"/>
    <w:p>
      <w:pPr>
        <w:pStyle w:val="style1"/>
        <w:spacing w:before="240"/>
        <w:jc w:val="both"/>
        <w:rPr>
          <w:color w:val="000000"/>
        </w:rPr>
      </w:pPr>
      <w:r>
        <w:rPr>
          <w:color w:val="000000"/>
        </w:rPr>
        <w:t>1.9 Conceptual Framework</w:t>
      </w:r>
      <w:bookmarkEnd w:id="33"/>
      <w:bookmarkEnd w:id="34"/>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The conceptual framework </w:t>
      </w:r>
      <w:r>
        <w:rPr>
          <w:rFonts w:ascii="Times New Roman" w:cs="Times New Roman" w:hAnsi="Times New Roman"/>
          <w:color w:val="000000"/>
          <w:sz w:val="24"/>
          <w:szCs w:val="24"/>
        </w:rPr>
        <w:t>s</w:t>
      </w:r>
      <w:r>
        <w:rPr>
          <w:rFonts w:ascii="Times New Roman" w:cs="Times New Roman" w:hAnsi="Times New Roman"/>
          <w:color w:val="000000"/>
          <w:sz w:val="24"/>
          <w:szCs w:val="24"/>
        </w:rPr>
        <w:t xml:space="preserve"> the interrelationship between economic, cultural practices, school environment, policy implementation and how they relate to learners’ absenteeism.</w:t>
      </w:r>
    </w:p>
    <w:bookmarkStart w:id="35" w:name="_Toc216423853"/>
    <w:p>
      <w:pPr>
        <w:pStyle w:val="style4110"/>
        <w:rPr>
          <w:i w:val="false"/>
        </w:rPr>
      </w:pPr>
      <w:r>
        <w:rPr>
          <w:i w:val="false"/>
        </w:rPr>
        <w:t>Figure 1</w:t>
      </w:r>
      <w:bookmarkEnd w:id="35"/>
    </w:p>
    <w:bookmarkStart w:id="36" w:name="_Toc216423854"/>
    <w:p>
      <w:pPr>
        <w:pStyle w:val="style4110"/>
        <w:rPr>
          <w:b w:val="false"/>
        </w:rPr>
      </w:pPr>
      <w:r>
        <w:rPr>
          <w:b w:val="false"/>
        </w:rPr>
        <w:t>Conceptual Framework</w:t>
      </w:r>
      <w:bookmarkEnd w:id="36"/>
      <w:r>
        <w:rPr>
          <w:b w:val="false"/>
        </w:rPr>
        <w:t xml:space="preserve"> </w:t>
      </w:r>
    </w:p>
    <w:p>
      <w:pPr>
        <w:pStyle w:val="style0"/>
        <w:spacing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 xml:space="preserve">Independent Variables            </w:t>
      </w:r>
      <w:r>
        <w:rPr>
          <w:rFonts w:ascii="Times New Roman" w:cs="Times New Roman" w:hAnsi="Times New Roman"/>
          <w:b/>
          <w:color w:val="000000"/>
          <w:sz w:val="24"/>
          <w:szCs w:val="24"/>
        </w:rPr>
        <w:t xml:space="preserve">           Intervening variable</w:t>
      </w:r>
      <w:r>
        <w:rPr>
          <w:rFonts w:ascii="Times New Roman" w:cs="Times New Roman" w:hAnsi="Times New Roman"/>
          <w:b/>
          <w:color w:val="000000"/>
          <w:sz w:val="24"/>
          <w:szCs w:val="24"/>
        </w:rPr>
        <w:t xml:space="preserve">                  Dependent Variable                                                       </w:t>
      </w:r>
    </w:p>
    <w:p>
      <w:pPr>
        <w:pStyle w:val="style0"/>
        <w:spacing w:lineRule="auto" w:line="360"/>
        <w:jc w:val="both"/>
        <w:rPr>
          <w:rFonts w:ascii="Times New Roman" w:cs="Times New Roman" w:hAnsi="Times New Roman"/>
          <w:b/>
          <w:color w:val="000000"/>
          <w:sz w:val="24"/>
          <w:szCs w:val="24"/>
        </w:rPr>
      </w:pPr>
      <w:r>
        <w:rPr>
          <w:rFonts w:ascii="Times New Roman" w:cs="Times New Roman" w:hAnsi="Times New Roman"/>
          <w:b/>
          <w:noProof/>
          <w:color w:val="000000"/>
          <w:sz w:val="24"/>
          <w:szCs w:val="24"/>
        </w:rPr>
        <mc:AlternateContent>
          <mc:Choice Requires="wpg">
            <w:drawing>
              <wp:anchor distT="0" distB="0" distL="0" distR="0" simplePos="false" relativeHeight="4" behindDoc="false" locked="false" layoutInCell="true" allowOverlap="true">
                <wp:simplePos x="0" y="0"/>
                <wp:positionH relativeFrom="column">
                  <wp:posOffset>-241300</wp:posOffset>
                </wp:positionH>
                <wp:positionV relativeFrom="paragraph">
                  <wp:posOffset>16510</wp:posOffset>
                </wp:positionV>
                <wp:extent cx="6527800" cy="3383915"/>
                <wp:effectExtent l="21590" t="24765" r="22860" b="10795"/>
                <wp:wrapNone/>
                <wp:docPr id="1026" name="Group 1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527800" cy="3383915"/>
                          <a:chOff x="754" y="5214"/>
                          <a:chExt cx="10280" cy="5329"/>
                        </a:xfrm>
                      </wpg:grpSpPr>
                      <wps:wsp>
                        <wps:cNvSpPr/>
                        <wps:spPr>
                          <a:xfrm rot="0">
                            <a:off x="754" y="5214"/>
                            <a:ext cx="3290" cy="4470"/>
                          </a:xfrm>
                          <a:prstGeom prst="rect"/>
                          <a:solidFill>
                            <a:srgbClr val="ffffff"/>
                          </a:solidFill>
                          <a:ln cmpd="sng" cap="flat" w="31750">
                            <a:solidFill>
                              <a:srgbClr val="000000"/>
                            </a:solidFill>
                            <a:prstDash val="solid"/>
                            <a:miter/>
                            <a:headEnd len="med" w="med" type="none"/>
                            <a:tailEnd len="med" w="med" type="none"/>
                          </a:ln>
                        </wps:spPr>
                        <wps:txbx id="1027">
                          <w:txbxContent>
                            <w:p>
                              <w:pPr>
                                <w:pStyle w:val="style179"/>
                                <w:numPr>
                                  <w:ilvl w:val="0"/>
                                  <w:numId w:val="28"/>
                                </w:numPr>
                                <w:spacing w:after="0" w:lineRule="auto" w:line="240"/>
                                <w:rPr>
                                  <w:rFonts w:ascii="Times New Roman" w:cs="Times New Roman" w:hAnsi="Times New Roman"/>
                                  <w:b/>
                                  <w:sz w:val="20"/>
                                  <w:szCs w:val="20"/>
                                </w:rPr>
                              </w:pPr>
                              <w:r>
                                <w:rPr>
                                  <w:rFonts w:ascii="Times New Roman" w:cs="Times New Roman" w:hAnsi="Times New Roman"/>
                                  <w:b/>
                                  <w:sz w:val="20"/>
                                  <w:szCs w:val="20"/>
                                </w:rPr>
                                <w:t xml:space="preserve">Economic factors                     </w:t>
                              </w:r>
                            </w:p>
                            <w:p>
                              <w:pPr>
                                <w:pStyle w:val="style179"/>
                                <w:numPr>
                                  <w:ilvl w:val="0"/>
                                  <w:numId w:val="6"/>
                                </w:numPr>
                                <w:spacing w:after="0" w:lineRule="auto" w:line="240"/>
                                <w:rPr>
                                  <w:rFonts w:ascii="Times New Roman" w:cs="Times New Roman" w:hAnsi="Times New Roman"/>
                                  <w:sz w:val="20"/>
                                  <w:szCs w:val="20"/>
                                </w:rPr>
                              </w:pPr>
                              <w:r>
                                <w:rPr>
                                  <w:rFonts w:ascii="Times New Roman" w:cs="Times New Roman" w:hAnsi="Times New Roman"/>
                                  <w:sz w:val="20"/>
                                  <w:szCs w:val="20"/>
                                </w:rPr>
                                <w:t>Basic needs</w:t>
                              </w:r>
                            </w:p>
                            <w:p>
                              <w:pPr>
                                <w:pStyle w:val="style179"/>
                                <w:numPr>
                                  <w:ilvl w:val="0"/>
                                  <w:numId w:val="6"/>
                                </w:numPr>
                                <w:spacing w:after="0" w:lineRule="auto" w:line="240"/>
                                <w:rPr>
                                  <w:rFonts w:ascii="Times New Roman" w:cs="Times New Roman" w:hAnsi="Times New Roman"/>
                                  <w:sz w:val="20"/>
                                  <w:szCs w:val="20"/>
                                </w:rPr>
                              </w:pPr>
                              <w:r>
                                <w:rPr>
                                  <w:rFonts w:ascii="Times New Roman" w:cs="Times New Roman" w:hAnsi="Times New Roman"/>
                                  <w:sz w:val="20"/>
                                  <w:szCs w:val="20"/>
                                </w:rPr>
                                <w:t>Child labor</w:t>
                              </w:r>
                            </w:p>
                            <w:p>
                              <w:pPr>
                                <w:pStyle w:val="style179"/>
                                <w:numPr>
                                  <w:ilvl w:val="0"/>
                                  <w:numId w:val="6"/>
                                </w:numPr>
                                <w:spacing w:after="0" w:lineRule="auto" w:line="240"/>
                                <w:rPr>
                                  <w:rFonts w:ascii="Times New Roman" w:cs="Times New Roman" w:hAnsi="Times New Roman"/>
                                  <w:sz w:val="20"/>
                                  <w:szCs w:val="20"/>
                                </w:rPr>
                              </w:pPr>
                              <w:r>
                                <w:rPr>
                                  <w:rFonts w:ascii="Times New Roman" w:cs="Times New Roman" w:hAnsi="Times New Roman"/>
                                  <w:sz w:val="20"/>
                                  <w:szCs w:val="20"/>
                                </w:rPr>
                                <w:t xml:space="preserve">Parental income                        </w:t>
                              </w:r>
                            </w:p>
                            <w:p>
                              <w:pPr>
                                <w:pStyle w:val="style179"/>
                                <w:numPr>
                                  <w:ilvl w:val="0"/>
                                  <w:numId w:val="28"/>
                                </w:numPr>
                                <w:spacing w:after="0" w:lineRule="auto" w:line="240"/>
                                <w:rPr>
                                  <w:rFonts w:ascii="Times New Roman" w:cs="Times New Roman" w:hAnsi="Times New Roman"/>
                                  <w:b/>
                                  <w:sz w:val="20"/>
                                  <w:szCs w:val="20"/>
                                </w:rPr>
                              </w:pPr>
                              <w:r>
                                <w:rPr>
                                  <w:rFonts w:ascii="Times New Roman" w:cs="Times New Roman" w:hAnsi="Times New Roman"/>
                                  <w:b/>
                                  <w:sz w:val="20"/>
                                  <w:szCs w:val="20"/>
                                </w:rPr>
                                <w:t xml:space="preserve">Cultural factors </w:t>
                              </w:r>
                            </w:p>
                            <w:p>
                              <w:pPr>
                                <w:pStyle w:val="style179"/>
                                <w:numPr>
                                  <w:ilvl w:val="0"/>
                                  <w:numId w:val="7"/>
                                </w:numPr>
                                <w:spacing w:after="0" w:lineRule="auto" w:line="240"/>
                                <w:rPr>
                                  <w:rFonts w:ascii="Times New Roman" w:cs="Times New Roman" w:hAnsi="Times New Roman"/>
                                  <w:sz w:val="20"/>
                                  <w:szCs w:val="20"/>
                                </w:rPr>
                              </w:pPr>
                              <w:r>
                                <w:rPr>
                                  <w:rFonts w:ascii="Times New Roman" w:cs="Times New Roman" w:hAnsi="Times New Roman"/>
                                  <w:sz w:val="20"/>
                                  <w:szCs w:val="20"/>
                                </w:rPr>
                                <w:t>Early marriages</w:t>
                              </w:r>
                            </w:p>
                            <w:p>
                              <w:pPr>
                                <w:pStyle w:val="style179"/>
                                <w:numPr>
                                  <w:ilvl w:val="0"/>
                                  <w:numId w:val="7"/>
                                </w:numPr>
                                <w:spacing w:after="0" w:lineRule="auto" w:line="240"/>
                                <w:rPr>
                                  <w:rFonts w:ascii="Times New Roman" w:cs="Times New Roman" w:hAnsi="Times New Roman"/>
                                  <w:sz w:val="20"/>
                                  <w:szCs w:val="20"/>
                                </w:rPr>
                              </w:pPr>
                              <w:r>
                                <w:rPr>
                                  <w:rFonts w:ascii="Times New Roman" w:cs="Times New Roman" w:hAnsi="Times New Roman"/>
                                  <w:sz w:val="20"/>
                                  <w:szCs w:val="20"/>
                                </w:rPr>
                                <w:t>FGM</w:t>
                              </w:r>
                            </w:p>
                            <w:p>
                              <w:pPr>
                                <w:pStyle w:val="style179"/>
                                <w:numPr>
                                  <w:ilvl w:val="0"/>
                                  <w:numId w:val="28"/>
                                </w:numPr>
                                <w:spacing w:after="0" w:lineRule="auto" w:line="240"/>
                                <w:rPr>
                                  <w:rFonts w:ascii="Times New Roman" w:cs="Times New Roman" w:hAnsi="Times New Roman"/>
                                  <w:b/>
                                  <w:sz w:val="20"/>
                                  <w:szCs w:val="20"/>
                                </w:rPr>
                              </w:pPr>
                              <w:r>
                                <w:rPr>
                                  <w:rFonts w:ascii="Times New Roman" w:cs="Times New Roman" w:hAnsi="Times New Roman"/>
                                  <w:b/>
                                  <w:sz w:val="20"/>
                                  <w:szCs w:val="20"/>
                                </w:rPr>
                                <w:t>School Environment</w:t>
                              </w:r>
                            </w:p>
                            <w:p>
                              <w:pPr>
                                <w:pStyle w:val="style179"/>
                                <w:numPr>
                                  <w:ilvl w:val="0"/>
                                  <w:numId w:val="8"/>
                                </w:numPr>
                                <w:spacing w:after="0" w:lineRule="auto" w:line="240"/>
                                <w:rPr>
                                  <w:rFonts w:ascii="Times New Roman" w:cs="Times New Roman" w:hAnsi="Times New Roman"/>
                                  <w:sz w:val="20"/>
                                  <w:szCs w:val="20"/>
                                </w:rPr>
                              </w:pPr>
                              <w:r>
                                <w:rPr>
                                  <w:rFonts w:ascii="Times New Roman" w:cs="Times New Roman" w:hAnsi="Times New Roman"/>
                                  <w:sz w:val="20"/>
                                  <w:szCs w:val="20"/>
                                </w:rPr>
                                <w:t>Infrastructure</w:t>
                              </w:r>
                            </w:p>
                            <w:p>
                              <w:pPr>
                                <w:pStyle w:val="style179"/>
                                <w:numPr>
                                  <w:ilvl w:val="0"/>
                                  <w:numId w:val="8"/>
                                </w:numPr>
                                <w:spacing w:after="0" w:lineRule="auto" w:line="240"/>
                                <w:rPr>
                                  <w:rFonts w:ascii="Times New Roman" w:cs="Times New Roman" w:hAnsi="Times New Roman"/>
                                  <w:sz w:val="20"/>
                                  <w:szCs w:val="20"/>
                                </w:rPr>
                              </w:pPr>
                              <w:r>
                                <w:rPr>
                                  <w:rFonts w:ascii="Times New Roman" w:cs="Times New Roman" w:hAnsi="Times New Roman"/>
                                  <w:sz w:val="20"/>
                                  <w:szCs w:val="20"/>
                                </w:rPr>
                                <w:t>Punishment methods</w:t>
                              </w:r>
                            </w:p>
                            <w:p>
                              <w:pPr>
                                <w:pStyle w:val="style179"/>
                                <w:numPr>
                                  <w:ilvl w:val="0"/>
                                  <w:numId w:val="8"/>
                                </w:numPr>
                                <w:spacing w:after="0" w:lineRule="auto" w:line="240"/>
                                <w:rPr>
                                  <w:rFonts w:ascii="Times New Roman" w:cs="Times New Roman" w:hAnsi="Times New Roman"/>
                                  <w:sz w:val="20"/>
                                  <w:szCs w:val="20"/>
                                </w:rPr>
                              </w:pPr>
                              <w:r>
                                <w:rPr>
                                  <w:rFonts w:ascii="Times New Roman" w:cs="Times New Roman" w:hAnsi="Times New Roman"/>
                                  <w:sz w:val="20"/>
                                  <w:szCs w:val="20"/>
                                </w:rPr>
                                <w:t>Security and safety</w:t>
                              </w:r>
                            </w:p>
                            <w:p>
                              <w:pPr>
                                <w:pStyle w:val="style179"/>
                                <w:numPr>
                                  <w:ilvl w:val="0"/>
                                  <w:numId w:val="8"/>
                                </w:numPr>
                                <w:spacing w:after="0" w:lineRule="auto" w:line="240"/>
                                <w:rPr>
                                  <w:rFonts w:ascii="Times New Roman" w:cs="Times New Roman" w:hAnsi="Times New Roman"/>
                                  <w:sz w:val="20"/>
                                  <w:szCs w:val="20"/>
                                </w:rPr>
                              </w:pPr>
                              <w:r>
                                <w:rPr>
                                  <w:rFonts w:ascii="Times New Roman" w:cs="Times New Roman" w:hAnsi="Times New Roman"/>
                                  <w:sz w:val="20"/>
                                  <w:szCs w:val="20"/>
                                </w:rPr>
                                <w:t>Teacher behavior</w:t>
                              </w:r>
                            </w:p>
                            <w:p>
                              <w:pPr>
                                <w:pStyle w:val="style179"/>
                                <w:numPr>
                                  <w:ilvl w:val="0"/>
                                  <w:numId w:val="28"/>
                                </w:numPr>
                                <w:spacing w:after="0" w:lineRule="auto" w:line="240"/>
                                <w:rPr>
                                  <w:rFonts w:ascii="Times New Roman" w:cs="Times New Roman" w:hAnsi="Times New Roman"/>
                                  <w:b/>
                                  <w:sz w:val="20"/>
                                  <w:szCs w:val="20"/>
                                </w:rPr>
                              </w:pPr>
                              <w:r>
                                <w:rPr>
                                  <w:rFonts w:ascii="Times New Roman" w:cs="Times New Roman" w:hAnsi="Times New Roman"/>
                                  <w:b/>
                                  <w:sz w:val="20"/>
                                  <w:szCs w:val="20"/>
                                </w:rPr>
                                <w:t xml:space="preserve">Policy implementation </w:t>
                              </w:r>
                            </w:p>
                            <w:p>
                              <w:pPr>
                                <w:pStyle w:val="style179"/>
                                <w:numPr>
                                  <w:ilvl w:val="0"/>
                                  <w:numId w:val="9"/>
                                </w:numPr>
                                <w:spacing w:after="0" w:lineRule="auto" w:line="240"/>
                                <w:rPr>
                                  <w:rFonts w:ascii="Times New Roman" w:cs="Times New Roman" w:hAnsi="Times New Roman"/>
                                  <w:sz w:val="20"/>
                                  <w:szCs w:val="20"/>
                                </w:rPr>
                              </w:pPr>
                              <w:r>
                                <w:rPr>
                                  <w:rFonts w:ascii="Times New Roman" w:cs="Times New Roman" w:hAnsi="Times New Roman"/>
                                  <w:sz w:val="20"/>
                                  <w:szCs w:val="20"/>
                                </w:rPr>
                                <w:t>Parental engagement</w:t>
                              </w:r>
                            </w:p>
                            <w:p>
                              <w:pPr>
                                <w:pStyle w:val="style179"/>
                                <w:numPr>
                                  <w:ilvl w:val="0"/>
                                  <w:numId w:val="9"/>
                                </w:numPr>
                                <w:spacing w:after="0" w:lineRule="auto" w:line="240"/>
                                <w:rPr>
                                  <w:rFonts w:ascii="Times New Roman" w:cs="Times New Roman" w:hAnsi="Times New Roman"/>
                                </w:rPr>
                              </w:pPr>
                              <w:r>
                                <w:rPr>
                                  <w:rFonts w:ascii="Times New Roman" w:cs="Times New Roman" w:hAnsi="Times New Roman"/>
                                  <w:sz w:val="20"/>
                                  <w:szCs w:val="20"/>
                                </w:rPr>
                                <w:t>School</w:t>
                              </w:r>
                              <w:r>
                                <w:rPr>
                                  <w:rFonts w:ascii="Times New Roman" w:cs="Times New Roman" w:hAnsi="Times New Roman"/>
                                  <w:sz w:val="24"/>
                                  <w:szCs w:val="24"/>
                                </w:rPr>
                                <w:t xml:space="preserve"> </w:t>
                              </w:r>
                              <w:r>
                                <w:rPr>
                                  <w:rFonts w:ascii="Times New Roman" w:cs="Times New Roman" w:hAnsi="Times New Roman"/>
                                  <w:sz w:val="20"/>
                                  <w:szCs w:val="20"/>
                                </w:rPr>
                                <w:t>rules</w:t>
                              </w:r>
                            </w:p>
                            <w:p>
                              <w:pPr>
                                <w:pStyle w:val="style179"/>
                                <w:numPr>
                                  <w:ilvl w:val="0"/>
                                  <w:numId w:val="9"/>
                                </w:numPr>
                                <w:spacing w:after="0" w:lineRule="auto" w:line="240"/>
                                <w:rPr>
                                  <w:rFonts w:ascii="Times New Roman" w:cs="Times New Roman" w:hAnsi="Times New Roman"/>
                                  <w:sz w:val="20"/>
                                  <w:szCs w:val="20"/>
                                </w:rPr>
                              </w:pPr>
                              <w:r>
                                <w:rPr>
                                  <w:rFonts w:ascii="Times New Roman" w:cs="Times New Roman" w:hAnsi="Times New Roman"/>
                                  <w:sz w:val="20"/>
                                  <w:szCs w:val="20"/>
                                </w:rPr>
                                <w:t>Teacher teamwork</w:t>
                              </w:r>
                            </w:p>
                            <w:p>
                              <w:pPr>
                                <w:pStyle w:val="style0"/>
                                <w:spacing w:lineRule="auto" w:line="480"/>
                                <w:jc w:val="center"/>
                                <w:rPr/>
                              </w:pPr>
                            </w:p>
                            <w:p>
                              <w:pPr>
                                <w:pStyle w:val="style0"/>
                                <w:spacing w:lineRule="auto" w:line="480"/>
                                <w:jc w:val="center"/>
                                <w:rPr/>
                              </w:pPr>
                            </w:p>
                            <w:p>
                              <w:pPr>
                                <w:pStyle w:val="style0"/>
                                <w:spacing w:lineRule="auto" w:line="480"/>
                                <w:jc w:val="center"/>
                                <w:rPr/>
                              </w:pPr>
                            </w:p>
                            <w:p>
                              <w:pPr>
                                <w:pStyle w:val="style0"/>
                                <w:spacing w:lineRule="auto" w:line="480"/>
                                <w:jc w:val="center"/>
                                <w:rPr/>
                              </w:pPr>
                            </w:p>
                            <w:p>
                              <w:pPr>
                                <w:pStyle w:val="style0"/>
                                <w:spacing w:lineRule="auto" w:line="480"/>
                                <w:jc w:val="center"/>
                                <w:rPr/>
                              </w:pPr>
                            </w:p>
                            <w:p>
                              <w:pPr>
                                <w:pStyle w:val="style0"/>
                                <w:spacing w:lineRule="auto" w:line="480"/>
                                <w:jc w:val="center"/>
                                <w:rPr/>
                              </w:pPr>
                            </w:p>
                            <w:p>
                              <w:pPr>
                                <w:pStyle w:val="style0"/>
                                <w:spacing w:lineRule="auto" w:line="480"/>
                                <w:jc w:val="center"/>
                                <w:rPr/>
                              </w:pPr>
                            </w:p>
                            <w:p>
                              <w:pPr>
                                <w:pStyle w:val="style0"/>
                                <w:spacing w:lineRule="auto" w:line="480"/>
                                <w:jc w:val="center"/>
                                <w:rPr/>
                              </w:pPr>
                            </w:p>
                            <w:p>
                              <w:pPr>
                                <w:pStyle w:val="style0"/>
                                <w:spacing w:lineRule="auto" w:line="480"/>
                                <w:jc w:val="center"/>
                                <w:rPr/>
                              </w:pPr>
                            </w:p>
                          </w:txbxContent>
                        </wps:txbx>
                        <wps:bodyPr lIns="91440" rIns="91440" tIns="45720" bIns="45720" vert="horz" anchor="ctr" wrap="square" upright="true">
                          <a:prstTxWarp prst="textNoShape"/>
                          <a:noAutofit/>
                        </wps:bodyPr>
                      </wps:wsp>
                      <wps:wsp>
                        <wps:cNvSpPr/>
                        <wps:spPr>
                          <a:xfrm rot="0">
                            <a:off x="8222" y="5277"/>
                            <a:ext cx="2812" cy="1828"/>
                          </a:xfrm>
                          <a:prstGeom prst="rect"/>
                          <a:solidFill>
                            <a:srgbClr val="ffffff"/>
                          </a:solidFill>
                          <a:ln cmpd="sng" cap="flat" w="31750">
                            <a:solidFill>
                              <a:srgbClr val="000000"/>
                            </a:solidFill>
                            <a:prstDash val="solid"/>
                            <a:miter/>
                            <a:headEnd len="med" w="med" type="none"/>
                            <a:tailEnd len="med" w="med" type="none"/>
                          </a:ln>
                        </wps:spPr>
                        <wps:txbx id="1028">
                          <w:txbxContent>
                            <w:p>
                              <w:pPr>
                                <w:pStyle w:val="style0"/>
                                <w:jc w:val="center"/>
                                <w:rPr>
                                  <w:rFonts w:ascii="Times New Roman" w:cs="Times New Roman" w:hAnsi="Times New Roman"/>
                                </w:rPr>
                              </w:pPr>
                              <w:r>
                                <w:rPr>
                                  <w:rFonts w:ascii="Times New Roman" w:cs="Times New Roman" w:hAnsi="Times New Roman"/>
                                  <w:color w:val="000000"/>
                                  <w:sz w:val="24"/>
                                  <w:szCs w:val="24"/>
                                </w:rPr>
                                <w:t>Learners’ Absenteeism</w:t>
                              </w:r>
                            </w:p>
                          </w:txbxContent>
                        </wps:txbx>
                        <wps:bodyPr lIns="91440" rIns="91440" tIns="45720" bIns="45720" vert="horz" anchor="ctr" wrap="square" upright="true">
                          <a:prstTxWarp prst="textNoShape"/>
                          <a:noAutofit/>
                        </wps:bodyPr>
                      </wps:wsp>
                      <wps:wsp>
                        <wps:cNvSpPr/>
                        <wps:spPr>
                          <a:xfrm rot="0">
                            <a:off x="4914" y="5247"/>
                            <a:ext cx="2280" cy="3127"/>
                          </a:xfrm>
                          <a:prstGeom prst="rect"/>
                          <a:solidFill>
                            <a:srgbClr val="ffffff"/>
                          </a:solidFill>
                          <a:ln cmpd="sng" cap="flat" w="31750">
                            <a:solidFill>
                              <a:srgbClr val="000000"/>
                            </a:solidFill>
                            <a:prstDash val="solid"/>
                            <a:miter/>
                            <a:headEnd len="med" w="med" type="none"/>
                            <a:tailEnd len="med" w="med" type="none"/>
                          </a:ln>
                        </wps:spPr>
                        <wps:txbx id="1029">
                          <w:txbxContent>
                            <w:p>
                              <w:pPr>
                                <w:pStyle w:val="style0"/>
                                <w:rPr/>
                              </w:pPr>
                              <w:r>
                                <w:t xml:space="preserve">                </w:t>
                              </w:r>
                            </w:p>
                            <w:p>
                              <w:pPr>
                                <w:pStyle w:val="style179"/>
                                <w:ind w:left="360"/>
                                <w:rPr/>
                              </w:pPr>
                            </w:p>
                            <w:p>
                              <w:pPr>
                                <w:pStyle w:val="style179"/>
                                <w:ind w:left="360"/>
                                <w:rPr/>
                              </w:pPr>
                            </w:p>
                            <w:p>
                              <w:pPr>
                                <w:pStyle w:val="style179"/>
                                <w:ind w:left="360"/>
                                <w:rPr>
                                  <w:rFonts w:ascii="Times New Roman" w:cs="Times New Roman" w:hAnsi="Times New Roman"/>
                                </w:rPr>
                              </w:pPr>
                            </w:p>
                            <w:p>
                              <w:pPr>
                                <w:pStyle w:val="style179"/>
                                <w:numPr>
                                  <w:ilvl w:val="0"/>
                                  <w:numId w:val="21"/>
                                </w:numPr>
                                <w:rPr>
                                  <w:rFonts w:ascii="Times New Roman" w:cs="Times New Roman" w:hAnsi="Times New Roman"/>
                                </w:rPr>
                              </w:pPr>
                              <w:r>
                                <w:rPr>
                                  <w:rFonts w:ascii="Times New Roman" w:cs="Times New Roman" w:hAnsi="Times New Roman"/>
                                </w:rPr>
                                <w:t>Student attitude</w:t>
                              </w:r>
                            </w:p>
                            <w:p>
                              <w:pPr>
                                <w:pStyle w:val="style0"/>
                                <w:ind w:left="360"/>
                                <w:rPr/>
                              </w:pPr>
                            </w:p>
                            <w:p>
                              <w:pPr>
                                <w:pStyle w:val="style0"/>
                                <w:rPr/>
                              </w:pPr>
                            </w:p>
                          </w:txbxContent>
                        </wps:txbx>
                        <wps:bodyPr lIns="91440" rIns="91440" tIns="45720" bIns="45720" vert="horz" anchor="t" wrap="square" upright="true">
                          <a:prstTxWarp prst="textNoShape"/>
                          <a:noAutofit/>
                        </wps:bodyPr>
                      </wps:wsp>
                      <wps:wsp>
                        <wps:cNvSpPr/>
                        <wps:spPr>
                          <a:xfrm rot="0">
                            <a:off x="4044" y="6534"/>
                            <a:ext cx="870" cy="1"/>
                          </a:xfrm>
                          <a:prstGeom prst="straightConnector1"/>
                          <a:ln cmpd="sng" cap="flat" w="19050">
                            <a:solidFill>
                              <a:srgbClr val="000000"/>
                            </a:solidFill>
                            <a:prstDash val="solid"/>
                            <a:round/>
                            <a:headEnd len="med" w="med" type="none"/>
                            <a:tailEnd len="med" w="med" type="triangle"/>
                          </a:ln>
                        </wps:spPr>
                        <wps:bodyPr>
                          <a:prstTxWarp prst="textNoShape"/>
                        </wps:bodyPr>
                      </wps:wsp>
                      <wps:wsp>
                        <wps:cNvSpPr/>
                        <wps:spPr>
                          <a:xfrm rot="0">
                            <a:off x="7194" y="6534"/>
                            <a:ext cx="1028" cy="0"/>
                          </a:xfrm>
                          <a:prstGeom prst="straightConnector1"/>
                          <a:ln cmpd="sng" cap="flat" w="19050">
                            <a:solidFill>
                              <a:srgbClr val="000000"/>
                            </a:solidFill>
                            <a:prstDash val="solid"/>
                            <a:round/>
                            <a:headEnd len="med" w="med" type="none"/>
                            <a:tailEnd len="med" w="med" type="triangle"/>
                          </a:ln>
                        </wps:spPr>
                        <wps:bodyPr>
                          <a:prstTxWarp prst="textNoShape"/>
                        </wps:bodyPr>
                      </wps:wsp>
                      <wps:wsp>
                        <wps:cNvSpPr/>
                        <wps:spPr>
                          <a:xfrm rot="0">
                            <a:off x="2354" y="9718"/>
                            <a:ext cx="0" cy="825"/>
                          </a:xfrm>
                          <a:prstGeom prst="straightConnector1"/>
                          <a:ln cmpd="sng" cap="flat" w="19050">
                            <a:solidFill>
                              <a:srgbClr val="000000"/>
                            </a:solidFill>
                            <a:prstDash val="solid"/>
                            <a:round/>
                            <a:headEnd len="med" w="med" type="none"/>
                            <a:tailEnd len="med" w="med" type="none"/>
                          </a:ln>
                        </wps:spPr>
                        <wps:bodyPr>
                          <a:prstTxWarp prst="textNoShape"/>
                        </wps:bodyPr>
                      </wps:wsp>
                      <wps:wsp>
                        <wps:cNvSpPr/>
                        <wps:spPr>
                          <a:xfrm rot="0">
                            <a:off x="2354" y="10543"/>
                            <a:ext cx="6685" cy="0"/>
                          </a:xfrm>
                          <a:prstGeom prst="straightConnector1"/>
                          <a:ln cmpd="sng" cap="flat" w="19050">
                            <a:solidFill>
                              <a:srgbClr val="000000"/>
                            </a:solidFill>
                            <a:prstDash val="solid"/>
                            <a:round/>
                            <a:headEnd len="med" w="med" type="none"/>
                            <a:tailEnd len="med" w="med" type="none"/>
                          </a:ln>
                        </wps:spPr>
                        <wps:bodyPr>
                          <a:prstTxWarp prst="textNoShape"/>
                        </wps:bodyPr>
                      </wps:wsp>
                    </wpg:wgp>
                  </a:graphicData>
                </a:graphic>
                <wp14:sizeRelH relativeFrom="page">
                  <wp14:pctWidth>0</wp14:pctWidth>
                </wp14:sizeRelH>
                <wp14:sizeRelV relativeFrom="page">
                  <wp14:pctHeight>0</wp14:pctHeight>
                </wp14:sizeRelV>
              </wp:anchor>
            </w:drawing>
          </mc:Choice>
          <mc:Fallback>
            <w:pict>
              <v:group id="1026" filled="f" stroked="f" style="position:absolute;margin-left:-19.0pt;margin-top:1.3pt;width:514.0pt;height:266.45pt;z-index:4;mso-position-horizontal-relative:text;mso-position-vertical-relative:text;mso-width-percent:0;mso-height-percent:0;mso-width-relative:page;mso-height-relative:page;mso-wrap-distance-left:0.0pt;mso-wrap-distance-right:0.0pt;visibility:visible;" coordsize="10280,5329" coordorigin="754,5214">
                <v:rect id="1027" fillcolor="white" stroked="t" style="position:absolute;left:754;top:5214;width:3290;height:4470;z-index:2;mso-position-horizontal-relative:page;mso-position-vertical-relative:page;mso-width-relative:page;mso-height-relative:page;visibility:visible;v-text-anchor:middle;">
                  <v:stroke joinstyle="miter" weight="2.5pt"/>
                  <v:fill/>
                  <v:textbox inset="7.2pt,3.6pt,7.2pt,3.6pt">
                    <w:txbxContent>
                      <w:p>
                        <w:pPr>
                          <w:pStyle w:val="style179"/>
                          <w:numPr>
                            <w:ilvl w:val="0"/>
                            <w:numId w:val="28"/>
                          </w:numPr>
                          <w:spacing w:after="0" w:lineRule="auto" w:line="240"/>
                          <w:rPr>
                            <w:rFonts w:ascii="Times New Roman" w:cs="Times New Roman" w:hAnsi="Times New Roman"/>
                            <w:b/>
                            <w:sz w:val="20"/>
                            <w:szCs w:val="20"/>
                          </w:rPr>
                        </w:pPr>
                        <w:r>
                          <w:rPr>
                            <w:rFonts w:ascii="Times New Roman" w:cs="Times New Roman" w:hAnsi="Times New Roman"/>
                            <w:b/>
                            <w:sz w:val="20"/>
                            <w:szCs w:val="20"/>
                          </w:rPr>
                          <w:t xml:space="preserve">Economic factors                     </w:t>
                        </w:r>
                      </w:p>
                      <w:p>
                        <w:pPr>
                          <w:pStyle w:val="style179"/>
                          <w:numPr>
                            <w:ilvl w:val="0"/>
                            <w:numId w:val="6"/>
                          </w:numPr>
                          <w:spacing w:after="0" w:lineRule="auto" w:line="240"/>
                          <w:rPr>
                            <w:rFonts w:ascii="Times New Roman" w:cs="Times New Roman" w:hAnsi="Times New Roman"/>
                            <w:sz w:val="20"/>
                            <w:szCs w:val="20"/>
                          </w:rPr>
                        </w:pPr>
                        <w:r>
                          <w:rPr>
                            <w:rFonts w:ascii="Times New Roman" w:cs="Times New Roman" w:hAnsi="Times New Roman"/>
                            <w:sz w:val="20"/>
                            <w:szCs w:val="20"/>
                          </w:rPr>
                          <w:t>Basic needs</w:t>
                        </w:r>
                      </w:p>
                      <w:p>
                        <w:pPr>
                          <w:pStyle w:val="style179"/>
                          <w:numPr>
                            <w:ilvl w:val="0"/>
                            <w:numId w:val="6"/>
                          </w:numPr>
                          <w:spacing w:after="0" w:lineRule="auto" w:line="240"/>
                          <w:rPr>
                            <w:rFonts w:ascii="Times New Roman" w:cs="Times New Roman" w:hAnsi="Times New Roman"/>
                            <w:sz w:val="20"/>
                            <w:szCs w:val="20"/>
                          </w:rPr>
                        </w:pPr>
                        <w:r>
                          <w:rPr>
                            <w:rFonts w:ascii="Times New Roman" w:cs="Times New Roman" w:hAnsi="Times New Roman"/>
                            <w:sz w:val="20"/>
                            <w:szCs w:val="20"/>
                          </w:rPr>
                          <w:t>Child labor</w:t>
                        </w:r>
                      </w:p>
                      <w:p>
                        <w:pPr>
                          <w:pStyle w:val="style179"/>
                          <w:numPr>
                            <w:ilvl w:val="0"/>
                            <w:numId w:val="6"/>
                          </w:numPr>
                          <w:spacing w:after="0" w:lineRule="auto" w:line="240"/>
                          <w:rPr>
                            <w:rFonts w:ascii="Times New Roman" w:cs="Times New Roman" w:hAnsi="Times New Roman"/>
                            <w:sz w:val="20"/>
                            <w:szCs w:val="20"/>
                          </w:rPr>
                        </w:pPr>
                        <w:r>
                          <w:rPr>
                            <w:rFonts w:ascii="Times New Roman" w:cs="Times New Roman" w:hAnsi="Times New Roman"/>
                            <w:sz w:val="20"/>
                            <w:szCs w:val="20"/>
                          </w:rPr>
                          <w:t xml:space="preserve">Parental income                        </w:t>
                        </w:r>
                      </w:p>
                      <w:p>
                        <w:pPr>
                          <w:pStyle w:val="style179"/>
                          <w:numPr>
                            <w:ilvl w:val="0"/>
                            <w:numId w:val="28"/>
                          </w:numPr>
                          <w:spacing w:after="0" w:lineRule="auto" w:line="240"/>
                          <w:rPr>
                            <w:rFonts w:ascii="Times New Roman" w:cs="Times New Roman" w:hAnsi="Times New Roman"/>
                            <w:b/>
                            <w:sz w:val="20"/>
                            <w:szCs w:val="20"/>
                          </w:rPr>
                        </w:pPr>
                        <w:r>
                          <w:rPr>
                            <w:rFonts w:ascii="Times New Roman" w:cs="Times New Roman" w:hAnsi="Times New Roman"/>
                            <w:b/>
                            <w:sz w:val="20"/>
                            <w:szCs w:val="20"/>
                          </w:rPr>
                          <w:t xml:space="preserve">Cultural factors </w:t>
                        </w:r>
                      </w:p>
                      <w:p>
                        <w:pPr>
                          <w:pStyle w:val="style179"/>
                          <w:numPr>
                            <w:ilvl w:val="0"/>
                            <w:numId w:val="7"/>
                          </w:numPr>
                          <w:spacing w:after="0" w:lineRule="auto" w:line="240"/>
                          <w:rPr>
                            <w:rFonts w:ascii="Times New Roman" w:cs="Times New Roman" w:hAnsi="Times New Roman"/>
                            <w:sz w:val="20"/>
                            <w:szCs w:val="20"/>
                          </w:rPr>
                        </w:pPr>
                        <w:r>
                          <w:rPr>
                            <w:rFonts w:ascii="Times New Roman" w:cs="Times New Roman" w:hAnsi="Times New Roman"/>
                            <w:sz w:val="20"/>
                            <w:szCs w:val="20"/>
                          </w:rPr>
                          <w:t>Early marriages</w:t>
                        </w:r>
                      </w:p>
                      <w:p>
                        <w:pPr>
                          <w:pStyle w:val="style179"/>
                          <w:numPr>
                            <w:ilvl w:val="0"/>
                            <w:numId w:val="7"/>
                          </w:numPr>
                          <w:spacing w:after="0" w:lineRule="auto" w:line="240"/>
                          <w:rPr>
                            <w:rFonts w:ascii="Times New Roman" w:cs="Times New Roman" w:hAnsi="Times New Roman"/>
                            <w:sz w:val="20"/>
                            <w:szCs w:val="20"/>
                          </w:rPr>
                        </w:pPr>
                        <w:r>
                          <w:rPr>
                            <w:rFonts w:ascii="Times New Roman" w:cs="Times New Roman" w:hAnsi="Times New Roman"/>
                            <w:sz w:val="20"/>
                            <w:szCs w:val="20"/>
                          </w:rPr>
                          <w:t>FGM</w:t>
                        </w:r>
                      </w:p>
                      <w:p>
                        <w:pPr>
                          <w:pStyle w:val="style179"/>
                          <w:numPr>
                            <w:ilvl w:val="0"/>
                            <w:numId w:val="28"/>
                          </w:numPr>
                          <w:spacing w:after="0" w:lineRule="auto" w:line="240"/>
                          <w:rPr>
                            <w:rFonts w:ascii="Times New Roman" w:cs="Times New Roman" w:hAnsi="Times New Roman"/>
                            <w:b/>
                            <w:sz w:val="20"/>
                            <w:szCs w:val="20"/>
                          </w:rPr>
                        </w:pPr>
                        <w:r>
                          <w:rPr>
                            <w:rFonts w:ascii="Times New Roman" w:cs="Times New Roman" w:hAnsi="Times New Roman"/>
                            <w:b/>
                            <w:sz w:val="20"/>
                            <w:szCs w:val="20"/>
                          </w:rPr>
                          <w:t>School Environment</w:t>
                        </w:r>
                      </w:p>
                      <w:p>
                        <w:pPr>
                          <w:pStyle w:val="style179"/>
                          <w:numPr>
                            <w:ilvl w:val="0"/>
                            <w:numId w:val="8"/>
                          </w:numPr>
                          <w:spacing w:after="0" w:lineRule="auto" w:line="240"/>
                          <w:rPr>
                            <w:rFonts w:ascii="Times New Roman" w:cs="Times New Roman" w:hAnsi="Times New Roman"/>
                            <w:sz w:val="20"/>
                            <w:szCs w:val="20"/>
                          </w:rPr>
                        </w:pPr>
                        <w:r>
                          <w:rPr>
                            <w:rFonts w:ascii="Times New Roman" w:cs="Times New Roman" w:hAnsi="Times New Roman"/>
                            <w:sz w:val="20"/>
                            <w:szCs w:val="20"/>
                          </w:rPr>
                          <w:t>Infrastructure</w:t>
                        </w:r>
                      </w:p>
                      <w:p>
                        <w:pPr>
                          <w:pStyle w:val="style179"/>
                          <w:numPr>
                            <w:ilvl w:val="0"/>
                            <w:numId w:val="8"/>
                          </w:numPr>
                          <w:spacing w:after="0" w:lineRule="auto" w:line="240"/>
                          <w:rPr>
                            <w:rFonts w:ascii="Times New Roman" w:cs="Times New Roman" w:hAnsi="Times New Roman"/>
                            <w:sz w:val="20"/>
                            <w:szCs w:val="20"/>
                          </w:rPr>
                        </w:pPr>
                        <w:r>
                          <w:rPr>
                            <w:rFonts w:ascii="Times New Roman" w:cs="Times New Roman" w:hAnsi="Times New Roman"/>
                            <w:sz w:val="20"/>
                            <w:szCs w:val="20"/>
                          </w:rPr>
                          <w:t>Punishment methods</w:t>
                        </w:r>
                      </w:p>
                      <w:p>
                        <w:pPr>
                          <w:pStyle w:val="style179"/>
                          <w:numPr>
                            <w:ilvl w:val="0"/>
                            <w:numId w:val="8"/>
                          </w:numPr>
                          <w:spacing w:after="0" w:lineRule="auto" w:line="240"/>
                          <w:rPr>
                            <w:rFonts w:ascii="Times New Roman" w:cs="Times New Roman" w:hAnsi="Times New Roman"/>
                            <w:sz w:val="20"/>
                            <w:szCs w:val="20"/>
                          </w:rPr>
                        </w:pPr>
                        <w:r>
                          <w:rPr>
                            <w:rFonts w:ascii="Times New Roman" w:cs="Times New Roman" w:hAnsi="Times New Roman"/>
                            <w:sz w:val="20"/>
                            <w:szCs w:val="20"/>
                          </w:rPr>
                          <w:t>Security and safety</w:t>
                        </w:r>
                      </w:p>
                      <w:p>
                        <w:pPr>
                          <w:pStyle w:val="style179"/>
                          <w:numPr>
                            <w:ilvl w:val="0"/>
                            <w:numId w:val="8"/>
                          </w:numPr>
                          <w:spacing w:after="0" w:lineRule="auto" w:line="240"/>
                          <w:rPr>
                            <w:rFonts w:ascii="Times New Roman" w:cs="Times New Roman" w:hAnsi="Times New Roman"/>
                            <w:sz w:val="20"/>
                            <w:szCs w:val="20"/>
                          </w:rPr>
                        </w:pPr>
                        <w:r>
                          <w:rPr>
                            <w:rFonts w:ascii="Times New Roman" w:cs="Times New Roman" w:hAnsi="Times New Roman"/>
                            <w:sz w:val="20"/>
                            <w:szCs w:val="20"/>
                          </w:rPr>
                          <w:t>Teacher behavior</w:t>
                        </w:r>
                      </w:p>
                      <w:p>
                        <w:pPr>
                          <w:pStyle w:val="style179"/>
                          <w:numPr>
                            <w:ilvl w:val="0"/>
                            <w:numId w:val="28"/>
                          </w:numPr>
                          <w:spacing w:after="0" w:lineRule="auto" w:line="240"/>
                          <w:rPr>
                            <w:rFonts w:ascii="Times New Roman" w:cs="Times New Roman" w:hAnsi="Times New Roman"/>
                            <w:b/>
                            <w:sz w:val="20"/>
                            <w:szCs w:val="20"/>
                          </w:rPr>
                        </w:pPr>
                        <w:r>
                          <w:rPr>
                            <w:rFonts w:ascii="Times New Roman" w:cs="Times New Roman" w:hAnsi="Times New Roman"/>
                            <w:b/>
                            <w:sz w:val="20"/>
                            <w:szCs w:val="20"/>
                          </w:rPr>
                          <w:t xml:space="preserve">Policy implementation </w:t>
                        </w:r>
                      </w:p>
                      <w:p>
                        <w:pPr>
                          <w:pStyle w:val="style179"/>
                          <w:numPr>
                            <w:ilvl w:val="0"/>
                            <w:numId w:val="9"/>
                          </w:numPr>
                          <w:spacing w:after="0" w:lineRule="auto" w:line="240"/>
                          <w:rPr>
                            <w:rFonts w:ascii="Times New Roman" w:cs="Times New Roman" w:hAnsi="Times New Roman"/>
                            <w:sz w:val="20"/>
                            <w:szCs w:val="20"/>
                          </w:rPr>
                        </w:pPr>
                        <w:r>
                          <w:rPr>
                            <w:rFonts w:ascii="Times New Roman" w:cs="Times New Roman" w:hAnsi="Times New Roman"/>
                            <w:sz w:val="20"/>
                            <w:szCs w:val="20"/>
                          </w:rPr>
                          <w:t>Parental engagement</w:t>
                        </w:r>
                      </w:p>
                      <w:p>
                        <w:pPr>
                          <w:pStyle w:val="style179"/>
                          <w:numPr>
                            <w:ilvl w:val="0"/>
                            <w:numId w:val="9"/>
                          </w:numPr>
                          <w:spacing w:after="0" w:lineRule="auto" w:line="240"/>
                          <w:rPr>
                            <w:rFonts w:ascii="Times New Roman" w:cs="Times New Roman" w:hAnsi="Times New Roman"/>
                          </w:rPr>
                        </w:pPr>
                        <w:r>
                          <w:rPr>
                            <w:rFonts w:ascii="Times New Roman" w:cs="Times New Roman" w:hAnsi="Times New Roman"/>
                            <w:sz w:val="20"/>
                            <w:szCs w:val="20"/>
                          </w:rPr>
                          <w:t>School</w:t>
                        </w:r>
                        <w:r>
                          <w:rPr>
                            <w:rFonts w:ascii="Times New Roman" w:cs="Times New Roman" w:hAnsi="Times New Roman"/>
                            <w:sz w:val="24"/>
                            <w:szCs w:val="24"/>
                          </w:rPr>
                          <w:t xml:space="preserve"> </w:t>
                        </w:r>
                        <w:r>
                          <w:rPr>
                            <w:rFonts w:ascii="Times New Roman" w:cs="Times New Roman" w:hAnsi="Times New Roman"/>
                            <w:sz w:val="20"/>
                            <w:szCs w:val="20"/>
                          </w:rPr>
                          <w:t>rules</w:t>
                        </w:r>
                      </w:p>
                      <w:p>
                        <w:pPr>
                          <w:pStyle w:val="style179"/>
                          <w:numPr>
                            <w:ilvl w:val="0"/>
                            <w:numId w:val="9"/>
                          </w:numPr>
                          <w:spacing w:after="0" w:lineRule="auto" w:line="240"/>
                          <w:rPr>
                            <w:rFonts w:ascii="Times New Roman" w:cs="Times New Roman" w:hAnsi="Times New Roman"/>
                            <w:sz w:val="20"/>
                            <w:szCs w:val="20"/>
                          </w:rPr>
                        </w:pPr>
                        <w:r>
                          <w:rPr>
                            <w:rFonts w:ascii="Times New Roman" w:cs="Times New Roman" w:hAnsi="Times New Roman"/>
                            <w:sz w:val="20"/>
                            <w:szCs w:val="20"/>
                          </w:rPr>
                          <w:t>Teacher teamwork</w:t>
                        </w:r>
                      </w:p>
                      <w:p>
                        <w:pPr>
                          <w:pStyle w:val="style0"/>
                          <w:spacing w:lineRule="auto" w:line="480"/>
                          <w:jc w:val="center"/>
                          <w:rPr/>
                        </w:pPr>
                      </w:p>
                      <w:p>
                        <w:pPr>
                          <w:pStyle w:val="style0"/>
                          <w:spacing w:lineRule="auto" w:line="480"/>
                          <w:jc w:val="center"/>
                          <w:rPr/>
                        </w:pPr>
                      </w:p>
                      <w:p>
                        <w:pPr>
                          <w:pStyle w:val="style0"/>
                          <w:spacing w:lineRule="auto" w:line="480"/>
                          <w:jc w:val="center"/>
                          <w:rPr/>
                        </w:pPr>
                      </w:p>
                      <w:p>
                        <w:pPr>
                          <w:pStyle w:val="style0"/>
                          <w:spacing w:lineRule="auto" w:line="480"/>
                          <w:jc w:val="center"/>
                          <w:rPr/>
                        </w:pPr>
                      </w:p>
                      <w:p>
                        <w:pPr>
                          <w:pStyle w:val="style0"/>
                          <w:spacing w:lineRule="auto" w:line="480"/>
                          <w:jc w:val="center"/>
                          <w:rPr/>
                        </w:pPr>
                      </w:p>
                      <w:p>
                        <w:pPr>
                          <w:pStyle w:val="style0"/>
                          <w:spacing w:lineRule="auto" w:line="480"/>
                          <w:jc w:val="center"/>
                          <w:rPr/>
                        </w:pPr>
                      </w:p>
                      <w:p>
                        <w:pPr>
                          <w:pStyle w:val="style0"/>
                          <w:spacing w:lineRule="auto" w:line="480"/>
                          <w:jc w:val="center"/>
                          <w:rPr/>
                        </w:pPr>
                      </w:p>
                      <w:p>
                        <w:pPr>
                          <w:pStyle w:val="style0"/>
                          <w:spacing w:lineRule="auto" w:line="480"/>
                          <w:jc w:val="center"/>
                          <w:rPr/>
                        </w:pPr>
                      </w:p>
                      <w:p>
                        <w:pPr>
                          <w:pStyle w:val="style0"/>
                          <w:spacing w:lineRule="auto" w:line="480"/>
                          <w:jc w:val="center"/>
                          <w:rPr/>
                        </w:pPr>
                      </w:p>
                    </w:txbxContent>
                  </v:textbox>
                </v:rect>
                <v:rect id="1028" fillcolor="white" stroked="t" style="position:absolute;left:8222;top:5277;width:2812;height:1828;z-index:3;mso-position-horizontal-relative:page;mso-position-vertical-relative:page;mso-width-relative:page;mso-height-relative:page;visibility:visible;v-text-anchor:middle;">
                  <v:stroke joinstyle="miter" weight="2.5pt"/>
                  <v:fill/>
                  <v:textbox inset="7.2pt,3.6pt,7.2pt,3.6pt">
                    <w:txbxContent>
                      <w:p>
                        <w:pPr>
                          <w:pStyle w:val="style0"/>
                          <w:jc w:val="center"/>
                          <w:rPr>
                            <w:rFonts w:ascii="Times New Roman" w:cs="Times New Roman" w:hAnsi="Times New Roman"/>
                          </w:rPr>
                        </w:pPr>
                        <w:r>
                          <w:rPr>
                            <w:rFonts w:ascii="Times New Roman" w:cs="Times New Roman" w:hAnsi="Times New Roman"/>
                            <w:color w:val="000000"/>
                            <w:sz w:val="24"/>
                            <w:szCs w:val="24"/>
                          </w:rPr>
                          <w:t>Learners’ Absenteeism</w:t>
                        </w:r>
                      </w:p>
                    </w:txbxContent>
                  </v:textbox>
                </v:rect>
                <v:rect id="1029" fillcolor="white" stroked="t" style="position:absolute;left:4914;top:5247;width:2280;height:3127;z-index:4;mso-position-horizontal-relative:page;mso-position-vertical-relative:page;mso-width-relative:page;mso-height-relative:page;visibility:visible;">
                  <v:stroke joinstyle="miter" weight="2.5pt"/>
                  <v:fill/>
                  <v:textbox inset="7.2pt,3.6pt,7.2pt,3.6pt">
                    <w:txbxContent>
                      <w:p>
                        <w:pPr>
                          <w:pStyle w:val="style0"/>
                          <w:rPr/>
                        </w:pPr>
                        <w:r>
                          <w:t xml:space="preserve">                </w:t>
                        </w:r>
                      </w:p>
                      <w:p>
                        <w:pPr>
                          <w:pStyle w:val="style179"/>
                          <w:ind w:left="360"/>
                          <w:rPr/>
                        </w:pPr>
                      </w:p>
                      <w:p>
                        <w:pPr>
                          <w:pStyle w:val="style179"/>
                          <w:ind w:left="360"/>
                          <w:rPr/>
                        </w:pPr>
                      </w:p>
                      <w:p>
                        <w:pPr>
                          <w:pStyle w:val="style179"/>
                          <w:ind w:left="360"/>
                          <w:rPr>
                            <w:rFonts w:ascii="Times New Roman" w:cs="Times New Roman" w:hAnsi="Times New Roman"/>
                          </w:rPr>
                        </w:pPr>
                      </w:p>
                      <w:p>
                        <w:pPr>
                          <w:pStyle w:val="style179"/>
                          <w:numPr>
                            <w:ilvl w:val="0"/>
                            <w:numId w:val="21"/>
                          </w:numPr>
                          <w:rPr>
                            <w:rFonts w:ascii="Times New Roman" w:cs="Times New Roman" w:hAnsi="Times New Roman"/>
                          </w:rPr>
                        </w:pPr>
                        <w:r>
                          <w:rPr>
                            <w:rFonts w:ascii="Times New Roman" w:cs="Times New Roman" w:hAnsi="Times New Roman"/>
                          </w:rPr>
                          <w:t>Student attitude</w:t>
                        </w:r>
                      </w:p>
                      <w:p>
                        <w:pPr>
                          <w:pStyle w:val="style0"/>
                          <w:ind w:left="360"/>
                          <w:rPr/>
                        </w:pPr>
                      </w:p>
                      <w:p>
                        <w:pPr>
                          <w:pStyle w:val="style0"/>
                          <w:rPr/>
                        </w:pPr>
                      </w:p>
                    </w:txbxContent>
                  </v:textbox>
                </v:rect>
                <v:shapetype id="_x0000_t32" coordsize="21600,21600" o:spt="32" o:oned="t" path="m,l21600,21600e">
                  <v:path arrowok="t" fillok="f" o:connecttype="none"/>
                  <o:lock v:ext="edit" shapetype="t"/>
                </v:shapetype>
                <v:shape id="1030" type="#_x0000_t32" filled="f" style="position:absolute;left:4044;top:6534;width:870;height:1;z-index:5;mso-position-horizontal-relative:page;mso-position-vertical-relative:page;mso-width-relative:page;mso-height-relative:page;visibility:visible;">
                  <v:stroke endarrow="block" weight="1.5pt"/>
                  <v:fill/>
                </v:shape>
                <v:shape id="1031" type="#_x0000_t32" filled="f" style="position:absolute;left:7194;top:6534;width:1028;height:0;z-index:6;mso-position-horizontal-relative:page;mso-position-vertical-relative:page;mso-width-relative:page;mso-height-relative:page;visibility:visible;">
                  <v:stroke endarrow="block" weight="1.5pt"/>
                  <v:fill/>
                </v:shape>
                <v:shape id="1032" type="#_x0000_t32" filled="f" style="position:absolute;left:2354;top:9718;width:0;height:825;z-index:7;mso-position-horizontal-relative:page;mso-position-vertical-relative:page;mso-width-relative:page;mso-height-relative:page;visibility:visible;">
                  <v:stroke weight="1.5pt"/>
                  <v:fill/>
                </v:shape>
                <v:shape id="1033" type="#_x0000_t32" filled="f" style="position:absolute;left:2354;top:10543;width:6685;height:0;z-index:8;mso-position-horizontal-relative:page;mso-position-vertical-relative:page;mso-width-relative:page;mso-height-relative:page;visibility:visible;">
                  <v:stroke weight="1.5pt"/>
                  <v:fill/>
                </v:shape>
                <v:fill/>
              </v:group>
            </w:pict>
          </mc:Fallback>
        </mc:AlternateContent>
      </w:r>
    </w:p>
    <w:p>
      <w:pPr>
        <w:pStyle w:val="style0"/>
        <w:spacing w:lineRule="auto" w:line="360"/>
        <w:jc w:val="both"/>
        <w:rPr>
          <w:rFonts w:ascii="Times New Roman" w:cs="Times New Roman" w:hAnsi="Times New Roman"/>
          <w:b/>
          <w:color w:val="000000"/>
          <w:sz w:val="24"/>
          <w:szCs w:val="24"/>
        </w:rPr>
      </w:pPr>
    </w:p>
    <w:p>
      <w:pPr>
        <w:pStyle w:val="style0"/>
        <w:spacing w:lineRule="auto" w:line="360"/>
        <w:jc w:val="both"/>
        <w:rPr>
          <w:rFonts w:ascii="Times New Roman" w:cs="Times New Roman" w:hAnsi="Times New Roman"/>
          <w:b/>
          <w:color w:val="000000"/>
          <w:sz w:val="24"/>
          <w:szCs w:val="24"/>
        </w:rPr>
      </w:pPr>
      <w:r>
        <w:rPr>
          <w:noProof/>
          <w:color w:val="000000"/>
        </w:rPr>
        <mc:AlternateContent>
          <mc:Choice Requires="wps">
            <w:drawing>
              <wp:anchor distT="0" distB="0" distL="0" distR="0" simplePos="false" relativeHeight="2" behindDoc="false" locked="false" layoutInCell="true" allowOverlap="true">
                <wp:simplePos x="0" y="0"/>
                <wp:positionH relativeFrom="column">
                  <wp:posOffset>0</wp:posOffset>
                </wp:positionH>
                <wp:positionV relativeFrom="paragraph">
                  <wp:posOffset>0</wp:posOffset>
                </wp:positionV>
                <wp:extent cx="635000" cy="635000"/>
                <wp:effectExtent l="9525" t="9525" r="12700" b="12700"/>
                <wp:wrapNone/>
                <wp:docPr id="1034" name="AutoShape 1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35000" cy="635000"/>
                        </a:xfrm>
                        <a:prstGeom prst="straightConnector1"/>
                        <a:ln cmpd="sng" cap="flat" w="9525">
                          <a:solidFill>
                            <a:srgbClr val="000000"/>
                          </a:solidFill>
                          <a:prstDash val="solid"/>
                          <a:round/>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shape id="1034" type="#_x0000_t32" filled="f" style="position:absolute;margin-left:0.0pt;margin-top:0.0pt;width:50.0pt;height:50.0pt;z-index:2;mso-position-horizontal-relative:text;mso-position-vertical-relative:text;mso-width-percent:0;mso-height-percent:0;mso-width-relative:page;mso-height-relative:page;mso-wrap-distance-left:0.0pt;mso-wrap-distance-right:0.0pt;visibility:visible;">
                <v:fill/>
              </v:shape>
            </w:pict>
          </mc:Fallback>
        </mc:AlternateContent>
      </w:r>
      <w:r>
        <w:rPr>
          <w:noProof/>
          <w:color w:val="000000"/>
        </w:rPr>
        <mc:AlternateContent>
          <mc:Choice Requires="wps">
            <w:drawing>
              <wp:anchor distT="0" distB="0" distL="0" distR="0" simplePos="false" relativeHeight="3" behindDoc="false" locked="false" layoutInCell="true" allowOverlap="true">
                <wp:simplePos x="0" y="0"/>
                <wp:positionH relativeFrom="column">
                  <wp:posOffset>0</wp:posOffset>
                </wp:positionH>
                <wp:positionV relativeFrom="paragraph">
                  <wp:posOffset>0</wp:posOffset>
                </wp:positionV>
                <wp:extent cx="635000" cy="635000"/>
                <wp:effectExtent l="9525" t="9525" r="12700" b="12700"/>
                <wp:wrapNone/>
                <wp:docPr id="1035" name="103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35000" cy="635000"/>
                        </a:xfrm>
                        <a:prstGeom prst="straightConnector1"/>
                        <a:ln cmpd="sng" cap="flat" w="9525">
                          <a:solidFill>
                            <a:srgbClr val="000000"/>
                          </a:solidFill>
                          <a:prstDash val="solid"/>
                          <a:round/>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shape id="1035" type="#_x0000_t32" filled="f" style="position:absolute;margin-left:0.0pt;margin-top:0.0pt;width:50.0pt;height:50.0pt;z-index:3;mso-position-horizontal-relative:text;mso-position-vertical-relative:text;mso-width-percent:0;mso-height-percent:0;mso-width-relative:page;mso-height-relative:page;mso-wrap-distance-left:0.0pt;mso-wrap-distance-right:0.0pt;visibility:visible;">
                <v:fill/>
              </v:shape>
            </w:pict>
          </mc:Fallback>
        </mc:AlternateContent>
      </w:r>
    </w:p>
    <w:p>
      <w:pPr>
        <w:pStyle w:val="style0"/>
        <w:tabs>
          <w:tab w:val="left" w:leader="none" w:pos="2970"/>
        </w:tabs>
        <w:spacing w:lineRule="auto" w:line="360"/>
        <w:jc w:val="both"/>
        <w:rPr>
          <w:rFonts w:ascii="Times New Roman" w:cs="Times New Roman" w:hAnsi="Times New Roman"/>
          <w:b/>
          <w:color w:val="000000"/>
          <w:sz w:val="24"/>
          <w:szCs w:val="24"/>
        </w:rPr>
      </w:pPr>
      <w:r>
        <w:rPr>
          <w:rFonts w:ascii="Times New Roman" w:cs="Times New Roman" w:hAnsi="Times New Roman"/>
          <w:b/>
          <w:noProof/>
          <w:color w:val="000000"/>
          <w:sz w:val="24"/>
          <w:szCs w:val="24"/>
        </w:rPr>
        <mc:AlternateContent>
          <mc:Choice Requires="wps">
            <w:drawing>
              <wp:anchor distT="0" distB="0" distL="0" distR="0" simplePos="false" relativeHeight="5" behindDoc="false" locked="false" layoutInCell="true" allowOverlap="true">
                <wp:simplePos x="0" y="0"/>
                <wp:positionH relativeFrom="column">
                  <wp:posOffset>5019675</wp:posOffset>
                </wp:positionH>
                <wp:positionV relativeFrom="paragraph">
                  <wp:posOffset>123825</wp:posOffset>
                </wp:positionV>
                <wp:extent cx="0" cy="2183130"/>
                <wp:effectExtent l="62865" t="25400" r="60960" b="10795"/>
                <wp:wrapNone/>
                <wp:docPr id="1036" name="103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0" cy="2183130"/>
                        </a:xfrm>
                        <a:prstGeom prst="straightConnector1"/>
                        <a:ln cmpd="sng" cap="flat" w="19050">
                          <a:solidFill>
                            <a:srgbClr val="000000"/>
                          </a:solidFill>
                          <a:prstDash val="solid"/>
                          <a:round/>
                          <a:headEnd len="med" w="med" type="none"/>
                          <a:tailEnd len="med" w="med" type="triangle"/>
                        </a:ln>
                      </wps:spPr>
                      <wps:bodyPr>
                        <a:prstTxWarp prst="textNoShape"/>
                      </wps:bodyPr>
                    </wps:wsp>
                  </a:graphicData>
                </a:graphic>
                <wp14:sizeRelH relativeFrom="page">
                  <wp14:pctWidth>0</wp14:pctWidth>
                </wp14:sizeRelH>
                <wp14:sizeRelV relativeFrom="page">
                  <wp14:pctHeight>0</wp14:pctHeight>
                </wp14:sizeRelV>
              </wp:anchor>
            </w:drawing>
          </mc:Choice>
          <mc:Fallback>
            <w:pict>
              <v:shape id="1036" type="#_x0000_t32" filled="f" style="position:absolute;margin-left:395.25pt;margin-top:9.75pt;width:0.0pt;height:171.9pt;z-index:5;mso-position-horizontal-relative:text;mso-position-vertical-relative:text;mso-width-percent:0;mso-height-percent:0;mso-width-relative:page;mso-height-relative:page;mso-wrap-distance-left:0.0pt;mso-wrap-distance-right:0.0pt;visibility:visible;flip:y;">
                <v:stroke endarrow="block" weight="1.5pt"/>
                <v:fill/>
              </v:shape>
            </w:pict>
          </mc:Fallback>
        </mc:AlternateContent>
      </w:r>
      <w:r>
        <w:rPr>
          <w:rFonts w:ascii="Times New Roman" w:cs="Times New Roman" w:hAnsi="Times New Roman"/>
          <w:b/>
          <w:color w:val="000000"/>
          <w:sz w:val="24"/>
          <w:szCs w:val="24"/>
        </w:rPr>
        <w:tab/>
      </w:r>
    </w:p>
    <w:p>
      <w:pPr>
        <w:pStyle w:val="style0"/>
        <w:spacing w:lineRule="auto" w:line="360"/>
        <w:jc w:val="both"/>
        <w:rPr>
          <w:rFonts w:ascii="Times New Roman" w:cs="Times New Roman" w:hAnsi="Times New Roman"/>
          <w:b/>
          <w:color w:val="000000"/>
          <w:sz w:val="24"/>
          <w:szCs w:val="24"/>
        </w:rPr>
      </w:pPr>
    </w:p>
    <w:p>
      <w:pPr>
        <w:pStyle w:val="style0"/>
        <w:spacing w:lineRule="auto" w:line="360"/>
        <w:jc w:val="both"/>
        <w:rPr>
          <w:rFonts w:ascii="Times New Roman" w:cs="Times New Roman" w:hAnsi="Times New Roman"/>
          <w:b/>
          <w:color w:val="000000"/>
          <w:sz w:val="24"/>
          <w:szCs w:val="24"/>
        </w:rPr>
      </w:pPr>
    </w:p>
    <w:p>
      <w:pPr>
        <w:pStyle w:val="style0"/>
        <w:spacing w:lineRule="auto" w:line="360"/>
        <w:jc w:val="both"/>
        <w:rPr>
          <w:rFonts w:ascii="Times New Roman" w:cs="Times New Roman" w:hAnsi="Times New Roman"/>
          <w:b/>
          <w:color w:val="000000"/>
          <w:sz w:val="24"/>
          <w:szCs w:val="24"/>
        </w:rPr>
      </w:pPr>
    </w:p>
    <w:p>
      <w:pPr>
        <w:pStyle w:val="style0"/>
        <w:spacing w:lineRule="auto" w:line="360"/>
        <w:jc w:val="both"/>
        <w:rPr>
          <w:rFonts w:ascii="Times New Roman" w:cs="Times New Roman" w:hAnsi="Times New Roman"/>
          <w:b/>
          <w:color w:val="000000"/>
          <w:sz w:val="24"/>
          <w:szCs w:val="24"/>
        </w:rPr>
      </w:pPr>
    </w:p>
    <w:bookmarkStart w:id="37" w:name="_Toc188281865"/>
    <w:p>
      <w:pPr>
        <w:pStyle w:val="style0"/>
        <w:rPr>
          <w:color w:val="000000"/>
        </w:rPr>
      </w:pPr>
    </w:p>
    <w:p>
      <w:pPr>
        <w:pStyle w:val="style0"/>
        <w:rPr>
          <w:color w:val="000000"/>
        </w:rPr>
      </w:pPr>
    </w:p>
    <w:p>
      <w:pPr>
        <w:pStyle w:val="style0"/>
        <w:rPr>
          <w:color w:val="000000"/>
        </w:rPr>
      </w:pPr>
    </w:p>
    <w:bookmarkStart w:id="38" w:name="_Toc216513778"/>
    <w:p>
      <w:pPr>
        <w:pStyle w:val="style1"/>
        <w:spacing w:before="240"/>
        <w:jc w:val="both"/>
        <w:rPr>
          <w:color w:val="000000"/>
        </w:rPr>
      </w:pPr>
      <w:r>
        <w:rPr>
          <w:color w:val="000000"/>
        </w:rPr>
        <w:t>1.10 Assumptions of the Study</w:t>
      </w:r>
      <w:bookmarkEnd w:id="37"/>
      <w:bookmarkEnd w:id="38"/>
    </w:p>
    <w:p>
      <w:pPr>
        <w:pStyle w:val="style179"/>
        <w:numPr>
          <w:ilvl w:val="0"/>
          <w:numId w:val="27"/>
        </w:numPr>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Pupil absenteeism is influenced by a combination of economic, cultural, and school factors.</w:t>
      </w:r>
    </w:p>
    <w:p>
      <w:pPr>
        <w:pStyle w:val="style179"/>
        <w:numPr>
          <w:ilvl w:val="0"/>
          <w:numId w:val="27"/>
        </w:numPr>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Participants </w:t>
      </w:r>
      <w:r>
        <w:rPr>
          <w:rFonts w:ascii="Times New Roman" w:cs="Times New Roman" w:hAnsi="Times New Roman"/>
          <w:color w:val="000000"/>
          <w:sz w:val="24"/>
          <w:szCs w:val="24"/>
        </w:rPr>
        <w:t xml:space="preserve">would </w:t>
      </w:r>
      <w:r>
        <w:rPr>
          <w:rFonts w:ascii="Times New Roman" w:cs="Times New Roman" w:hAnsi="Times New Roman"/>
          <w:color w:val="000000"/>
          <w:sz w:val="24"/>
          <w:szCs w:val="24"/>
        </w:rPr>
        <w:t>provide honest and accurate responses regarding absenteeism.</w:t>
      </w:r>
    </w:p>
    <w:bookmarkStart w:id="39" w:name="_Toc188281866"/>
    <w:bookmarkStart w:id="40" w:name="_Toc216513779"/>
    <w:p>
      <w:pPr>
        <w:pStyle w:val="style1"/>
        <w:spacing w:before="240"/>
        <w:jc w:val="both"/>
        <w:rPr>
          <w:color w:val="000000"/>
        </w:rPr>
      </w:pPr>
      <w:r>
        <w:rPr>
          <w:color w:val="000000"/>
        </w:rPr>
        <w:t>1.11 Limitations of the Study</w:t>
      </w:r>
      <w:bookmarkEnd w:id="39"/>
      <w:bookmarkEnd w:id="40"/>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The study </w:t>
      </w:r>
      <w:r>
        <w:rPr>
          <w:rFonts w:ascii="Times New Roman" w:cs="Times New Roman" w:hAnsi="Times New Roman"/>
          <w:color w:val="000000"/>
          <w:sz w:val="24"/>
          <w:szCs w:val="24"/>
        </w:rPr>
        <w:t>could be</w:t>
      </w:r>
      <w:r>
        <w:rPr>
          <w:rFonts w:ascii="Times New Roman" w:cs="Times New Roman" w:hAnsi="Times New Roman"/>
          <w:color w:val="000000"/>
          <w:sz w:val="24"/>
          <w:szCs w:val="24"/>
        </w:rPr>
        <w:t xml:space="preserve"> limited by the availability of accurate data on absenteeism. Responses </w:t>
      </w:r>
      <w:r>
        <w:rPr>
          <w:rFonts w:ascii="Times New Roman" w:cs="Times New Roman" w:hAnsi="Times New Roman"/>
          <w:color w:val="000000"/>
          <w:sz w:val="24"/>
          <w:szCs w:val="24"/>
        </w:rPr>
        <w:t xml:space="preserve">could </w:t>
      </w:r>
      <w:r>
        <w:rPr>
          <w:rFonts w:ascii="Times New Roman" w:cs="Times New Roman" w:hAnsi="Times New Roman"/>
          <w:color w:val="000000"/>
          <w:sz w:val="24"/>
          <w:szCs w:val="24"/>
        </w:rPr>
        <w:t xml:space="preserve">be subject to bias due to social desirability. The study </w:t>
      </w:r>
      <w:r>
        <w:rPr>
          <w:rFonts w:ascii="Times New Roman" w:cs="Times New Roman" w:hAnsi="Times New Roman"/>
          <w:color w:val="000000"/>
          <w:sz w:val="24"/>
          <w:szCs w:val="24"/>
        </w:rPr>
        <w:t>would be</w:t>
      </w:r>
      <w:r>
        <w:rPr>
          <w:rFonts w:ascii="Times New Roman" w:cs="Times New Roman" w:hAnsi="Times New Roman"/>
          <w:color w:val="000000"/>
          <w:sz w:val="24"/>
          <w:szCs w:val="24"/>
        </w:rPr>
        <w:t xml:space="preserve"> carried out in only one sub-county in Tana River County in all the five sub-counties.</w:t>
      </w:r>
    </w:p>
    <w:bookmarkStart w:id="41" w:name="_Toc188281867"/>
    <w:bookmarkStart w:id="42" w:name="_Toc216513780"/>
    <w:p>
      <w:pPr>
        <w:pStyle w:val="style1"/>
        <w:spacing w:before="240"/>
        <w:ind w:left="0" w:firstLine="0"/>
        <w:jc w:val="both"/>
        <w:rPr>
          <w:color w:val="000000"/>
        </w:rPr>
      </w:pPr>
      <w:r>
        <w:rPr>
          <w:color w:val="000000"/>
        </w:rPr>
        <w:t>1.12 Delimitations of the Study</w:t>
      </w:r>
      <w:bookmarkEnd w:id="41"/>
      <w:bookmarkEnd w:id="42"/>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study focus</w:t>
      </w:r>
      <w:r>
        <w:rPr>
          <w:rFonts w:ascii="Times New Roman" w:cs="Times New Roman" w:hAnsi="Times New Roman"/>
          <w:color w:val="000000"/>
          <w:sz w:val="24"/>
          <w:szCs w:val="24"/>
        </w:rPr>
        <w:t>ed</w:t>
      </w:r>
      <w:r>
        <w:rPr>
          <w:rFonts w:ascii="Times New Roman" w:cs="Times New Roman" w:hAnsi="Times New Roman"/>
          <w:color w:val="000000"/>
          <w:sz w:val="24"/>
          <w:szCs w:val="24"/>
        </w:rPr>
        <w:t xml:space="preserve"> exclusively on primary schools in Bangal Sub-county.</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target population include</w:t>
      </w:r>
      <w:r>
        <w:rPr>
          <w:rFonts w:ascii="Times New Roman" w:cs="Times New Roman" w:hAnsi="Times New Roman"/>
          <w:color w:val="000000"/>
          <w:sz w:val="24"/>
          <w:szCs w:val="24"/>
        </w:rPr>
        <w:t>d</w:t>
      </w:r>
      <w:r>
        <w:rPr>
          <w:rFonts w:ascii="Times New Roman" w:cs="Times New Roman" w:hAnsi="Times New Roman"/>
          <w:color w:val="000000"/>
          <w:sz w:val="24"/>
          <w:szCs w:val="24"/>
        </w:rPr>
        <w:t xml:space="preserve"> students in grades 4 to 6 and their teachers.</w:t>
      </w:r>
    </w:p>
    <w:bookmarkStart w:id="43" w:name="_Toc188281868"/>
    <w:bookmarkStart w:id="44" w:name="_Toc216513781"/>
    <w:p>
      <w:pPr>
        <w:pStyle w:val="style1"/>
        <w:spacing w:before="240"/>
        <w:ind w:left="0" w:firstLine="0"/>
        <w:jc w:val="both"/>
        <w:rPr>
          <w:color w:val="000000"/>
        </w:rPr>
      </w:pPr>
      <w:r>
        <w:rPr>
          <w:color w:val="000000"/>
        </w:rPr>
        <w:t>1.13 Definition of Key T</w:t>
      </w:r>
      <w:bookmarkEnd w:id="43"/>
      <w:r>
        <w:rPr>
          <w:color w:val="000000"/>
        </w:rPr>
        <w:t>erms</w:t>
      </w:r>
      <w:bookmarkEnd w:id="44"/>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b/>
          <w:color w:val="000000"/>
          <w:sz w:val="24"/>
          <w:szCs w:val="24"/>
        </w:rPr>
        <w:t xml:space="preserve">Absenteeism- </w:t>
      </w:r>
      <w:r>
        <w:rPr>
          <w:rFonts w:ascii="Times New Roman" w:cs="Times New Roman" w:hAnsi="Times New Roman"/>
          <w:color w:val="000000"/>
          <w:sz w:val="24"/>
          <w:szCs w:val="24"/>
        </w:rPr>
        <w:t>is the practice of regularly staying away from school without a good reason.</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b/>
          <w:color w:val="000000"/>
          <w:sz w:val="24"/>
          <w:szCs w:val="24"/>
        </w:rPr>
        <w:t>Chronic absenteeism</w:t>
      </w:r>
      <w:r>
        <w:rPr>
          <w:rFonts w:ascii="Times New Roman" w:cs="Times New Roman" w:hAnsi="Times New Roman"/>
          <w:color w:val="000000"/>
          <w:sz w:val="24"/>
          <w:szCs w:val="24"/>
        </w:rPr>
        <w:t>- this is when someone is frequently absent from school making it hard for them to be productive or active in any school events.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b/>
          <w:color w:val="000000"/>
          <w:sz w:val="24"/>
          <w:szCs w:val="24"/>
        </w:rPr>
        <w:t xml:space="preserve">Exacerbate- </w:t>
      </w:r>
      <w:r>
        <w:rPr>
          <w:rFonts w:ascii="Times New Roman" w:cs="Times New Roman" w:hAnsi="Times New Roman"/>
          <w:color w:val="000000"/>
          <w:sz w:val="24"/>
          <w:szCs w:val="24"/>
        </w:rPr>
        <w:t>this means to make something that is already bad even worse.</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b/>
          <w:color w:val="000000"/>
          <w:sz w:val="24"/>
          <w:szCs w:val="24"/>
        </w:rPr>
        <w:t>Policy implementation</w:t>
      </w:r>
      <w:r>
        <w:rPr>
          <w:rFonts w:ascii="Times New Roman" w:cs="Times New Roman" w:hAnsi="Times New Roman"/>
          <w:color w:val="000000"/>
          <w:sz w:val="24"/>
          <w:szCs w:val="24"/>
        </w:rPr>
        <w:t>- translating educational policies into tangible actions, practices and strategies within an educational institution.</w:t>
      </w:r>
    </w:p>
    <w:p>
      <w:pPr>
        <w:pStyle w:val="style0"/>
        <w:spacing w:before="240" w:after="0" w:lineRule="auto" w:line="480"/>
        <w:jc w:val="both"/>
        <w:rPr>
          <w:rFonts w:ascii="Times New Roman" w:cs="Times New Roman" w:hAnsi="Times New Roman"/>
          <w:b/>
          <w:color w:val="000000"/>
          <w:sz w:val="24"/>
          <w:szCs w:val="24"/>
        </w:rPr>
      </w:pPr>
      <w:r>
        <w:rPr>
          <w:rFonts w:ascii="Times New Roman" w:cs="Times New Roman" w:hAnsi="Times New Roman"/>
          <w:b/>
          <w:color w:val="000000"/>
          <w:sz w:val="24"/>
          <w:szCs w:val="24"/>
        </w:rPr>
        <w:br w:type="page"/>
      </w:r>
    </w:p>
    <w:bookmarkStart w:id="45" w:name="_Toc188281869"/>
    <w:bookmarkStart w:id="46" w:name="_Toc191462840"/>
    <w:bookmarkStart w:id="47" w:name="_Toc216513782"/>
    <w:p>
      <w:pPr>
        <w:pStyle w:val="style1"/>
        <w:spacing w:before="240"/>
        <w:ind w:left="0" w:firstLine="0"/>
        <w:rPr>
          <w:color w:val="000000"/>
        </w:rPr>
      </w:pPr>
      <w:r>
        <w:rPr>
          <w:color w:val="000000"/>
        </w:rPr>
        <w:t>CHAPTER TWO</w:t>
      </w:r>
      <w:bookmarkEnd w:id="45"/>
      <w:bookmarkEnd w:id="46"/>
      <w:bookmarkEnd w:id="47"/>
    </w:p>
    <w:bookmarkStart w:id="48" w:name="_Toc188281870"/>
    <w:bookmarkStart w:id="49" w:name="_Toc191462841"/>
    <w:bookmarkStart w:id="50" w:name="_Toc216513783"/>
    <w:p>
      <w:pPr>
        <w:pStyle w:val="style1"/>
        <w:spacing w:before="240"/>
        <w:rPr>
          <w:color w:val="000000"/>
        </w:rPr>
      </w:pPr>
      <w:r>
        <w:rPr>
          <w:color w:val="000000"/>
        </w:rPr>
        <w:t>LITERATURE REVIEW</w:t>
      </w:r>
      <w:bookmarkEnd w:id="48"/>
      <w:bookmarkEnd w:id="49"/>
      <w:bookmarkEnd w:id="50"/>
    </w:p>
    <w:bookmarkStart w:id="51" w:name="_Toc216513784"/>
    <w:p>
      <w:pPr>
        <w:pStyle w:val="style1"/>
        <w:numPr>
          <w:ilvl w:val="0"/>
          <w:numId w:val="1"/>
        </w:numPr>
        <w:spacing w:before="240"/>
        <w:jc w:val="both"/>
        <w:rPr>
          <w:color w:val="000000"/>
        </w:rPr>
      </w:pPr>
      <w:r>
        <w:rPr>
          <w:color w:val="000000"/>
        </w:rPr>
        <w:t>Overview</w:t>
      </w:r>
      <w:bookmarkEnd w:id="51"/>
    </w:p>
    <w:p>
      <w:pPr>
        <w:pStyle w:val="style0"/>
        <w:spacing w:before="240" w:after="0" w:lineRule="auto" w:line="480"/>
        <w:ind w:left="-1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This chapter deals with past findings that scholars have investigated in relation to determinants of learner’s absenteeism in primary schools. These past research findings consistently identify key factors such as economic factors, specific cultural practices, school environment and the effectiveness of policy implementation. </w:t>
      </w:r>
    </w:p>
    <w:bookmarkStart w:id="52" w:name="_Toc188281872"/>
    <w:bookmarkStart w:id="53" w:name="_Toc216513785"/>
    <w:p>
      <w:pPr>
        <w:pStyle w:val="style1"/>
        <w:spacing w:before="240"/>
        <w:ind w:left="0" w:firstLine="0"/>
        <w:jc w:val="both"/>
        <w:rPr>
          <w:color w:val="000000"/>
        </w:rPr>
      </w:pPr>
      <w:r>
        <w:rPr>
          <w:color w:val="000000"/>
        </w:rPr>
        <w:t>2.1 E</w:t>
      </w:r>
      <w:bookmarkEnd w:id="52"/>
      <w:r>
        <w:rPr>
          <w:color w:val="000000"/>
        </w:rPr>
        <w:t>conomic Factors</w:t>
      </w:r>
      <w:r>
        <w:rPr>
          <w:color w:val="000000"/>
        </w:rPr>
        <w:t xml:space="preserve"> and Learners’ Absenteeism</w:t>
      </w:r>
      <w:bookmarkEnd w:id="53"/>
      <w:r>
        <w:rPr>
          <w:color w:val="000000"/>
        </w:rPr>
        <w:t xml:space="preserve"> </w:t>
      </w:r>
    </w:p>
    <w:bookmarkStart w:id="54" w:name="_Toc188281873"/>
    <w:bookmarkStart w:id="55" w:name="_Toc216513786"/>
    <w:p>
      <w:pPr>
        <w:pStyle w:val="style1"/>
        <w:spacing w:before="240"/>
        <w:jc w:val="both"/>
        <w:rPr>
          <w:color w:val="000000"/>
        </w:rPr>
      </w:pPr>
      <w:r>
        <w:rPr>
          <w:color w:val="000000"/>
        </w:rPr>
        <w:t>2.1.1 Parental income and</w:t>
      </w:r>
      <w:bookmarkEnd w:id="54"/>
      <w:r>
        <w:rPr>
          <w:color w:val="000000"/>
        </w:rPr>
        <w:t xml:space="preserve"> Learners’ Absenteeism</w:t>
      </w:r>
      <w:bookmarkEnd w:id="55"/>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Parental income and economic status significantly affects the pupils’ academic performance and future career development. Children from low-income households were most likely to miss school compared to higher-income families due to economic hardships, (UNESCO, 2020). In India, Prakash (2017) investigated school absenteeism among low-caste children. They found that household wealth was positively associated with a risk of frequent absenteeism (more than four days absent in the last 30 days), with those from the wealthiest homes at the lowest risk. </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Although research on the mechanisms by which family SES influences absenteeism is limited, Gee (2018) empirical studies suggest that the consequences of living in economic disadvantage have in turn, detrimental effects on children’s school attendance. For instance children from lower economic background are at greater risk of developing behavioral problems to cope with hardship situations and these behavioral problems are known risk antecedents of being absent or excluded from school, (Classi, 2019)</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East Africa, studies indicate that children from poor households missed school more frequently due to lack of nutrition and health needs which the parents could not afford due to their low-income (Chzhen, 2021). Hungi (2010) study highlighted that children from high-income parents have higher rates of school attendance compared to children from low-income families as they had ability to meet both direct costs such as uniforms, and learning materials, and indirect costs such transportation.</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Oketch (2007) studies in Kenya also found direct and indirect costs of education such as Uniforms and learning materials posed significant barriers to attendance for low-income families. These findings indicate that even in contexts where primary education is subsidized or free, financial constrains continue to disproportionately affect children from low income families.</w:t>
      </w:r>
    </w:p>
    <w:bookmarkStart w:id="56" w:name="_Toc188281874"/>
    <w:bookmarkStart w:id="57" w:name="_Toc216513787"/>
    <w:p>
      <w:pPr>
        <w:pStyle w:val="style1"/>
        <w:spacing w:before="240"/>
        <w:ind w:left="0" w:firstLine="0"/>
        <w:jc w:val="both"/>
        <w:rPr>
          <w:color w:val="000000"/>
        </w:rPr>
      </w:pPr>
      <w:r>
        <w:rPr>
          <w:color w:val="000000"/>
        </w:rPr>
        <w:t xml:space="preserve">2.1.2 Child labor </w:t>
      </w:r>
      <w:bookmarkEnd w:id="56"/>
      <w:r>
        <w:rPr>
          <w:color w:val="000000"/>
        </w:rPr>
        <w:t>and</w:t>
      </w:r>
      <w:r>
        <w:rPr>
          <w:color w:val="000000"/>
        </w:rPr>
        <w:t xml:space="preserve"> Learners’ Absenteeism</w:t>
      </w:r>
      <w:bookmarkEnd w:id="57"/>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Child labor is argued to be driven primarily by household poverty according to (Basu, 1998). The study suggests that when households are below a certain threshold, they are more likely to send their children to work other than school. Child labor may be influenced by different factors such as poverty, culture and globalization. This is mostly the case as studied in most third-world countries where there are a large number of low-income households.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Philippines, 2014 joint study revealed that child labor as a priority concern for children. Although the assessment did not collect prevalence data, the trends identified during the assessment led to the development of an inter-sectoral regional child labor response towards children missing school for work.</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According to UNESCO (2007), an average of 78% children are engaged in child labor in Niger, Sierra Leon and Uganda. Due to harsh economic status and low-income backgrounds, 31% of all children from the low-income threshold end up engaging in child labor in order to support the family’s household income.</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East Africa child labor has been among the social challenges facing the children, especially in developing countries like Tanzania. In Muheza rural areas in Tanzania, child labor is highly practiced since agricultural activities demand for labor hence children become the only simple alternative to the challenge. Since these children are engaged in child labor their school attendance is irregular and some end up dropping out of school completely, (Kiambazi, 2022).</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Child labor is a persistent problem in Kenya. A study done in Kiambaa division in Kenya, shows that most children combine work with schooling, with most of them involved in unpaid work within their families. The study also showed that most of the families in Kiambaa were singles parents and that most of the single parents were mothers, hence the single parent is unable to cater for all the family needs thus they indulge their children in child labor (Ireri, 2013).</w:t>
      </w:r>
    </w:p>
    <w:bookmarkStart w:id="58" w:name="_Toc188281875"/>
    <w:bookmarkStart w:id="59" w:name="_Toc216513788"/>
    <w:p>
      <w:pPr>
        <w:pStyle w:val="style1"/>
        <w:spacing w:before="240"/>
        <w:jc w:val="both"/>
        <w:rPr>
          <w:color w:val="000000"/>
        </w:rPr>
      </w:pPr>
      <w:r>
        <w:rPr>
          <w:color w:val="000000"/>
        </w:rPr>
        <w:t xml:space="preserve">2.1.3 Basic need </w:t>
      </w:r>
      <w:bookmarkEnd w:id="58"/>
      <w:r>
        <w:rPr>
          <w:color w:val="000000"/>
        </w:rPr>
        <w:t>and</w:t>
      </w:r>
      <w:r>
        <w:rPr>
          <w:color w:val="000000"/>
        </w:rPr>
        <w:t xml:space="preserve"> Learners’ Absenteeism</w:t>
      </w:r>
      <w:bookmarkEnd w:id="59"/>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According to Abraham Maslow’s hierarchy theory, human need are arranged in hierarchical order with physiological needs (food, water and shelter), forming the foundation. Researches done across the globe consistently demonstrates a strong correlation between the fulfillment of basic needs and school attendance.</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developing countries such as the United States, children from low- income households, facing food insecurity and inadequate housing, have higher rates of absenteeism (NCCP, 2019). Similarly, a research by the Department for Education (2018) highlights the significant impact of poverty and material deprivation on school attendance, with children from disadvantaged backgrounds experiencing high rates of absence.</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Africa, where poverty level remains significant challenge, the link between basic needs and school absenteeism is even higher. Studies in countries like Nigeria and South Africa have revealed that children from poor households, often lacking access to adequate nutrition, healthcare and safe water, are more likely to miss school (UNICEF, 2020). These factors contribute to poor health, reduced cognitive development and increased vulnerability to illness, all of which can lead to chronic absenteeism.</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Within East Africa, studies in Tanzania and Uganda have shown that children from rural areas, often battling with poverty, food insecurity and limited access to healthcare, have higher rates of school absenteeism, (World Bank, 2018). These challenges are intensified by the long distance to school, inadequate school feeding programs and the need for children to contribute to household labor.</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Kenya a research conducted has revealed that children from poor households, particularly those living in rural areas, are more likely to be out of school or have high rate of absenteeism (KNBS, 2014). Although some schools offer school feeding programs, their coverage is often inadequate, leaving many children without access to nutritious meals during school days. This in turn leads to children looking for alternative ways to feed and get access to water, hence chronic absenteeism.</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While there are researches that have explored the impact of economic factors on absenteeism, there is still need for a more comprehensive research on each factor individually and how it directly affects school attendance.</w:t>
      </w:r>
    </w:p>
    <w:bookmarkStart w:id="60" w:name="_Toc188281877"/>
    <w:bookmarkStart w:id="61" w:name="_Toc216513789"/>
    <w:p>
      <w:pPr>
        <w:pStyle w:val="style1"/>
        <w:spacing w:before="240"/>
        <w:jc w:val="both"/>
        <w:rPr>
          <w:color w:val="000000"/>
        </w:rPr>
      </w:pPr>
      <w:r>
        <w:rPr>
          <w:color w:val="000000"/>
        </w:rPr>
        <w:t>2.2 C</w:t>
      </w:r>
      <w:bookmarkEnd w:id="60"/>
      <w:r>
        <w:rPr>
          <w:color w:val="000000"/>
        </w:rPr>
        <w:t xml:space="preserve">ultural </w:t>
      </w:r>
      <w:r>
        <w:rPr>
          <w:color w:val="000000"/>
        </w:rPr>
        <w:t>Factors</w:t>
      </w:r>
      <w:r>
        <w:rPr>
          <w:color w:val="000000"/>
        </w:rPr>
        <w:t xml:space="preserve"> </w:t>
      </w:r>
      <w:r>
        <w:rPr>
          <w:color w:val="000000"/>
        </w:rPr>
        <w:t>and</w:t>
      </w:r>
      <w:r>
        <w:rPr>
          <w:color w:val="000000"/>
        </w:rPr>
        <w:t xml:space="preserve"> Learners’ Absenteeism</w:t>
      </w:r>
      <w:bookmarkEnd w:id="61"/>
      <w:r>
        <w:rPr>
          <w:color w:val="000000"/>
        </w:rPr>
        <w:t xml:space="preserve"> </w:t>
      </w:r>
    </w:p>
    <w:bookmarkStart w:id="62" w:name="_Toc216513790"/>
    <w:p>
      <w:pPr>
        <w:pStyle w:val="style1"/>
        <w:spacing w:before="240"/>
        <w:jc w:val="both"/>
        <w:rPr>
          <w:color w:val="000000"/>
        </w:rPr>
      </w:pPr>
      <w:r>
        <w:rPr>
          <w:color w:val="000000"/>
        </w:rPr>
        <w:t>2.2.1 Early Marriages and</w:t>
      </w:r>
      <w:r>
        <w:rPr>
          <w:color w:val="000000"/>
        </w:rPr>
        <w:t xml:space="preserve"> Learners’ Absenteeism</w:t>
      </w:r>
      <w:bookmarkEnd w:id="62"/>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Early marriages are a significant factor contributing to absenteeism and dropout rates among school-going girls. Overall, the highest percentages of early marriage were in developing countries in Sub-Saharan Africa and South Asia. According to UNFP (2020), an estimated 650 million women alive today were marriage at the age of 18 and below. A research by Zaki (2016) highlights the economic factors driving early marriages and high rate of absenteeism and school drop outs in countries such as India, Bangladesh and Nigeria.</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Africa, early marriage is particularly higher in Sub-Sahara region where cultural, economic and social factors contribute its persistence. These early marriages come with domestic responsibilities that hinder the girls from attending class regularly hence chronic absenteeism and some may end up even dropping-out of school (UNESCO, 2017). This phenomenon is persistent in developing countries, where poverty, cultural norms and limited access to education intensifies the issue.</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East Africa, in countries like Ethiopia, Uganda and Tanzania, early marriages have led to 31% of girls failing to attend school or having chronic absenteeism, (Rachel, 2020). Early marriages have therefore become a barrier to education for girls in East Africa affecting school attendance. Additionally, Klugman (2014) in his research article suggests that social and cultural pressure for young girls to marry and begin a family at school-going ages is linked to chronic absenteeism.</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Kenya, early marriages are a significant threat to the education system, especially in rural and underdeveloped regions. In Mvita sub-county, Mombasa County, study conducted by Said (2019) highlights that early marriage leads to higher rates of school absenteeism and dropout, as married girls face challenges in balancing domestic responsibilities with their education. INEE (2019) explored the effects of early marriages on school dropout rates. The study found that early marriage is a strong predictor of chronic absenteeism and dropout with married girls facing numerous barriers to continuing their education.</w:t>
      </w:r>
    </w:p>
    <w:bookmarkStart w:id="63" w:name="_Toc188281878"/>
    <w:bookmarkStart w:id="64" w:name="_Toc216513791"/>
    <w:p>
      <w:pPr>
        <w:pStyle w:val="style1"/>
        <w:spacing w:before="240"/>
        <w:jc w:val="both"/>
        <w:rPr>
          <w:color w:val="000000"/>
        </w:rPr>
      </w:pPr>
      <w:r>
        <w:rPr>
          <w:color w:val="000000"/>
        </w:rPr>
        <w:t xml:space="preserve">2.2.2 FGM </w:t>
      </w:r>
      <w:bookmarkEnd w:id="63"/>
      <w:r>
        <w:rPr>
          <w:color w:val="000000"/>
        </w:rPr>
        <w:t>and</w:t>
      </w:r>
      <w:r>
        <w:rPr>
          <w:color w:val="000000"/>
        </w:rPr>
        <w:t xml:space="preserve"> Learners’ Absenteeism</w:t>
      </w:r>
      <w:bookmarkEnd w:id="64"/>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Female Genital Mutilation (FGM) is a harmful traditional practice that affects millions of girls and women worldwide. At least 200 million women and girls across 30 countries have undergone FGM. The practice is highly concentrated in Africa, Asia and the Middle East, but has also been reported in Europe, Australia and North America within Diaspora communities, (UNICEF, 2016). FGM has severe effects on health as the girls that undergo the practice may take a long time to heal hence chronic absenteeism from school during that period.</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In Africa, FGM is prevalent in the sub-Saharan region where cultural, economic and social factors contribute to its persistence. The World Health Organization (WHO) estimates that approximately 140 million girls have experienced FGM. The FGM has a significant impact on girl child education leading to increased absenteeism and dropout rates.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East Africa, in Tanzania FGM is a significant issue affecting girl’s education. A study by Lukuba (2015) found that FGM practices lead to increased absenteeism and dropout rates among girls. In Uganda FGM is also prevalent issue in the education sector. The practice has negatively impacted the performance of the girl child as they are absent from school for a long duration, (Abasi, 2017).</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Kenya FGM is a critical issue facing mostly the rural parts of Kenya that still hold on to their traditional believes. A study by Magige (2020), found that FGM leads to absenteeism as the girls often miss school to recover from the procedure and suffer from the medical complication and trauma which hinder the ability to attend classes regularly. In Samburu County, the same is noted in a study by (Njogu, 2015). Girls who undergo FGM face challenges in balancing their Education with the physical and psychological effects of the procedure.</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Cultural factors have limited research focusing on its influence on absenteeism. Therefor there is need for an indepth research to explore on how cultural factors impact students’ attendance and enhance the understanding of these factors to help develop culturally sensitive interventions to reduce absenteeism. </w:t>
      </w:r>
    </w:p>
    <w:bookmarkStart w:id="65" w:name="_Toc188281879"/>
    <w:bookmarkStart w:id="66" w:name="_Toc216513792"/>
    <w:p>
      <w:pPr>
        <w:pStyle w:val="style1"/>
        <w:spacing w:before="240"/>
        <w:jc w:val="both"/>
        <w:rPr>
          <w:color w:val="000000"/>
        </w:rPr>
      </w:pPr>
      <w:r>
        <w:rPr>
          <w:color w:val="000000"/>
        </w:rPr>
        <w:t>2.3 School E</w:t>
      </w:r>
      <w:bookmarkEnd w:id="65"/>
      <w:r>
        <w:rPr>
          <w:color w:val="000000"/>
        </w:rPr>
        <w:t>nvironment</w:t>
      </w:r>
      <w:r>
        <w:rPr>
          <w:color w:val="000000"/>
        </w:rPr>
        <w:t xml:space="preserve"> </w:t>
      </w:r>
      <w:r>
        <w:rPr>
          <w:color w:val="000000"/>
        </w:rPr>
        <w:t>and</w:t>
      </w:r>
      <w:r>
        <w:rPr>
          <w:color w:val="000000"/>
        </w:rPr>
        <w:t xml:space="preserve"> Learners’ Absenteeism</w:t>
      </w:r>
      <w:bookmarkEnd w:id="66"/>
    </w:p>
    <w:bookmarkStart w:id="67" w:name="_Toc188281880"/>
    <w:bookmarkStart w:id="68" w:name="_Toc216513793"/>
    <w:p>
      <w:pPr>
        <w:pStyle w:val="style1"/>
        <w:spacing w:before="240"/>
        <w:jc w:val="both"/>
        <w:rPr>
          <w:color w:val="000000"/>
        </w:rPr>
      </w:pPr>
      <w:r>
        <w:rPr>
          <w:color w:val="000000"/>
        </w:rPr>
        <w:t xml:space="preserve">2.3.1 Infrastructure </w:t>
      </w:r>
      <w:bookmarkEnd w:id="67"/>
      <w:r>
        <w:rPr>
          <w:color w:val="000000"/>
        </w:rPr>
        <w:t>and</w:t>
      </w:r>
      <w:r>
        <w:rPr>
          <w:color w:val="000000"/>
        </w:rPr>
        <w:t xml:space="preserve"> Learners’ Absenteeism</w:t>
      </w:r>
      <w:bookmarkEnd w:id="68"/>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School infrastructure plays a crucial role in the attendance of school. Poor infrastructure, including inadequate classrooms, lack of sanitation facilities and unsafe environments, significantly contributes to student absenteeism. A study by World Bank (2019) in India, China and Brazil indicates that infrastructure can lead to increased absenteeism and reduced instructional time. It also emphasizes that students are more likely to attend school regularly when they have safe, clean and well-maintained facilities. Inadequate classrooms, lack of sanitation facilities and unsafe environments significantly impact student’s academic and social development, leading to higher rates of absenteeism.</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Africa, the African Development Bank (2018) highlights that many schools in the region, particularly in Nigeria, Ghana and Senegal, lack basic infrastructure such as classrooms, toilets and clean drinking water. This lack of infrastructure has led to high rates of absenteeism especially among girls who face additional challenges related to menstrual hygiene management.</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East Africa a similar trend is observed. In Tanzania, a study by the Tanzania Education Network (2020) found that schools with poor infrastructure had higher absenteeism rates compared to those that have better infrastructure. They also emphasized that availability of electricity and internet connectivity in schools has positive influence on student attendance. In Uganda, Musisi (2019) revealed that poor infrastructure, such as dilapidated classrooms and inadequate sanitation facilities, significantly contributed to student absenteeism.</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In Kenya, a study by Kariba (2019), in Nyandarua County, revealed that schools with poor infrastructure such as broken desks and chairs and lack of proper sanitation facilities, had higher absenteeism rates, which highly impacted the students performance and social development. A study by Mugendi (2011) also assessed poor infrastructure as a factor that highly influences student’s attendance in Tetu district, Nyeri County. </w:t>
      </w:r>
    </w:p>
    <w:bookmarkStart w:id="69" w:name="_Toc188281881"/>
    <w:bookmarkStart w:id="70" w:name="_Toc216513794"/>
    <w:p>
      <w:pPr>
        <w:pStyle w:val="style1"/>
        <w:spacing w:before="240"/>
        <w:jc w:val="both"/>
        <w:rPr>
          <w:color w:val="000000"/>
        </w:rPr>
      </w:pPr>
      <w:r>
        <w:rPr>
          <w:color w:val="000000"/>
        </w:rPr>
        <w:t xml:space="preserve">2.3.2 Punishment methods </w:t>
      </w:r>
      <w:bookmarkEnd w:id="69"/>
      <w:r>
        <w:rPr>
          <w:color w:val="000000"/>
        </w:rPr>
        <w:t>and</w:t>
      </w:r>
      <w:r>
        <w:rPr>
          <w:color w:val="000000"/>
        </w:rPr>
        <w:t xml:space="preserve"> Learners’ Absenteeism</w:t>
      </w:r>
      <w:bookmarkEnd w:id="70"/>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Various studies have indicated that punitive disciplinary methods in schools can lead to increased absenteeism among students. A study by Kearney (2022) done in the United States highlighted that hard punishment methods can create a hostile school environment, leading to students failing to attend classes to escape the negative experience. Keter (2013) also indicated in his study the effects of punitive discipline on the students in Turkey. The study highlights the need for supportive school environments.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In West Africa, Agyie (2015) explored the relationship between school punishment methods and student absenteeism in Ghana. The study found that corporal punishment significantly contributed to absenteeism. Additionally, Coetzee (2016) conducted a study in South Africa highlighted that punitive approaches often fail to address the specific circumstances of absentee learners. </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East Africa, a research done in Tanzania by Mwamwaja (2018) found that corporal punishment was a significant cause of absenteeism. The research has emphasized on the need to train teachers on effective classroom management techniques to create a supportive school environment and reduce absenteeism.</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Kenya several studies have been carried out to explore the relationship between punishment methods and student absenteeism. An example being Kamau (2015) study which investigated how different disciplinary methods have impacted absenteeism. The research found that punitive measures significantly contributed to absenteeism. Additionally, Mutua (2004) study in Machakos District highlights the importance of alternative disciplinary strategies in the absence of corporal punishment in order to reduce absenteeism. In Tana River County, Gitau (2021) explored various factors affecting education access and retention and the impact of school punishment methods on student absenteeism. The study found that students who experience harsh punishment were most likely to avoid attending school.</w:t>
      </w:r>
    </w:p>
    <w:bookmarkStart w:id="71" w:name="_Toc188281882"/>
    <w:bookmarkStart w:id="72" w:name="_Toc216513795"/>
    <w:p>
      <w:pPr>
        <w:pStyle w:val="style1"/>
        <w:spacing w:before="240"/>
        <w:jc w:val="both"/>
        <w:rPr>
          <w:color w:val="000000"/>
        </w:rPr>
      </w:pPr>
      <w:r>
        <w:rPr>
          <w:color w:val="000000"/>
        </w:rPr>
        <w:t xml:space="preserve">2.3.3 Security and Safety </w:t>
      </w:r>
      <w:bookmarkEnd w:id="71"/>
      <w:r>
        <w:rPr>
          <w:color w:val="000000"/>
        </w:rPr>
        <w:t>and</w:t>
      </w:r>
      <w:r>
        <w:rPr>
          <w:color w:val="000000"/>
        </w:rPr>
        <w:t xml:space="preserve"> Learners’ Absenteeism</w:t>
      </w:r>
      <w:bookmarkEnd w:id="72"/>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School safety and security is a critical factor that influences the learner’s school attendance. Kearney (2022) highlights that school absenteeism has been a focus of research for over a century, with psychological approaches identifying fear, anxiety and family dysfunction as key factors that contribute to absenteeism. In the United States, impact of school safety on absenteeism has been extensively studied. A report by CENTEGIX (2024) found that when students feel safe at school, they can fully participate and gain a sense of belonging. On the other hand, when the student feels unsafe, this negatively impacts the student’s school attendance.</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Africa, a study by Senyametor (2018) in Ghana found that student’s absenteeism is majorly influenced by school safety measures. The study highlighted that students fear of violence and bullying caused many students to stay away from school. Xaba (2006) has also found that unsafe school environment, including poor maintained buildings and lack of security personnel, contributed to higher absenteeism rates in South Africa.</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East Africa similar trends have been observed, as learners tend to stay away from unsafe environment due to fear. Marakis (2022) found that students in schools with inadequate security measures are more likely to miss school. The research identified that threat of violence, harassment and lack of supervision as key factors leading to absenteeism in Uganda.</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Kenya, safety and security in schools has been an issue of concern in several parts of the country. A study by Atugi (2018) examined the preparedness of learning institutions in handling emergencies. The research found that many schools were not adequately prepared to cope with disasters and any security concern. In Tana River County, Gitau (2021) explored the challenges faced by the schools. The study found that school safety and security measures significantly contributed to the absenteeism rate in the county.</w:t>
      </w:r>
    </w:p>
    <w:bookmarkStart w:id="73" w:name="_Toc188281883"/>
    <w:bookmarkStart w:id="74" w:name="_Toc216513796"/>
    <w:p>
      <w:pPr>
        <w:pStyle w:val="style1"/>
        <w:spacing w:before="240"/>
        <w:jc w:val="both"/>
        <w:rPr>
          <w:color w:val="000000"/>
        </w:rPr>
      </w:pPr>
      <w:r>
        <w:rPr>
          <w:color w:val="000000"/>
        </w:rPr>
        <w:t xml:space="preserve">2.3.4 Teacher Behavior </w:t>
      </w:r>
      <w:bookmarkEnd w:id="73"/>
      <w:r>
        <w:rPr>
          <w:color w:val="000000"/>
        </w:rPr>
        <w:t>and</w:t>
      </w:r>
      <w:r>
        <w:rPr>
          <w:color w:val="000000"/>
        </w:rPr>
        <w:t xml:space="preserve"> Learners’ Absenteeism</w:t>
      </w:r>
      <w:bookmarkEnd w:id="74"/>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Globally, the relationship between teacher friendliness and student absenteeism has been widely studied. A research by Lee (2015) in the United States highlights various factors underlying teacher absenteeism, such as pay structure, working conditions, and community conditions. The study suggests that when teachers exhibit friendly and supportive behavior, students are more likely to attend school regularly. By fostering positive teacher-student relationships, schools can create an environment that encourages regular attendance and reduces absenteeism.</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Africa, teacher absenteeism is a prevalent issue, with rates ranging from 15% to 45% in sub-Saharan Africa. The UNICEF (2020) report emphasizes the importance of teacher friendliness in reducing absenteeism. The study found that students who perceive their teachers as approachable and caring are more likely to attend school regularly. By addressing the root causes of absenteeism, such as poor working conditions and insufficient infrastructure, schools can create a positive learning environment that promotes regular attendance</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East Africa, the Time to teach initiative by UNICEF examines teacher attendance in eight countries, including Kenya. The study by Karamperidou (2020) identifies factors affecting teacher attendance and proposes best practices for reducing absenteeism. The research highlights that teacher friendliness plays a crucial role in student attendance, as students are more likely to attend school when they have supportive and approachable teachers. By implementing policies that promote teacher friendliness, schools in East Africa can reduce absenteeism and improve educational outcome.</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Kenya, teacher absenteeism is a significant challenge, with absentee rates as high as 30% in some regions. A study by Wambua (2015) in Ruiru Constituency, Kiambu County explores the socio-demographic characteristics and job satisfaction factors that influence teacher absenteeism. The research indicates that teacher friendliness can mitigate absenteeism by creating a positive and engaging learning environment. In Tana River County, a study by Gitau (2021) highlights various factors affecting education access and retention, including the role of teacher behavior. By implementing policies that promote teacher friendliness, schools in Tana River County can improve student attendance and retention rates.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There is limited data on how different aspects of the school environment contribute to absenteeism. Therefore a detailed research is needed to investigate the specific elements of the school environment that have significant impact on school attendance.</w:t>
      </w:r>
    </w:p>
    <w:bookmarkStart w:id="75" w:name="_Toc188281885"/>
    <w:bookmarkStart w:id="76" w:name="_Toc216513797"/>
    <w:p>
      <w:pPr>
        <w:pStyle w:val="style1"/>
        <w:spacing w:before="240"/>
        <w:ind w:left="0" w:firstLine="0"/>
        <w:jc w:val="both"/>
        <w:rPr>
          <w:color w:val="000000"/>
        </w:rPr>
      </w:pPr>
      <w:r>
        <w:rPr>
          <w:color w:val="000000"/>
        </w:rPr>
        <w:t>2.4 Policy I</w:t>
      </w:r>
      <w:bookmarkEnd w:id="75"/>
      <w:r>
        <w:rPr>
          <w:color w:val="000000"/>
        </w:rPr>
        <w:t>mplementation</w:t>
      </w:r>
      <w:r>
        <w:rPr>
          <w:color w:val="000000"/>
        </w:rPr>
        <w:t xml:space="preserve"> </w:t>
      </w:r>
      <w:r>
        <w:rPr>
          <w:color w:val="000000"/>
        </w:rPr>
        <w:t>and</w:t>
      </w:r>
      <w:r>
        <w:rPr>
          <w:color w:val="000000"/>
        </w:rPr>
        <w:t xml:space="preserve"> Learners’ Absenteeism</w:t>
      </w:r>
      <w:bookmarkEnd w:id="76"/>
    </w:p>
    <w:bookmarkStart w:id="77" w:name="_Toc188281886"/>
    <w:bookmarkStart w:id="78" w:name="_Toc216513798"/>
    <w:p>
      <w:pPr>
        <w:pStyle w:val="style1"/>
        <w:spacing w:before="240"/>
        <w:jc w:val="both"/>
        <w:rPr>
          <w:color w:val="000000"/>
        </w:rPr>
      </w:pPr>
      <w:r>
        <w:rPr>
          <w:color w:val="000000"/>
        </w:rPr>
        <w:t xml:space="preserve">2.4.1 Parental engagement </w:t>
      </w:r>
      <w:bookmarkEnd w:id="77"/>
      <w:r>
        <w:rPr>
          <w:color w:val="000000"/>
        </w:rPr>
        <w:t>and</w:t>
      </w:r>
      <w:r>
        <w:rPr>
          <w:color w:val="000000"/>
        </w:rPr>
        <w:t xml:space="preserve"> Learners’ Absenteeism</w:t>
      </w:r>
      <w:bookmarkEnd w:id="78"/>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Parental involvement plays a crucial role in reducing absenteeism globally. Studies have shown that when parents are actively engaged in their children's education, students are more likely to attend school regularly. For instance, a study conducted in the Philippines by Grepon (2021) found that parental involvement at home and school significantly reduced absenteeism among students. The research highlighted that parents' active participation in school activities and monitoring their children's attendance contributed to students attending school regularly.</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Africa, parental involvement has also been linked to lower absenteeism rates. Research conducted in various African countries has shown that when parents are involved in their children's education, it fosters a sense of responsibility and commitment towards school. This involvement can take various forms, such as attending school meetings, helping with homework, and encouraging regular school attendance. A study in Kenya by Twaweza (2021) revealed that parental involvement in school activities and monitoring attendance was crucial in reducing absenteeism among primary school students.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East Africa, the impact of parental involvement on absenteeism has been similarly positive. For example, Ntekane (2016) found that when parents are engaged in their children's education, it leads to improved attendance and academic performance. The research emphasized the importance of parents' presence in school activities and their active role in monitoring their children's school attendance.</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Kenya specifically, parental involvement has been shown to have a significant impact on reducing absenteeism. A study conducted in Kitui County, Kenya, found that parental involvement in public primary schools led to better attendance and academic performance among students. The research highlighted that parents' active participation in school activities and their efforts to monitor their children's attendance were key factors in reducing absenteeism, (Nzau, 2015).</w:t>
      </w:r>
    </w:p>
    <w:bookmarkStart w:id="79" w:name="_Toc188281887"/>
    <w:bookmarkStart w:id="80" w:name="_Toc216513799"/>
    <w:p>
      <w:pPr>
        <w:pStyle w:val="style1"/>
        <w:spacing w:before="240"/>
        <w:jc w:val="both"/>
        <w:rPr>
          <w:color w:val="000000"/>
        </w:rPr>
      </w:pPr>
      <w:r>
        <w:rPr>
          <w:color w:val="000000"/>
        </w:rPr>
        <w:t xml:space="preserve">2.4.2 Teacher teamwork </w:t>
      </w:r>
      <w:bookmarkEnd w:id="79"/>
      <w:r>
        <w:rPr>
          <w:color w:val="000000"/>
        </w:rPr>
        <w:t>and</w:t>
      </w:r>
      <w:r>
        <w:rPr>
          <w:color w:val="000000"/>
        </w:rPr>
        <w:t xml:space="preserve"> Learners’ Absenteeism</w:t>
      </w:r>
      <w:bookmarkEnd w:id="80"/>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Research has shown that when teachers work together effectively, it can have a big impact on reducing student absenteeism. For example, a study in the United States by Ronfeldt (2015) found that schools with strong teacher collaboration saw improvements in both student attendance and academic performance. Additionally a research by Berg (2017) in Netherlands revealed that teacher teamwork has significantly reduced student absenteeism. Teacher collaboration has led to better attendance and engagement as opposed to schools where there is less teacher collaboration (Cheng, 2019). </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Africa, David (2018) conducted a study in Nigeria, and they discovered that schools with a collaborative teaching environment reported lower rates of student absenteeism. This was mainly because a supportive atmosphere helped strengthen student-teacher relationships and motivated students to attend school.</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In East Africa, Kimani (2020) investigated the effect of teacher teamwork on student absenteeism in public schools in Kenya. They found that schools with strong collaboration among teachers had fewer students missing classes. The positive school environment and better student-teacher interactions created by effective teamwork were key factors. </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A specific study in Kenya by Musyoka (2022) looked at the impact of teacher teamwork in rural primary schools, finding   that when teachers worked well together, student absenteeism dropped significantly. A more engaging and supportive learning environment was created, helping students stay motivated to attend school.</w:t>
      </w:r>
    </w:p>
    <w:bookmarkStart w:id="81" w:name="_Toc188281888"/>
    <w:bookmarkStart w:id="82" w:name="_Toc216513800"/>
    <w:p>
      <w:pPr>
        <w:pStyle w:val="style1"/>
        <w:spacing w:before="240"/>
        <w:jc w:val="both"/>
        <w:rPr>
          <w:color w:val="000000"/>
        </w:rPr>
      </w:pPr>
      <w:r>
        <w:rPr>
          <w:color w:val="000000"/>
        </w:rPr>
        <w:t xml:space="preserve">2.4.3 School Rules </w:t>
      </w:r>
      <w:bookmarkEnd w:id="81"/>
      <w:r>
        <w:rPr>
          <w:color w:val="000000"/>
        </w:rPr>
        <w:t>and</w:t>
      </w:r>
      <w:r>
        <w:rPr>
          <w:color w:val="000000"/>
        </w:rPr>
        <w:t xml:space="preserve"> Learners’ Absenteeism</w:t>
      </w:r>
      <w:bookmarkEnd w:id="82"/>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Around the world, schools have found that clear and enforced rules can make a big difference in how often students show up to class. For instance, a study in the United States by Kearney ( 2022) shows that when schools have strict policies about attendance and actual consequences for skipping, students are less likely to miss school. On the flip side, they also discovered that recognizing and rewarding students for good attendance can be just as effective. These policies help create a structured and supportive environment, making students more inclined to attend regularly</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Africa, the situation is closely tied to socio-economic factors. In South Africa, research by Wadesango (2011) found that having clear disciplinary policies and supportive school environments can reduce absenteeism. When students are engaged and feel a part of school activities, they are more likely to show up. Similarly, in Ethiopia, Assefa (2018) study highlights that improving communication within the school community and having guidance and counseling programs can help address absenteeism by creating a more inclusive and supportive environment.</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East Africa, school rules play a crucial role in managing student behavior and encouraging regular attendance. Hassan (2021) study in Uganda found that enforcing rules about respecting teachers and improving school security can make a big difference. When students understand what's expected of them and feel safe at school, they're more likely to attend regularly.</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In Kenya, Kiprop (2022) study identified that addressing student motivation and socio-economic challenges through school rules can significantly impact attendance. Schools that recognize and reward good attendance and provide a supportive learning environment see fewer students skipping classes. </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While there are studies on policy implementation, there is a gap in research on the effective implementation of these policies and how they can be tailored to fit different region context.</w:t>
      </w:r>
    </w:p>
    <w:bookmarkStart w:id="83" w:name="_Toc188281889"/>
    <w:bookmarkStart w:id="84" w:name="_Toc216513801"/>
    <w:p>
      <w:pPr>
        <w:pStyle w:val="style1"/>
        <w:spacing w:before="240"/>
        <w:jc w:val="both"/>
        <w:rPr>
          <w:color w:val="000000"/>
        </w:rPr>
      </w:pPr>
      <w:r>
        <w:rPr>
          <w:color w:val="000000"/>
        </w:rPr>
        <w:t xml:space="preserve">2.5 Student Attitude </w:t>
      </w:r>
      <w:bookmarkEnd w:id="83"/>
      <w:r>
        <w:rPr>
          <w:color w:val="000000"/>
        </w:rPr>
        <w:t>and</w:t>
      </w:r>
      <w:r>
        <w:rPr>
          <w:color w:val="000000"/>
        </w:rPr>
        <w:t xml:space="preserve"> Learners’ Absenteeism</w:t>
      </w:r>
      <w:bookmarkEnd w:id="84"/>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Around the globe, there's been a lot of attention on how student absenteeism is tied to their attitudes towards school. Take the study by Balkıs (2016), for example. They found that students who didn't feel great about school, their teachers, or even their own academic abilities tended to skip classes more often. It turns into a cycle: the more they skip, the worse they do academically, which only reinforces their negative feelings and leads to even more absences. It's a bit like trying to climb up a down escalator.</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Similarly, study by Gonzalvez (2021) in Spain found that student absenteeism was linked to negative attitudes towards school. The emphasized the role of psychological factors, such as academic self-concept and motivation in shaping students’ attendance patterns. Students with strong sense of belonging and engagement in school activities exhibited lower absenteeism rates. In Netherlands, Van den Berg (2017) explored the effects of student motivation on school attendance. The study found that students who perceived their education as valuable were more likely to attend school, while those who lacked interest in their studies exhibited higher absenteeism rates.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In Africa, the story is a bit different but still quite impactful Motshoane's (2018) study in South Africa pointed out that socio-economic challenges coupled with negative attitudes towards school were major reasons why students missed classes. The study stressed the importance of creating a supportive and engaging learning environment. When students feel connected and supported, they are more likely to attend school regularly. A study by Wadesonga (2011) in Zimbabwe examined factors influencing student absenteeism. The research found that students with low academic motivation and a lack of enthusiasm for learning had a high absenteeism rates. </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Moving to East Africa, there's a strong link between student attitudes and school attendance. For instance, study in Uganda; found that students who felt valued and supported by their teachers were more likely to attend school consistently (Masaba, 2017). On the flip side, those who had negative perceptions of their school environment were more prone to skipping classes. It's clear that when students have a positive relationship with their teachers and feel good about their school, they're more likely to show up.</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Kenya, the connection between student attitudes and absenteeism is just as significant. A study by Kiprop (2022) in Moiben sub-county highlighted that students who had negative attitudes towards education often skipped school. These attitudes were often a result of harsh discipline policies and a lack of motivation. Similarly, Maina’s (2018) study in Nyandarua County found that negative attitudes towards school led to higher absenteeism rates, which in turn affected academic performance.</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While studies have explored the connection between student attitude and absenteeism, there is limited research focusing on rural primary schools in Kenya, particularly Tana River county. Additionally, existing studies primarily focus on secondary school students, leaving a gap in understanding how younger pupils’ attitudes influence absenteeism. Further research is needed to develop targeted interventions that address negative attitudes and promote school attendance among primary school students. </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relationship between health, well-being and student absenteeism has been studied extensively. A notable study by Edmunds (2018) emphasizes the prevalence rates of chronic absenteeism and its associated outcomes. The study shows critical barriers like health and well being that contribute to frequent absenteeism among students. Keppens (2022) also provides a comprehensive overview of absenteeism and contemporary perspectives. The study underscores the importance of addressing absenteeism and factors that influence its persistence such as health and well-being.</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the African context, the study Wadesango (2011) in South Africa delves into the causes and structural effects of student absenteeism in three South African universities. The research reveals that health-related issues, such as mental health challenges and physical illnesses, play a crucial role in student absenteeism. The study emphasizes the need for universities to implement health support services and mental health programs to address these challenges and reduce absenteeism rates among students.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Ghana, Senyametor (2018) explored the impact of mental health on absenteeism, finding that students who experienced depression, anxiety, or trauma-related disorders were more likely to miss school. The study recommended integrating school-based mental health services to address absenteeism.</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Nigeria, a study by Omotosho (2020) found that malaria was one of the leading causes of school absenteeism. The study indicated that children in malaria-endemic regions missed an average of 10-15 days of school annually due to illness. The researchers emphasized the importance of school-based health interventions, such as deworming programs and malaria prevention initiatives, in reducing absenteeism.</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East Africa, health-related absenteeism remains a major challenge due to the prevalence of diseases such as malaria, respiratory infections, and waterborne illnesses. A World Health Organization (WHO, 2020) study found that students in Tanzania and Uganda who lacked access to clean water and sanitation facilities had higher absenteeism rates due to waterborne diseases such as cholera and dysentery.</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 Somanah (2024) conducted a systematic review of university students’ mental health in sub-Saharan Africa, which includes the East African region. The review finds that poor mental health is a significant factor contributing to absenteeism among university students. The study calls for the implementation of comprehensive mental health policies and support systems within educational institutions to help students manage their mental health and reduce absenteeism.</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Kenya, Conel (2022) investigated the factors affecting absenteeism among junior high school students. The study identifies health issues, such as chronic illnesses and poor mental health, as major contributors to absenteeism. The research highlights the importance of addressing these health challenges through targeted interventions, such as improving access to healthcare services and providing mental health support, to reduce absenteeism and enhance educational outcomes for students.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A study by Ndiku (2019) in Kenya found that students with disabilities had higher absenteeism rates due to inadequate access to assistive devices, poor school infrastructure, and limited medical support. The study recommended inclusive education policies to ensure children with disabilities receive necessary medical and educational support.</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Despite extensive research on health and absenteeism, gaps remain in understanding how specific health challenges affect primary school children in rural settings like Bangal Sub-County. Additionally, limited studies have explored the long-term effects of absenteeism due to mental health concerns in Kenyan schools. Further research is needed to assess the effectiveness of school health programs in reducing absenteeism.</w:t>
      </w:r>
    </w:p>
    <w:bookmarkStart w:id="85" w:name="_Toc216513802"/>
    <w:p>
      <w:pPr>
        <w:pStyle w:val="style1"/>
        <w:spacing w:before="240"/>
        <w:jc w:val="both"/>
        <w:rPr>
          <w:color w:val="000000"/>
        </w:rPr>
      </w:pPr>
      <w:r>
        <w:rPr>
          <w:color w:val="000000"/>
        </w:rPr>
        <w:t xml:space="preserve">2.7 </w:t>
      </w:r>
      <w:r>
        <w:rPr>
          <w:color w:val="000000"/>
        </w:rPr>
        <w:t>Learners’ Absenteeism</w:t>
      </w:r>
      <w:bookmarkEnd w:id="85"/>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Learners’</w:t>
      </w:r>
      <w:r>
        <w:rPr>
          <w:rFonts w:ascii="Times New Roman" w:cs="Times New Roman" w:hAnsi="Times New Roman"/>
          <w:color w:val="000000"/>
          <w:sz w:val="24"/>
          <w:szCs w:val="24"/>
        </w:rPr>
        <w:t xml:space="preserve"> absenteeism is a pervasive issue with significant implications on educational outcomes worldwide. In a comprehensive review conducted by Edmunds (2018) delves into the prevalence, root causes, and associated outcomes of chronic absenteeism. The study highlights that absenteeism adversely affects student achievements in subjects like mathematics and reading, hinders social-emotional development, and increases the likelihood of grade retention and school dropouts. Strategies for prevention and intervention are discussed, emphasizing the importance of addressing the issue to improve overall educational success.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Similarly, a study by Kearney (2022) found that in European countries such as the UK, Germany, and France, absenteeism was primarily driven by mental health issues, school dissatisfaction, and bullying. The study suggested that absenteeism could be reduced through student support services and targeted interventions.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Asia, research by Prakash (2017) in India and China found that absenteeism was linked to poverty, child labor, and inadequate school facilities. The study recommended increased investment in education infrastructure and financial support programs to improve attendance. In Latin America, a UNESCO (2021) study found that school absenteeism was exacerbated by economic disparities and social issues such as gang violence. In Brazil, for instance, students from lower-income backgrounds missed school more frequently due to safety concerns.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Africa, the issue of student absenteeism is explored through various lenses. A notable study conducted by Wadesango in (2011) investigates the extent and causes of absenteeism in South African universities, identifying factors such as lack of interest in subjects, ineffective teaching methods, poor learning environments, and socio-economic challenges. The study underscores the need for structural changes and improved support systems to mitigate absenteeism and enhance the educational experience for students in higher education institutions.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Ethiopia, Habte and Kifle (2020) examined the role of social norms in absenteeism, finding that cultural practices such as early marriages and domestic responsibilities disproportionately affected female students. The study called for more gender-sensitive education policies.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Focusing on East Africa, the issue of student absenteeism is addressed in a study conducted by Kiprop (2022). This research examines the factors contributing to absenteeism in public day secondary schools in Moiben sub-county, Uasin Gishu County, Kenya. The findings indicate that a lack of motivation, socio-economic hardships, and inadequate school environments are primary contributors to absenteeism. The study emphasizes the need for targeted interventions to address these challenges and improve student attendance and academic performance in the region.</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East Africa, absenteeism is a widespread challenge that undermines educational development. A study by World Bank (2020) found that students in Uganda, Tanzania, and Kenya often missed school due to a combination of economic hardship, inadequate school facilities, and safety concerns.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Uganda, Masaba (2017) found that absenteeism was linked to school conditions, with students in poorly equipped schools being more likely to miss classes. The study recommended infrastructural investments and improved teacher-student engagement as solutions. In Tanzania, research by Kimaro (2021) found that absenteeism was associated with long distances to school, particularly in rural areas. The study suggested that providing transportation assistance and building more schools in remote areas could help improve attendance rates.</w:t>
      </w:r>
    </w:p>
    <w:p>
      <w:pPr>
        <w:pStyle w:val="style0"/>
        <w:spacing w:before="240" w:after="0" w:lineRule="auto" w:line="480"/>
        <w:jc w:val="both"/>
        <w:rPr>
          <w:rFonts w:ascii="Times New Roman" w:cs="Times New Roman" w:hAnsi="Times New Roman"/>
          <w:b/>
          <w:color w:val="000000"/>
          <w:sz w:val="24"/>
          <w:szCs w:val="24"/>
        </w:rPr>
      </w:pPr>
      <w:r>
        <w:rPr>
          <w:rFonts w:ascii="Times New Roman" w:cs="Times New Roman" w:hAnsi="Times New Roman"/>
          <w:color w:val="000000"/>
          <w:sz w:val="24"/>
          <w:szCs w:val="24"/>
        </w:rPr>
        <w:t>In Kenya, the impact of student absenteeism on academic performance is highlighted in research conducted by Kariba (2022). This study focuses on secondary school students in Nyandarua and reveals that absenteeism negatively affects academic performance. The research recommends government intervention to cover the full cost of education to reduce absenteeism rates. Additionally, it suggests the implementation of supportive measures to address the underlying causes of absenteeism, ultimately aiming to enhance the educational outcomes for students</w:t>
      </w:r>
    </w:p>
    <w:p>
      <w:pPr>
        <w:pStyle w:val="style0"/>
        <w:spacing w:before="240" w:after="0" w:lineRule="auto" w:line="480"/>
        <w:jc w:val="both"/>
        <w:rPr>
          <w:rFonts w:ascii="Times New Roman" w:cs="Times New Roman" w:hAnsi="Times New Roman"/>
          <w:b/>
          <w:color w:val="000000"/>
          <w:sz w:val="24"/>
          <w:szCs w:val="24"/>
        </w:rPr>
      </w:pPr>
      <w:r>
        <w:rPr>
          <w:rFonts w:ascii="Times New Roman" w:cs="Times New Roman" w:hAnsi="Times New Roman"/>
          <w:color w:val="000000"/>
          <w:sz w:val="24"/>
          <w:szCs w:val="24"/>
        </w:rPr>
        <w:t>Despite extensive studies on absenteeism, several gaps remain: Limited research focuses on absenteeism in rural Kenyan primary schools, particularly in regions like Bangal Sub-County,few studies explore the long-term effects of absenteeism on students’ social and economic well-being, there is a lack of gender-focused studies examining how absenteeism affects boys and girls differently in Kenya, more research is needed on the effectiveness of absenteeism-reduction programs in Kenyan public schools. Few studies explore the long-term effects of absenteeism on students’ social and economic well-being. There is a lack of gender-focused studies examining how absenteeism affects boys and girls differently in Kenya. More research is needed on the effectiveness of absenteeism-reduction programs in Kenyan public schools.</w:t>
      </w:r>
    </w:p>
    <w:bookmarkStart w:id="86" w:name="_Toc216513803"/>
    <w:p>
      <w:pPr>
        <w:pStyle w:val="style1"/>
        <w:spacing w:before="240"/>
        <w:jc w:val="both"/>
        <w:rPr>
          <w:color w:val="000000"/>
        </w:rPr>
      </w:pPr>
      <w:r>
        <w:rPr>
          <w:bCs/>
          <w:color w:val="000000"/>
        </w:rPr>
        <w:t>2.8</w:t>
      </w:r>
      <w:r>
        <w:rPr>
          <w:b w:val="false"/>
          <w:bCs/>
          <w:color w:val="000000"/>
        </w:rPr>
        <w:t xml:space="preserve"> </w:t>
      </w:r>
      <w:r>
        <w:rPr>
          <w:color w:val="000000"/>
        </w:rPr>
        <w:t>Summary of Research Gaps</w:t>
      </w:r>
      <w:bookmarkEnd w:id="86"/>
    </w:p>
    <w:p>
      <w:pPr>
        <w:pStyle w:val="style0"/>
        <w:spacing w:before="240" w:after="0" w:lineRule="auto" w:line="480"/>
        <w:jc w:val="both"/>
        <w:rPr>
          <w:rFonts w:ascii="Times New Roman" w:cs="Times New Roman" w:hAnsi="Times New Roman"/>
          <w:b/>
          <w:bCs/>
          <w:color w:val="000000"/>
          <w:sz w:val="24"/>
          <w:szCs w:val="24"/>
        </w:rPr>
      </w:pPr>
      <w:r>
        <w:rPr>
          <w:rFonts w:ascii="Times New Roman" w:cs="Times New Roman" w:hAnsi="Times New Roman"/>
          <w:color w:val="000000"/>
          <w:sz w:val="24"/>
          <w:szCs w:val="24"/>
        </w:rPr>
        <w:t>On the impact of economic factors on absenteeism, there is still need for a more comprehensive research on each factor individually and how it directly affects school attendance</w:t>
      </w:r>
      <w:r>
        <w:rPr>
          <w:rFonts w:ascii="Times New Roman" w:cs="Times New Roman" w:hAnsi="Times New Roman"/>
          <w:b/>
          <w:bCs/>
          <w:color w:val="000000"/>
          <w:sz w:val="24"/>
          <w:szCs w:val="24"/>
        </w:rPr>
        <w:t xml:space="preserve">. </w:t>
      </w:r>
      <w:r>
        <w:rPr>
          <w:rFonts w:ascii="Times New Roman" w:cs="Times New Roman" w:hAnsi="Times New Roman"/>
          <w:color w:val="000000"/>
          <w:sz w:val="24"/>
          <w:szCs w:val="24"/>
        </w:rPr>
        <w:t>Cultural factors have limited research focusing on its influence on absenteeism. Therefore there is need for an in-depth research to explore on how cultural factors impact students’ attendance and enhance the understanding of these factors to help develop culturally sensitive interventions to reduce absenteeism</w:t>
      </w:r>
      <w:r>
        <w:rPr>
          <w:rFonts w:ascii="Times New Roman" w:cs="Times New Roman" w:hAnsi="Times New Roman"/>
          <w:b/>
          <w:bCs/>
          <w:color w:val="000000"/>
          <w:sz w:val="24"/>
          <w:szCs w:val="24"/>
        </w:rPr>
        <w:t xml:space="preserve">   </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There is limited data on how different aspects of the school environment contribute to absenteeism. Therefore a detailed research is needed to investigate the specific elements of the school environment that have significant impact on school attendance.  Additionally, limited studies have explored the long-term effects of absenteeism due to health concerns in Kenyan schools. Further research is needed to assess the effectiveness of school health programs in reducing absenteeism.</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Despite extensive studies on absenteeism, several gaps remain: Limited research focuses on absenteeism in rural Kenyan primary schools, particularly in regions like Bangal Sub-County, there is a lack of gender-focused studies examining how absenteeism affects boys and girls differently in Kenya, more research is needed on the effectiveness of absenteeism-reduction programs in Kenyan public schools. </w:t>
      </w:r>
    </w:p>
    <w:p>
      <w:pPr>
        <w:pStyle w:val="style0"/>
        <w:spacing w:after="200" w:lineRule="auto" w:line="360"/>
        <w:rPr>
          <w:rFonts w:ascii="Times New Roman" w:cs="Times New Roman" w:hAnsi="Times New Roman"/>
          <w:b/>
          <w:bCs/>
          <w:color w:val="000000"/>
          <w:sz w:val="24"/>
          <w:szCs w:val="24"/>
        </w:rPr>
      </w:pPr>
      <w:r>
        <w:rPr>
          <w:rFonts w:ascii="Times New Roman" w:cs="Times New Roman" w:hAnsi="Times New Roman"/>
          <w:b/>
          <w:bCs/>
          <w:color w:val="000000"/>
          <w:sz w:val="24"/>
          <w:szCs w:val="24"/>
        </w:rPr>
        <w:br w:type="page"/>
      </w:r>
    </w:p>
    <w:bookmarkStart w:id="87" w:name="_Toc188281891"/>
    <w:bookmarkStart w:id="88" w:name="_Toc191462863"/>
    <w:bookmarkStart w:id="89" w:name="_Toc216513804"/>
    <w:p>
      <w:pPr>
        <w:pStyle w:val="style1"/>
        <w:spacing w:before="240"/>
        <w:ind w:left="0" w:firstLine="0"/>
        <w:rPr>
          <w:color w:val="000000"/>
        </w:rPr>
      </w:pPr>
      <w:r>
        <w:rPr>
          <w:color w:val="000000"/>
        </w:rPr>
        <w:t>CHAPTER THREE</w:t>
      </w:r>
      <w:bookmarkEnd w:id="87"/>
      <w:bookmarkEnd w:id="88"/>
      <w:bookmarkEnd w:id="89"/>
    </w:p>
    <w:bookmarkStart w:id="90" w:name="_Toc188281892"/>
    <w:bookmarkStart w:id="91" w:name="_Toc191462864"/>
    <w:bookmarkStart w:id="92" w:name="_Toc216513805"/>
    <w:p>
      <w:pPr>
        <w:pStyle w:val="style1"/>
        <w:spacing w:before="240"/>
        <w:rPr>
          <w:color w:val="000000"/>
        </w:rPr>
      </w:pPr>
      <w:r>
        <w:rPr>
          <w:color w:val="000000"/>
        </w:rPr>
        <w:t>RESEARCH METHODOLOGY</w:t>
      </w:r>
      <w:bookmarkEnd w:id="90"/>
      <w:bookmarkEnd w:id="91"/>
      <w:bookmarkEnd w:id="92"/>
    </w:p>
    <w:bookmarkStart w:id="93" w:name="_Toc188281893"/>
    <w:bookmarkStart w:id="94" w:name="_Toc216513806"/>
    <w:p>
      <w:pPr>
        <w:pStyle w:val="style1"/>
        <w:spacing w:before="240"/>
        <w:jc w:val="both"/>
        <w:rPr>
          <w:color w:val="000000"/>
        </w:rPr>
      </w:pPr>
      <w:r>
        <w:rPr>
          <w:color w:val="000000"/>
        </w:rPr>
        <w:t>3.1 O</w:t>
      </w:r>
      <w:bookmarkEnd w:id="93"/>
      <w:r>
        <w:rPr>
          <w:color w:val="000000"/>
        </w:rPr>
        <w:t>verview</w:t>
      </w:r>
      <w:bookmarkEnd w:id="94"/>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This chapter presents the methods that </w:t>
      </w:r>
      <w:r>
        <w:rPr>
          <w:rFonts w:ascii="Times New Roman" w:cs="Times New Roman" w:hAnsi="Times New Roman"/>
          <w:color w:val="000000"/>
          <w:sz w:val="24"/>
          <w:szCs w:val="24"/>
        </w:rPr>
        <w:t>were</w:t>
      </w:r>
      <w:r>
        <w:rPr>
          <w:rFonts w:ascii="Times New Roman" w:cs="Times New Roman" w:hAnsi="Times New Roman"/>
          <w:color w:val="000000"/>
          <w:sz w:val="24"/>
          <w:szCs w:val="24"/>
        </w:rPr>
        <w:t xml:space="preserve"> followed to attain the objectives of the study. It presents an overview of the research design, the overall population of the study, sampling procedures, data collection instruments and the analysis procedures that will be used. </w:t>
      </w:r>
    </w:p>
    <w:bookmarkStart w:id="95" w:name="_Toc216513807"/>
    <w:p>
      <w:pPr>
        <w:pStyle w:val="style1"/>
        <w:spacing w:before="240"/>
        <w:jc w:val="both"/>
        <w:rPr>
          <w:color w:val="000000"/>
        </w:rPr>
      </w:pPr>
      <w:r>
        <w:rPr>
          <w:color w:val="000000"/>
        </w:rPr>
        <w:t>3.2 Research Paradigm</w:t>
      </w:r>
      <w:bookmarkEnd w:id="95"/>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This </w:t>
      </w:r>
      <w:r>
        <w:rPr>
          <w:rFonts w:ascii="Times New Roman" w:cs="Times New Roman" w:hAnsi="Times New Roman"/>
          <w:color w:val="000000"/>
          <w:sz w:val="24"/>
          <w:szCs w:val="24"/>
        </w:rPr>
        <w:t xml:space="preserve">study </w:t>
      </w:r>
      <w:r>
        <w:rPr>
          <w:rFonts w:ascii="Times New Roman" w:cs="Times New Roman" w:hAnsi="Times New Roman"/>
          <w:color w:val="000000"/>
          <w:sz w:val="24"/>
          <w:szCs w:val="24"/>
        </w:rPr>
        <w:t>use</w:t>
      </w:r>
      <w:r>
        <w:rPr>
          <w:rFonts w:ascii="Times New Roman" w:cs="Times New Roman" w:hAnsi="Times New Roman"/>
          <w:color w:val="000000"/>
          <w:sz w:val="24"/>
          <w:szCs w:val="24"/>
        </w:rPr>
        <w:t>d</w:t>
      </w:r>
      <w:r>
        <w:rPr>
          <w:rFonts w:ascii="Times New Roman" w:cs="Times New Roman" w:hAnsi="Times New Roman"/>
          <w:color w:val="000000"/>
          <w:sz w:val="24"/>
          <w:szCs w:val="24"/>
        </w:rPr>
        <w:t xml:space="preserve"> the p</w:t>
      </w:r>
      <w:r>
        <w:rPr>
          <w:rFonts w:ascii="Times New Roman" w:cs="Times New Roman" w:hAnsi="Times New Roman"/>
          <w:color w:val="000000"/>
          <w:sz w:val="24"/>
          <w:szCs w:val="24"/>
        </w:rPr>
        <w:t>ragmatism paradigm as it focused</w:t>
      </w:r>
      <w:r>
        <w:rPr>
          <w:rFonts w:ascii="Times New Roman" w:cs="Times New Roman" w:hAnsi="Times New Roman"/>
          <w:color w:val="000000"/>
          <w:sz w:val="24"/>
          <w:szCs w:val="24"/>
        </w:rPr>
        <w:t xml:space="preserve"> on finding practical solutions to real world problems and emphasize</w:t>
      </w:r>
      <w:r>
        <w:rPr>
          <w:rFonts w:ascii="Times New Roman" w:cs="Times New Roman" w:hAnsi="Times New Roman"/>
          <w:color w:val="000000"/>
          <w:sz w:val="24"/>
          <w:szCs w:val="24"/>
        </w:rPr>
        <w:t>d</w:t>
      </w:r>
      <w:r>
        <w:rPr>
          <w:rFonts w:ascii="Times New Roman" w:cs="Times New Roman" w:hAnsi="Times New Roman"/>
          <w:color w:val="000000"/>
          <w:sz w:val="24"/>
          <w:szCs w:val="24"/>
        </w:rPr>
        <w:t xml:space="preserve"> the use of multiple methods to answer research questions. It is particularly useful to investigate complex issues that have multiple, interconnected causes.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The pragmatism paradigm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useful in this study as it combines both qualitative and quantitative methods. It also focuses most on practical outcomes and is very flexible as it allows adopting methods best for the context in the research.</w:t>
      </w:r>
    </w:p>
    <w:bookmarkStart w:id="96" w:name="_Toc188281894"/>
    <w:bookmarkStart w:id="97" w:name="_Toc216513808"/>
    <w:p>
      <w:pPr>
        <w:pStyle w:val="style1"/>
        <w:spacing w:before="240"/>
        <w:ind w:left="0" w:firstLine="0"/>
        <w:jc w:val="both"/>
        <w:rPr>
          <w:color w:val="000000"/>
        </w:rPr>
      </w:pPr>
      <w:r>
        <w:rPr>
          <w:color w:val="000000"/>
        </w:rPr>
        <w:t>3.3 Research D</w:t>
      </w:r>
      <w:bookmarkEnd w:id="96"/>
      <w:r>
        <w:rPr>
          <w:color w:val="000000"/>
        </w:rPr>
        <w:t>esign</w:t>
      </w:r>
      <w:bookmarkEnd w:id="97"/>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Descriptive survey design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employed, involving a mixed-methods approach that utilizes both quantitative and qualitative data collection methods. Descriptive design describes characteristics without manipulating and deals with large data which are summarized to provide patterns and trends of the study. The survey utilize</w:t>
      </w:r>
      <w:r>
        <w:rPr>
          <w:rFonts w:ascii="Times New Roman" w:cs="Times New Roman" w:hAnsi="Times New Roman"/>
          <w:color w:val="000000"/>
          <w:sz w:val="24"/>
          <w:szCs w:val="24"/>
        </w:rPr>
        <w:t>d</w:t>
      </w:r>
      <w:r>
        <w:rPr>
          <w:rFonts w:ascii="Times New Roman" w:cs="Times New Roman" w:hAnsi="Times New Roman"/>
          <w:color w:val="000000"/>
          <w:sz w:val="24"/>
          <w:szCs w:val="24"/>
        </w:rPr>
        <w:t xml:space="preserve"> large sample to make generalization’</w:t>
      </w:r>
    </w:p>
    <w:bookmarkStart w:id="98" w:name="_Toc216513809"/>
    <w:p>
      <w:pPr>
        <w:pStyle w:val="style1"/>
        <w:spacing w:before="240"/>
        <w:ind w:left="0" w:firstLine="0"/>
        <w:jc w:val="both"/>
        <w:rPr>
          <w:color w:val="000000"/>
        </w:rPr>
      </w:pPr>
      <w:r>
        <w:rPr>
          <w:color w:val="000000"/>
        </w:rPr>
        <w:t>3.4 Location of the Study</w:t>
      </w:r>
      <w:bookmarkEnd w:id="98"/>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The study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conducted in Bangal Sub-county, Tana River County, Kenya. Bangal is situated approximately 290 kilometers east of Nairobi, the capital City of Kenya.</w:t>
      </w:r>
    </w:p>
    <w:bookmarkStart w:id="99" w:name="_Toc216423855"/>
    <w:p>
      <w:pPr>
        <w:pStyle w:val="style4110"/>
        <w:rPr>
          <w:i w:val="false"/>
        </w:rPr>
      </w:pPr>
      <w:r>
        <w:rPr>
          <w:i w:val="false"/>
        </w:rPr>
        <w:t>Figure 2</w:t>
      </w:r>
      <w:bookmarkEnd w:id="99"/>
    </w:p>
    <w:bookmarkStart w:id="100" w:name="_Toc216423856"/>
    <w:p>
      <w:pPr>
        <w:pStyle w:val="style4110"/>
        <w:rPr>
          <w:b w:val="false"/>
        </w:rPr>
      </w:pPr>
      <w:r>
        <w:rPr>
          <w:b w:val="false"/>
        </w:rPr>
        <w:t>Location of the Study</w:t>
      </w:r>
      <w:bookmarkEnd w:id="100"/>
      <w:r>
        <w:rPr>
          <w:b w:val="false"/>
        </w:rPr>
        <w:t xml:space="preserve"> </w:t>
      </w:r>
    </w:p>
    <w:p>
      <w:pPr>
        <w:pStyle w:val="style0"/>
        <w:spacing w:before="240" w:after="0" w:lineRule="auto" w:line="480"/>
        <w:rPr>
          <w:color w:val="000000"/>
        </w:rPr>
      </w:pPr>
      <w:r>
        <w:rPr>
          <w:noProof/>
          <w:color w:val="000000"/>
        </w:rPr>
        <w:drawing>
          <wp:inline distL="0" distT="0" distB="0" distR="0">
            <wp:extent cx="5943001" cy="5495925"/>
            <wp:effectExtent l="0" t="0" r="0" b="0"/>
            <wp:docPr id="103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 cstate="print"/>
                    <a:srcRect l="0" t="0" r="0" b="0"/>
                    <a:stretch/>
                  </pic:blipFill>
                  <pic:spPr>
                    <a:xfrm rot="0">
                      <a:off x="0" y="0"/>
                      <a:ext cx="5943001" cy="5495925"/>
                    </a:xfrm>
                    <a:prstGeom prst="rect"/>
                    <a:ln>
                      <a:noFill/>
                    </a:ln>
                  </pic:spPr>
                </pic:pic>
              </a:graphicData>
            </a:graphic>
          </wp:inline>
        </w:drawing>
      </w:r>
    </w:p>
    <w:bookmarkStart w:id="101" w:name="_Toc188281895"/>
    <w:bookmarkStart w:id="102" w:name="_Toc216513810"/>
    <w:p>
      <w:pPr>
        <w:pStyle w:val="style1"/>
        <w:spacing w:before="240"/>
        <w:ind w:left="0" w:firstLine="0"/>
        <w:jc w:val="both"/>
        <w:rPr>
          <w:color w:val="000000"/>
        </w:rPr>
      </w:pPr>
      <w:r>
        <w:rPr>
          <w:color w:val="000000"/>
        </w:rPr>
        <w:t>3.</w:t>
      </w:r>
      <w:r>
        <w:rPr>
          <w:color w:val="000000"/>
        </w:rPr>
        <w:t>5</w:t>
      </w:r>
      <w:r>
        <w:rPr>
          <w:color w:val="000000"/>
        </w:rPr>
        <w:t xml:space="preserve"> Sampling P</w:t>
      </w:r>
      <w:bookmarkEnd w:id="101"/>
      <w:r>
        <w:rPr>
          <w:color w:val="000000"/>
        </w:rPr>
        <w:t>rocedure</w:t>
      </w:r>
      <w:bookmarkEnd w:id="102"/>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A simple random sampling method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used to select 9 schools and 70 teachers. A 30% sample size</w:t>
      </w:r>
      <w:r>
        <w:rPr>
          <w:rFonts w:ascii="Times New Roman" w:cs="Times New Roman" w:hAnsi="Times New Roman"/>
          <w:color w:val="000000"/>
          <w:sz w:val="24"/>
          <w:szCs w:val="24"/>
        </w:rPr>
        <w:t xml:space="preserve"> was</w:t>
      </w:r>
      <w:r>
        <w:rPr>
          <w:rFonts w:ascii="Times New Roman" w:cs="Times New Roman" w:hAnsi="Times New Roman"/>
          <w:color w:val="000000"/>
          <w:sz w:val="24"/>
          <w:szCs w:val="24"/>
        </w:rPr>
        <w:t xml:space="preserve"> chosen because it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deemed to be representative and </w:t>
      </w:r>
      <w:r>
        <w:rPr>
          <w:rFonts w:ascii="Times New Roman" w:cs="Times New Roman" w:hAnsi="Times New Roman"/>
          <w:color w:val="000000"/>
          <w:sz w:val="24"/>
          <w:szCs w:val="24"/>
        </w:rPr>
        <w:t xml:space="preserve">could </w:t>
      </w:r>
      <w:r>
        <w:rPr>
          <w:rFonts w:ascii="Times New Roman" w:cs="Times New Roman" w:hAnsi="Times New Roman"/>
          <w:color w:val="000000"/>
          <w:sz w:val="24"/>
          <w:szCs w:val="24"/>
        </w:rPr>
        <w:t>be used to generate a population as supported by Mugend Mugenda (2008).</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A purposive sampling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used to select the head teachers.  Once the </w:t>
      </w:r>
      <w:r>
        <w:rPr>
          <w:rFonts w:ascii="Times New Roman" w:cs="Times New Roman" w:hAnsi="Times New Roman"/>
          <w:color w:val="000000"/>
          <w:sz w:val="24"/>
          <w:szCs w:val="24"/>
        </w:rPr>
        <w:t>9 schools we</w:t>
      </w:r>
      <w:r>
        <w:rPr>
          <w:rFonts w:ascii="Times New Roman" w:cs="Times New Roman" w:hAnsi="Times New Roman"/>
          <w:color w:val="000000"/>
          <w:sz w:val="24"/>
          <w:szCs w:val="24"/>
        </w:rPr>
        <w:t xml:space="preserve">re chosen, their respective head teachers </w:t>
      </w:r>
      <w:r>
        <w:rPr>
          <w:rFonts w:ascii="Times New Roman" w:cs="Times New Roman" w:hAnsi="Times New Roman"/>
          <w:color w:val="000000"/>
          <w:sz w:val="24"/>
          <w:szCs w:val="24"/>
        </w:rPr>
        <w:t xml:space="preserve">were automatically </w:t>
      </w:r>
      <w:r>
        <w:rPr>
          <w:rFonts w:ascii="Times New Roman" w:cs="Times New Roman" w:hAnsi="Times New Roman"/>
          <w:color w:val="000000"/>
          <w:sz w:val="24"/>
          <w:szCs w:val="24"/>
        </w:rPr>
        <w:t>e included in the research.</w:t>
      </w:r>
    </w:p>
    <w:bookmarkStart w:id="103" w:name="_Toc216513811"/>
    <w:bookmarkStart w:id="104" w:name="_Toc188281896"/>
    <w:p>
      <w:pPr>
        <w:pStyle w:val="style1"/>
        <w:spacing w:before="240"/>
        <w:ind w:left="0" w:firstLine="0"/>
        <w:jc w:val="both"/>
        <w:rPr>
          <w:color w:val="000000"/>
        </w:rPr>
      </w:pPr>
      <w:r>
        <w:rPr>
          <w:color w:val="000000"/>
        </w:rPr>
        <w:t>3.</w:t>
      </w:r>
      <w:r>
        <w:rPr>
          <w:color w:val="000000"/>
        </w:rPr>
        <w:t>6</w:t>
      </w:r>
      <w:r>
        <w:rPr>
          <w:color w:val="000000"/>
        </w:rPr>
        <w:t xml:space="preserve"> Target Population</w:t>
      </w:r>
      <w:bookmarkEnd w:id="103"/>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According to Kombo and Tromp (2009) target populations are units that have observable characteristics that the study uses to generalize the finding. The study target population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30 public primary schools, 232 teachers and 30 head teachers.</w:t>
      </w:r>
    </w:p>
    <w:bookmarkStart w:id="105" w:name="_Toc216513812"/>
    <w:p>
      <w:pPr>
        <w:pStyle w:val="style1"/>
        <w:spacing w:before="240"/>
        <w:jc w:val="both"/>
        <w:rPr>
          <w:color w:val="000000"/>
        </w:rPr>
      </w:pPr>
      <w:r>
        <w:rPr>
          <w:color w:val="000000"/>
        </w:rPr>
        <w:t>3.7 Sample S</w:t>
      </w:r>
      <w:bookmarkEnd w:id="104"/>
      <w:r>
        <w:rPr>
          <w:color w:val="000000"/>
        </w:rPr>
        <w:t>ize</w:t>
      </w:r>
      <w:bookmarkEnd w:id="105"/>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A sample of 9 schools, 70 teachers and 9 head teachers </w:t>
      </w:r>
      <w:r>
        <w:rPr>
          <w:rFonts w:ascii="Times New Roman" w:cs="Times New Roman" w:hAnsi="Times New Roman"/>
          <w:color w:val="000000"/>
          <w:sz w:val="24"/>
          <w:szCs w:val="24"/>
        </w:rPr>
        <w:t>were</w:t>
      </w:r>
      <w:r>
        <w:rPr>
          <w:rFonts w:ascii="Times New Roman" w:cs="Times New Roman" w:hAnsi="Times New Roman"/>
          <w:color w:val="000000"/>
          <w:sz w:val="24"/>
          <w:szCs w:val="24"/>
        </w:rPr>
        <w:t xml:space="preserve"> selected for the study. This sample size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based on Mugenda &amp; Mugenda (2003) that says 10-30% sample size is adequate to make generalization. In this study, 30%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used as it </w:t>
      </w:r>
      <w:r>
        <w:rPr>
          <w:rFonts w:ascii="Times New Roman" w:cs="Times New Roman" w:hAnsi="Times New Roman"/>
          <w:color w:val="000000"/>
          <w:sz w:val="24"/>
          <w:szCs w:val="24"/>
        </w:rPr>
        <w:t xml:space="preserve">was </w:t>
      </w:r>
      <w:r>
        <w:rPr>
          <w:rFonts w:ascii="Times New Roman" w:cs="Times New Roman" w:hAnsi="Times New Roman"/>
          <w:color w:val="000000"/>
          <w:sz w:val="24"/>
          <w:szCs w:val="24"/>
        </w:rPr>
        <w:t>the maximum of the recommended range, ensuring a balanced and representative sample.</w:t>
      </w:r>
    </w:p>
    <w:bookmarkStart w:id="106" w:name="_Toc216299129"/>
    <w:p>
      <w:pPr>
        <w:pStyle w:val="style0"/>
        <w:spacing w:after="200" w:lineRule="auto" w:line="276"/>
        <w:rPr>
          <w:rFonts w:ascii="Times New Roman" w:cs="Times New Roman" w:hAnsi="Times New Roman"/>
          <w:b/>
          <w:iCs/>
          <w:color w:val="000000"/>
          <w:sz w:val="24"/>
          <w:szCs w:val="24"/>
        </w:rPr>
      </w:pPr>
    </w:p>
    <w:p>
      <w:pPr>
        <w:pStyle w:val="style0"/>
        <w:spacing w:after="200" w:lineRule="auto" w:line="276"/>
        <w:rPr>
          <w:rFonts w:ascii="Times New Roman" w:cs="Times New Roman" w:hAnsi="Times New Roman"/>
          <w:b/>
          <w:iCs/>
          <w:color w:val="000000"/>
          <w:sz w:val="24"/>
          <w:szCs w:val="24"/>
        </w:rPr>
      </w:pPr>
      <w:r>
        <w:rPr>
          <w:b/>
          <w:i/>
          <w:color w:val="000000"/>
        </w:rPr>
        <w:br w:type="page"/>
      </w:r>
    </w:p>
    <w:p>
      <w:pPr>
        <w:pStyle w:val="style4104"/>
        <w:spacing w:after="0"/>
        <w:rPr>
          <w:b/>
          <w:i w:val="false"/>
        </w:rPr>
      </w:pPr>
      <w:r>
        <w:rPr>
          <w:b/>
          <w:i w:val="false"/>
        </w:rPr>
        <w:t>Table 1</w:t>
      </w:r>
      <w:bookmarkEnd w:id="106"/>
    </w:p>
    <w:bookmarkStart w:id="107" w:name="_Toc216299130"/>
    <w:p>
      <w:pPr>
        <w:pStyle w:val="style4104"/>
        <w:rPr/>
      </w:pPr>
      <w:r>
        <w:t>Sample Size</w:t>
      </w:r>
      <w:bookmarkEnd w:id="107"/>
    </w:p>
    <w:tbl>
      <w:tblPr>
        <w:tblStyle w:val="style154"/>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gridCol w:w="2610"/>
        <w:gridCol w:w="2250"/>
      </w:tblGrid>
      <w:tr>
        <w:trPr/>
        <w:tc>
          <w:tcPr>
            <w:tcW w:w="2875" w:type="dxa"/>
            <w:tcBorders/>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Category</w:t>
            </w:r>
          </w:p>
        </w:tc>
        <w:tc>
          <w:tcPr>
            <w:tcW w:w="2610" w:type="dxa"/>
            <w:tcBorders/>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Population (N)</w:t>
            </w:r>
          </w:p>
        </w:tc>
        <w:tc>
          <w:tcPr>
            <w:tcW w:w="2250" w:type="dxa"/>
            <w:tcBorders/>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Sample size (n)</w:t>
            </w:r>
          </w:p>
        </w:tc>
      </w:tr>
      <w:tr>
        <w:tblPrEx/>
        <w:trPr/>
        <w:tc>
          <w:tcPr>
            <w:tcW w:w="2875" w:type="dxa"/>
            <w:tcBorders/>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Schools        </w:t>
            </w:r>
          </w:p>
        </w:tc>
        <w:tc>
          <w:tcPr>
            <w:tcW w:w="2610" w:type="dxa"/>
            <w:tcBorders/>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30</w:t>
            </w:r>
          </w:p>
        </w:tc>
        <w:tc>
          <w:tcPr>
            <w:tcW w:w="2250" w:type="dxa"/>
            <w:tcBorders/>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   9</w:t>
            </w:r>
          </w:p>
        </w:tc>
      </w:tr>
      <w:tr>
        <w:tblPrEx/>
        <w:trPr/>
        <w:tc>
          <w:tcPr>
            <w:tcW w:w="2875" w:type="dxa"/>
            <w:tcBorders/>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Teachers</w:t>
            </w:r>
          </w:p>
        </w:tc>
        <w:tc>
          <w:tcPr>
            <w:tcW w:w="2610" w:type="dxa"/>
            <w:tcBorders/>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232</w:t>
            </w:r>
          </w:p>
        </w:tc>
        <w:tc>
          <w:tcPr>
            <w:tcW w:w="2250" w:type="dxa"/>
            <w:tcBorders/>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 70</w:t>
            </w:r>
          </w:p>
        </w:tc>
      </w:tr>
      <w:tr>
        <w:tblPrEx/>
        <w:trPr/>
        <w:tc>
          <w:tcPr>
            <w:tcW w:w="2875" w:type="dxa"/>
            <w:tcBorders/>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Head teachers</w:t>
            </w:r>
          </w:p>
        </w:tc>
        <w:tc>
          <w:tcPr>
            <w:tcW w:w="2610" w:type="dxa"/>
            <w:tcBorders/>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30</w:t>
            </w:r>
          </w:p>
        </w:tc>
        <w:tc>
          <w:tcPr>
            <w:tcW w:w="2250" w:type="dxa"/>
            <w:tcBorders/>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   9</w:t>
            </w:r>
          </w:p>
        </w:tc>
      </w:tr>
      <w:tr>
        <w:tblPrEx/>
        <w:trPr/>
        <w:tc>
          <w:tcPr>
            <w:tcW w:w="2875" w:type="dxa"/>
            <w:tcBorders/>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Total Respondents</w:t>
            </w:r>
          </w:p>
        </w:tc>
        <w:tc>
          <w:tcPr>
            <w:tcW w:w="2610" w:type="dxa"/>
            <w:tcBorders/>
          </w:tcPr>
          <w:p>
            <w:pPr>
              <w:pStyle w:val="style0"/>
              <w:spacing w:lineRule="auto" w:line="360"/>
              <w:jc w:val="both"/>
              <w:rPr>
                <w:rFonts w:ascii="Times New Roman" w:cs="Times New Roman" w:hAnsi="Times New Roman"/>
                <w:color w:val="000000"/>
                <w:sz w:val="24"/>
                <w:szCs w:val="24"/>
              </w:rPr>
            </w:pPr>
          </w:p>
        </w:tc>
        <w:tc>
          <w:tcPr>
            <w:tcW w:w="2250" w:type="dxa"/>
            <w:tcBorders/>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79</w:t>
            </w:r>
          </w:p>
        </w:tc>
      </w:tr>
    </w:tbl>
    <w:p>
      <w:pPr>
        <w:pStyle w:val="style0"/>
        <w:spacing w:lineRule="auto" w:line="360"/>
        <w:jc w:val="both"/>
        <w:rPr>
          <w:rFonts w:ascii="Times New Roman" w:cs="Times New Roman" w:hAnsi="Times New Roman"/>
          <w:color w:val="000000"/>
          <w:sz w:val="24"/>
          <w:szCs w:val="24"/>
        </w:rPr>
      </w:pPr>
    </w:p>
    <w:bookmarkStart w:id="108" w:name="_Toc216513813"/>
    <w:p>
      <w:pPr>
        <w:pStyle w:val="style1"/>
        <w:spacing w:before="240"/>
        <w:jc w:val="both"/>
        <w:rPr>
          <w:color w:val="000000"/>
        </w:rPr>
      </w:pPr>
      <w:r>
        <w:rPr>
          <w:color w:val="000000"/>
        </w:rPr>
        <w:t>3.8 Research Instruments</w:t>
      </w:r>
      <w:bookmarkEnd w:id="108"/>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Structured Questionnaire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used to obtain information from the teachers and structured interviews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used to collect data from the head teachers.</w:t>
      </w:r>
    </w:p>
    <w:bookmarkStart w:id="109" w:name="_Toc216513814"/>
    <w:p>
      <w:pPr>
        <w:pStyle w:val="style1"/>
        <w:spacing w:before="240"/>
        <w:jc w:val="both"/>
        <w:rPr>
          <w:color w:val="000000"/>
        </w:rPr>
      </w:pPr>
      <w:r>
        <w:rPr>
          <w:color w:val="000000"/>
        </w:rPr>
        <w:t>3.9 Validity of Instruments</w:t>
      </w:r>
      <w:bookmarkEnd w:id="109"/>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The instruments </w:t>
      </w:r>
      <w:r>
        <w:rPr>
          <w:rFonts w:ascii="Times New Roman" w:cs="Times New Roman" w:hAnsi="Times New Roman"/>
          <w:color w:val="000000"/>
          <w:sz w:val="24"/>
          <w:szCs w:val="24"/>
        </w:rPr>
        <w:t xml:space="preserve">were </w:t>
      </w:r>
      <w:r>
        <w:rPr>
          <w:rFonts w:ascii="Times New Roman" w:cs="Times New Roman" w:hAnsi="Times New Roman"/>
          <w:color w:val="000000"/>
          <w:sz w:val="24"/>
          <w:szCs w:val="24"/>
        </w:rPr>
        <w:t>pre-tested in one school outside the sample to refine the items and ensure they accurately measure</w:t>
      </w:r>
      <w:r>
        <w:rPr>
          <w:rFonts w:ascii="Times New Roman" w:cs="Times New Roman" w:hAnsi="Times New Roman"/>
          <w:color w:val="000000"/>
          <w:sz w:val="24"/>
          <w:szCs w:val="24"/>
        </w:rPr>
        <w:t>d</w:t>
      </w:r>
      <w:r>
        <w:rPr>
          <w:rFonts w:ascii="Times New Roman" w:cs="Times New Roman" w:hAnsi="Times New Roman"/>
          <w:color w:val="000000"/>
          <w:sz w:val="24"/>
          <w:szCs w:val="24"/>
        </w:rPr>
        <w:t xml:space="preserve"> absenteeism determinants. To eliminate biasness and unclear phrases the pre-tested instruments </w:t>
      </w:r>
      <w:r>
        <w:rPr>
          <w:rFonts w:ascii="Times New Roman" w:cs="Times New Roman" w:hAnsi="Times New Roman"/>
          <w:color w:val="000000"/>
          <w:sz w:val="24"/>
          <w:szCs w:val="24"/>
        </w:rPr>
        <w:t>were</w:t>
      </w:r>
      <w:r>
        <w:rPr>
          <w:rFonts w:ascii="Times New Roman" w:cs="Times New Roman" w:hAnsi="Times New Roman"/>
          <w:color w:val="000000"/>
          <w:sz w:val="24"/>
          <w:szCs w:val="24"/>
        </w:rPr>
        <w:t xml:space="preserve"> adjusted and then presented to the supervisors to verify the validity of the structured instruments.</w:t>
      </w:r>
    </w:p>
    <w:bookmarkStart w:id="110" w:name="_Toc188281897"/>
    <w:bookmarkStart w:id="111" w:name="_Toc216513815"/>
    <w:p>
      <w:pPr>
        <w:pStyle w:val="style1"/>
        <w:spacing w:before="240"/>
        <w:jc w:val="both"/>
        <w:rPr>
          <w:color w:val="000000"/>
        </w:rPr>
      </w:pPr>
      <w:r>
        <w:rPr>
          <w:color w:val="000000"/>
        </w:rPr>
        <w:t>3.10 Reliability of the I</w:t>
      </w:r>
      <w:bookmarkEnd w:id="110"/>
      <w:r>
        <w:rPr>
          <w:color w:val="000000"/>
        </w:rPr>
        <w:t>nstruments</w:t>
      </w:r>
      <w:bookmarkEnd w:id="111"/>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The reliability of the questionnaires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assessed using the Cronbach’s alpha method, aiming for a reliability coefficient of at least 0.7 making it eligible for use in this study. The </w:t>
      </w:r>
      <w:r>
        <w:rPr>
          <w:rFonts w:ascii="Times New Roman" w:cs="Times New Roman" w:hAnsi="Times New Roman"/>
          <w:color w:val="000000"/>
          <w:sz w:val="24"/>
          <w:szCs w:val="24"/>
        </w:rPr>
        <w:t>Cronbach’s</w:t>
      </w:r>
      <w:r>
        <w:rPr>
          <w:rFonts w:ascii="Times New Roman" w:cs="Times New Roman" w:hAnsi="Times New Roman"/>
          <w:color w:val="000000"/>
          <w:sz w:val="24"/>
          <w:szCs w:val="24"/>
        </w:rPr>
        <w:t xml:space="preserve"> alpha method, measures how dependable a set of research instrument is, making it suitable for the study, (Ventura, 2018).</w:t>
      </w:r>
    </w:p>
    <w:bookmarkStart w:id="112" w:name="_Toc188281898"/>
    <w:bookmarkStart w:id="113" w:name="_Toc216513816"/>
    <w:p>
      <w:pPr>
        <w:pStyle w:val="style1"/>
        <w:spacing w:before="240"/>
        <w:ind w:left="0" w:firstLine="0"/>
        <w:jc w:val="both"/>
        <w:rPr>
          <w:color w:val="000000"/>
        </w:rPr>
      </w:pPr>
      <w:r>
        <w:rPr>
          <w:color w:val="000000"/>
        </w:rPr>
        <w:t>3.11 Piloting of the S</w:t>
      </w:r>
      <w:bookmarkEnd w:id="112"/>
      <w:r>
        <w:rPr>
          <w:color w:val="000000"/>
        </w:rPr>
        <w:t>tudy</w:t>
      </w:r>
      <w:bookmarkEnd w:id="113"/>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A pilot study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conducted in one public primary school not included in the main sample (Julious, 2005). The school represent</w:t>
      </w:r>
      <w:r>
        <w:rPr>
          <w:rFonts w:ascii="Times New Roman" w:cs="Times New Roman" w:hAnsi="Times New Roman"/>
          <w:color w:val="000000"/>
          <w:sz w:val="24"/>
          <w:szCs w:val="24"/>
        </w:rPr>
        <w:t>ed</w:t>
      </w:r>
      <w:r>
        <w:rPr>
          <w:rFonts w:ascii="Times New Roman" w:cs="Times New Roman" w:hAnsi="Times New Roman"/>
          <w:color w:val="000000"/>
          <w:sz w:val="24"/>
          <w:szCs w:val="24"/>
        </w:rPr>
        <w:t xml:space="preserve"> 10% of the sample size. The collected data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use half-split test where researcher </w:t>
      </w:r>
      <w:r>
        <w:rPr>
          <w:rFonts w:ascii="Times New Roman" w:cs="Times New Roman" w:hAnsi="Times New Roman"/>
          <w:color w:val="000000"/>
          <w:sz w:val="24"/>
          <w:szCs w:val="24"/>
        </w:rPr>
        <w:t>g</w:t>
      </w:r>
      <w:r>
        <w:rPr>
          <w:rFonts w:ascii="Times New Roman" w:cs="Times New Roman" w:hAnsi="Times New Roman"/>
          <w:color w:val="000000"/>
          <w:sz w:val="24"/>
          <w:szCs w:val="24"/>
        </w:rPr>
        <w:t>roup</w:t>
      </w:r>
      <w:r>
        <w:rPr>
          <w:rFonts w:ascii="Times New Roman" w:cs="Times New Roman" w:hAnsi="Times New Roman"/>
          <w:color w:val="000000"/>
          <w:sz w:val="24"/>
          <w:szCs w:val="24"/>
        </w:rPr>
        <w:t>ed</w:t>
      </w:r>
      <w:r>
        <w:rPr>
          <w:rFonts w:ascii="Times New Roman" w:cs="Times New Roman" w:hAnsi="Times New Roman"/>
          <w:color w:val="000000"/>
          <w:sz w:val="24"/>
          <w:szCs w:val="24"/>
        </w:rPr>
        <w:t xml:space="preserve"> the data into odd and even and analyze</w:t>
      </w:r>
      <w:r>
        <w:rPr>
          <w:rFonts w:ascii="Times New Roman" w:cs="Times New Roman" w:hAnsi="Times New Roman"/>
          <w:color w:val="000000"/>
          <w:sz w:val="24"/>
          <w:szCs w:val="24"/>
        </w:rPr>
        <w:t>d</w:t>
      </w:r>
      <w:r>
        <w:rPr>
          <w:rFonts w:ascii="Times New Roman" w:cs="Times New Roman" w:hAnsi="Times New Roman"/>
          <w:color w:val="000000"/>
          <w:sz w:val="24"/>
          <w:szCs w:val="24"/>
        </w:rPr>
        <w:t xml:space="preserve"> using Pearson correlation test (r), to determine the reliability of the questionnaires. If (r)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greater than 0.</w:t>
      </w:r>
      <w:r>
        <w:rPr>
          <w:rFonts w:ascii="Times New Roman" w:cs="Times New Roman" w:hAnsi="Times New Roman"/>
          <w:color w:val="000000"/>
          <w:sz w:val="24"/>
          <w:szCs w:val="24"/>
        </w:rPr>
        <w:t>7, then the questionnaires we</w:t>
      </w:r>
      <w:r>
        <w:rPr>
          <w:rFonts w:ascii="Times New Roman" w:cs="Times New Roman" w:hAnsi="Times New Roman"/>
          <w:color w:val="000000"/>
          <w:sz w:val="24"/>
          <w:szCs w:val="24"/>
        </w:rPr>
        <w:t xml:space="preserve">re </w:t>
      </w:r>
      <w:r>
        <w:rPr>
          <w:rFonts w:ascii="Times New Roman" w:cs="Times New Roman" w:hAnsi="Times New Roman"/>
          <w:color w:val="000000"/>
          <w:sz w:val="24"/>
          <w:szCs w:val="24"/>
        </w:rPr>
        <w:t xml:space="preserve">deemed </w:t>
      </w:r>
      <w:r>
        <w:rPr>
          <w:rFonts w:ascii="Times New Roman" w:cs="Times New Roman" w:hAnsi="Times New Roman"/>
          <w:color w:val="000000"/>
          <w:sz w:val="24"/>
          <w:szCs w:val="24"/>
        </w:rPr>
        <w:t xml:space="preserve">reliable.  The feedback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used to improve the clarity and applicability of the research instruments.</w:t>
      </w:r>
    </w:p>
    <w:bookmarkStart w:id="114" w:name="_Toc188281899"/>
    <w:bookmarkStart w:id="115" w:name="_Toc216513817"/>
    <w:p>
      <w:pPr>
        <w:pStyle w:val="style1"/>
        <w:spacing w:before="240"/>
        <w:ind w:left="0" w:firstLine="0"/>
        <w:jc w:val="both"/>
        <w:rPr>
          <w:color w:val="000000"/>
        </w:rPr>
      </w:pPr>
      <w:r>
        <w:rPr>
          <w:color w:val="000000"/>
        </w:rPr>
        <w:t>3.12 Data Collection P</w:t>
      </w:r>
      <w:bookmarkEnd w:id="114"/>
      <w:r>
        <w:rPr>
          <w:color w:val="000000"/>
        </w:rPr>
        <w:t>rocedures</w:t>
      </w:r>
      <w:bookmarkEnd w:id="115"/>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Permission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so</w:t>
      </w:r>
      <w:r>
        <w:rPr>
          <w:rFonts w:ascii="Times New Roman" w:cs="Times New Roman" w:hAnsi="Times New Roman"/>
          <w:color w:val="000000"/>
          <w:sz w:val="24"/>
          <w:szCs w:val="24"/>
        </w:rPr>
        <w:t>ught</w:t>
      </w:r>
      <w:r>
        <w:rPr>
          <w:rFonts w:ascii="Times New Roman" w:cs="Times New Roman" w:hAnsi="Times New Roman"/>
          <w:color w:val="000000"/>
          <w:sz w:val="24"/>
          <w:szCs w:val="24"/>
        </w:rPr>
        <w:t xml:space="preserve"> from the School of Education, Arts and Social Sciences, NACOSTI, County Commissioner and County Director of Education (MoE) to collect data in schools during regular hours. Questionnaires </w:t>
      </w:r>
      <w:r>
        <w:rPr>
          <w:rFonts w:ascii="Times New Roman" w:cs="Times New Roman" w:hAnsi="Times New Roman"/>
          <w:color w:val="000000"/>
          <w:sz w:val="24"/>
          <w:szCs w:val="24"/>
        </w:rPr>
        <w:t>were</w:t>
      </w:r>
      <w:r>
        <w:rPr>
          <w:rFonts w:ascii="Times New Roman" w:cs="Times New Roman" w:hAnsi="Times New Roman"/>
          <w:color w:val="000000"/>
          <w:sz w:val="24"/>
          <w:szCs w:val="24"/>
        </w:rPr>
        <w:t xml:space="preserve"> distributed to teachers and collected after one week. Interviews </w:t>
      </w:r>
      <w:r>
        <w:rPr>
          <w:rFonts w:ascii="Times New Roman" w:cs="Times New Roman" w:hAnsi="Times New Roman"/>
          <w:color w:val="000000"/>
          <w:sz w:val="24"/>
          <w:szCs w:val="24"/>
        </w:rPr>
        <w:t>were</w:t>
      </w:r>
      <w:r>
        <w:rPr>
          <w:rFonts w:ascii="Times New Roman" w:cs="Times New Roman" w:hAnsi="Times New Roman"/>
          <w:color w:val="000000"/>
          <w:sz w:val="24"/>
          <w:szCs w:val="24"/>
        </w:rPr>
        <w:t xml:space="preserve"> conducted face to face with the school administration and attendance records and infrastructure </w:t>
      </w:r>
      <w:r>
        <w:rPr>
          <w:rFonts w:ascii="Times New Roman" w:cs="Times New Roman" w:hAnsi="Times New Roman"/>
          <w:color w:val="000000"/>
          <w:sz w:val="24"/>
          <w:szCs w:val="24"/>
        </w:rPr>
        <w:t>were</w:t>
      </w:r>
      <w:r>
        <w:rPr>
          <w:rFonts w:ascii="Times New Roman" w:cs="Times New Roman" w:hAnsi="Times New Roman"/>
          <w:color w:val="000000"/>
          <w:sz w:val="24"/>
          <w:szCs w:val="24"/>
        </w:rPr>
        <w:t xml:space="preserve"> reviewed.</w:t>
      </w:r>
    </w:p>
    <w:bookmarkStart w:id="116" w:name="_Toc188281900"/>
    <w:bookmarkStart w:id="117" w:name="_Toc216513818"/>
    <w:p>
      <w:pPr>
        <w:pStyle w:val="style1"/>
        <w:spacing w:before="240"/>
        <w:jc w:val="both"/>
        <w:rPr>
          <w:color w:val="000000"/>
        </w:rPr>
      </w:pPr>
      <w:r>
        <w:rPr>
          <w:color w:val="000000"/>
        </w:rPr>
        <w:t>3.14 Operational Definition of research Variables</w:t>
      </w:r>
      <w:bookmarkEnd w:id="116"/>
      <w:bookmarkEnd w:id="117"/>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The operational definition of the variables is the specific way in which they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measured as they show</w:t>
      </w:r>
      <w:r>
        <w:rPr>
          <w:rFonts w:ascii="Times New Roman" w:cs="Times New Roman" w:hAnsi="Times New Roman"/>
          <w:color w:val="000000"/>
          <w:sz w:val="24"/>
          <w:szCs w:val="24"/>
        </w:rPr>
        <w:t>ed</w:t>
      </w:r>
      <w:r>
        <w:rPr>
          <w:rFonts w:ascii="Times New Roman" w:cs="Times New Roman" w:hAnsi="Times New Roman"/>
          <w:color w:val="000000"/>
          <w:sz w:val="24"/>
          <w:szCs w:val="24"/>
        </w:rPr>
        <w:t xml:space="preserve"> indicators and measuring item of independent variables and dependent variables.</w:t>
      </w:r>
    </w:p>
    <w:bookmarkStart w:id="118" w:name="_Toc216299131"/>
    <w:p>
      <w:pPr>
        <w:pStyle w:val="style0"/>
        <w:spacing w:after="200" w:lineRule="auto" w:line="276"/>
        <w:rPr>
          <w:rFonts w:ascii="Times New Roman" w:cs="Times New Roman" w:hAnsi="Times New Roman"/>
          <w:b/>
          <w:iCs/>
          <w:color w:val="000000"/>
          <w:sz w:val="24"/>
          <w:szCs w:val="24"/>
        </w:rPr>
      </w:pPr>
      <w:r>
        <w:rPr>
          <w:b/>
          <w:i/>
          <w:color w:val="000000"/>
        </w:rPr>
        <w:br w:type="page"/>
      </w:r>
    </w:p>
    <w:p>
      <w:pPr>
        <w:pStyle w:val="style4104"/>
        <w:rPr>
          <w:b/>
          <w:i w:val="false"/>
        </w:rPr>
      </w:pPr>
      <w:r>
        <w:rPr>
          <w:b/>
          <w:i w:val="false"/>
        </w:rPr>
        <w:t>Table 2:</w:t>
      </w:r>
      <w:bookmarkEnd w:id="118"/>
      <w:r>
        <w:rPr>
          <w:b/>
          <w:i w:val="false"/>
        </w:rPr>
        <w:t xml:space="preserve"> </w:t>
      </w:r>
    </w:p>
    <w:bookmarkStart w:id="119" w:name="_Toc216299132"/>
    <w:p>
      <w:pPr>
        <w:pStyle w:val="style4104"/>
        <w:rPr/>
      </w:pPr>
      <w:r>
        <w:t>Operational Definition of Research Variables</w:t>
      </w:r>
      <w:bookmarkEnd w:id="119"/>
    </w:p>
    <w:p>
      <w:pPr>
        <w:pStyle w:val="style0"/>
        <w:pBdr>
          <w:top w:val="single" w:sz="4" w:space="0" w:color="auto"/>
        </w:pBdr>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ab/>
      </w:r>
      <w:r>
        <w:rPr>
          <w:rFonts w:ascii="Times New Roman" w:cs="Times New Roman" w:hAnsi="Times New Roman"/>
          <w:color w:val="000000"/>
          <w:sz w:val="24"/>
          <w:szCs w:val="24"/>
        </w:rPr>
        <w:t>Variables                                Operational Definition                          Measuring Item</w:t>
      </w:r>
    </w:p>
    <w:p>
      <w:pPr>
        <w:pStyle w:val="style179"/>
        <w:numPr>
          <w:ilvl w:val="0"/>
          <w:numId w:val="19"/>
        </w:numPr>
        <w:pBdr>
          <w:top w:val="single" w:sz="4" w:space="1" w:color="auto"/>
          <w:bottom w:val="single" w:sz="4" w:space="1" w:color="auto"/>
        </w:pBdr>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Cultural practices         Early marriages, FGM                                 Questionnaire 5-7</w:t>
      </w:r>
    </w:p>
    <w:p>
      <w:pPr>
        <w:pStyle w:val="style179"/>
        <w:numPr>
          <w:ilvl w:val="0"/>
          <w:numId w:val="19"/>
        </w:numPr>
        <w:pBdr>
          <w:top w:val="single" w:sz="4" w:space="1" w:color="auto"/>
          <w:bottom w:val="single" w:sz="4" w:space="1" w:color="auto"/>
        </w:pBdr>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Economic factors          parental income, child labor, Basic needs   Questionnaire 1-4</w:t>
      </w:r>
    </w:p>
    <w:p>
      <w:pPr>
        <w:pStyle w:val="style179"/>
        <w:numPr>
          <w:ilvl w:val="0"/>
          <w:numId w:val="19"/>
        </w:numPr>
        <w:pBdr>
          <w:top w:val="single" w:sz="4" w:space="1" w:color="auto"/>
          <w:bottom w:val="single" w:sz="4" w:space="1" w:color="auto"/>
        </w:pBdr>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Policy implementation      Parental engagement                              Questionnaire 11-14</w:t>
      </w:r>
    </w:p>
    <w:p>
      <w:pPr>
        <w:pStyle w:val="style0"/>
        <w:pBdr>
          <w:top w:val="single" w:sz="4" w:space="1" w:color="auto"/>
          <w:bottom w:val="single" w:sz="4" w:space="1" w:color="auto"/>
        </w:pBdr>
        <w:spacing w:after="0" w:lineRule="auto" w:line="360"/>
        <w:ind w:left="60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                                                Teacher teamwork School rules                                  </w:t>
      </w:r>
    </w:p>
    <w:p>
      <w:pPr>
        <w:pStyle w:val="style179"/>
        <w:numPr>
          <w:ilvl w:val="0"/>
          <w:numId w:val="19"/>
        </w:numPr>
        <w:pBdr>
          <w:top w:val="single" w:sz="4" w:space="1" w:color="auto"/>
          <w:bottom w:val="single" w:sz="4" w:space="1" w:color="auto"/>
        </w:pBdr>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  Pupils Attitude               Pupils perception and Attitude                Questionnaire 15-18 </w:t>
      </w:r>
    </w:p>
    <w:p>
      <w:pPr>
        <w:pStyle w:val="style179"/>
        <w:numPr>
          <w:ilvl w:val="0"/>
          <w:numId w:val="19"/>
        </w:numPr>
        <w:pBdr>
          <w:top w:val="single" w:sz="4" w:space="1" w:color="auto"/>
          <w:bottom w:val="single" w:sz="4" w:space="1" w:color="auto"/>
        </w:pBdr>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  School environment     Infrastructure, Safety and security,           Questionnaire 8-10</w:t>
      </w:r>
    </w:p>
    <w:p>
      <w:pPr>
        <w:pStyle w:val="style0"/>
        <w:pBdr>
          <w:top w:val="single" w:sz="4" w:space="1" w:color="auto"/>
          <w:bottom w:val="single" w:sz="4" w:space="1" w:color="auto"/>
        </w:pBdr>
        <w:spacing w:after="0" w:lineRule="auto" w:line="360"/>
        <w:ind w:left="600"/>
        <w:rPr>
          <w:rFonts w:ascii="Times New Roman" w:cs="Times New Roman" w:hAnsi="Times New Roman"/>
          <w:color w:val="000000"/>
          <w:sz w:val="24"/>
          <w:szCs w:val="24"/>
        </w:rPr>
      </w:pPr>
      <w:r>
        <w:rPr>
          <w:rFonts w:ascii="Times New Roman" w:cs="Times New Roman" w:hAnsi="Times New Roman"/>
          <w:color w:val="000000"/>
          <w:sz w:val="24"/>
          <w:szCs w:val="24"/>
        </w:rPr>
        <w:t xml:space="preserve">                                           Punishment methods, teacher behavior</w:t>
      </w:r>
    </w:p>
    <w:p>
      <w:pPr>
        <w:pStyle w:val="style0"/>
        <w:spacing w:lineRule="auto" w:line="360"/>
        <w:rPr>
          <w:color w:val="000000"/>
        </w:rPr>
      </w:pPr>
    </w:p>
    <w:bookmarkStart w:id="120" w:name="_Toc188281901"/>
    <w:bookmarkStart w:id="121" w:name="_Toc216513819"/>
    <w:p>
      <w:pPr>
        <w:pStyle w:val="style1"/>
        <w:spacing w:before="240"/>
        <w:jc w:val="both"/>
        <w:rPr>
          <w:color w:val="000000"/>
        </w:rPr>
      </w:pPr>
      <w:r>
        <w:rPr>
          <w:color w:val="000000"/>
        </w:rPr>
        <w:t>3.14 Data Analysis M</w:t>
      </w:r>
      <w:bookmarkEnd w:id="120"/>
      <w:r>
        <w:rPr>
          <w:color w:val="000000"/>
        </w:rPr>
        <w:t>ethods</w:t>
      </w:r>
      <w:bookmarkEnd w:id="121"/>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Quantitative data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analyzed using descriptive statistics involving frequencies, percentages, means and standard deviation to summarize demographic characteristics of the respondents and patterns of absenteeism. Pearson correlation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used to test hypothesis and establish the relationship between the variables.</w:t>
      </w:r>
    </w:p>
    <w:p>
      <w:pPr>
        <w:pStyle w:val="style0"/>
        <w:spacing w:before="240" w:after="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Qualitative data </w:t>
      </w:r>
      <w:r>
        <w:rPr>
          <w:rFonts w:ascii="Times New Roman" w:cs="Times New Roman" w:hAnsi="Times New Roman"/>
          <w:color w:val="000000"/>
          <w:sz w:val="24"/>
          <w:szCs w:val="24"/>
        </w:rPr>
        <w:t>was</w:t>
      </w:r>
      <w:r>
        <w:rPr>
          <w:rFonts w:ascii="Times New Roman" w:cs="Times New Roman" w:hAnsi="Times New Roman"/>
          <w:color w:val="000000"/>
          <w:sz w:val="24"/>
          <w:szCs w:val="24"/>
        </w:rPr>
        <w:t xml:space="preserve"> analyzed using thematic analysis that focuse</w:t>
      </w:r>
      <w:r>
        <w:rPr>
          <w:rFonts w:ascii="Times New Roman" w:cs="Times New Roman" w:hAnsi="Times New Roman"/>
          <w:color w:val="000000"/>
          <w:sz w:val="24"/>
          <w:szCs w:val="24"/>
        </w:rPr>
        <w:t>d</w:t>
      </w:r>
      <w:r>
        <w:rPr>
          <w:rFonts w:ascii="Times New Roman" w:cs="Times New Roman" w:hAnsi="Times New Roman"/>
          <w:color w:val="000000"/>
          <w:sz w:val="24"/>
          <w:szCs w:val="24"/>
        </w:rPr>
        <w:t xml:space="preserve"> on individual voices and experiences to understand the personal and societal factors influencing absenteeism.</w:t>
      </w:r>
    </w:p>
    <w:bookmarkStart w:id="122" w:name="_Toc188281902"/>
    <w:bookmarkStart w:id="123" w:name="_Toc216513820"/>
    <w:p>
      <w:pPr>
        <w:pStyle w:val="style1"/>
        <w:spacing w:before="240"/>
        <w:ind w:left="0" w:firstLine="0"/>
        <w:jc w:val="both"/>
        <w:rPr>
          <w:color w:val="000000"/>
        </w:rPr>
      </w:pPr>
      <w:r>
        <w:rPr>
          <w:color w:val="000000"/>
        </w:rPr>
        <w:t>3.15 Ethical C</w:t>
      </w:r>
      <w:bookmarkEnd w:id="122"/>
      <w:r>
        <w:rPr>
          <w:color w:val="000000"/>
        </w:rPr>
        <w:t>onsiderations</w:t>
      </w:r>
      <w:bookmarkEnd w:id="123"/>
    </w:p>
    <w:p>
      <w:pPr>
        <w:pStyle w:val="style0"/>
        <w:spacing w:before="240" w:after="0" w:lineRule="auto" w:line="480"/>
        <w:jc w:val="both"/>
        <w:rPr>
          <w:rFonts w:ascii="Times New Roman" w:cs="Times New Roman" w:hAnsi="Times New Roman"/>
          <w:bCs/>
          <w:color w:val="000000"/>
          <w:sz w:val="24"/>
          <w:szCs w:val="24"/>
        </w:rPr>
      </w:pPr>
      <w:r>
        <w:rPr>
          <w:rFonts w:ascii="Times New Roman" w:cs="Times New Roman" w:hAnsi="Times New Roman"/>
          <w:bCs/>
          <w:color w:val="000000"/>
          <w:sz w:val="24"/>
          <w:szCs w:val="24"/>
        </w:rPr>
        <w:t xml:space="preserve">A research permit </w:t>
      </w:r>
      <w:r>
        <w:rPr>
          <w:rFonts w:ascii="Times New Roman" w:cs="Times New Roman" w:hAnsi="Times New Roman"/>
          <w:bCs/>
          <w:color w:val="000000"/>
          <w:sz w:val="24"/>
          <w:szCs w:val="24"/>
        </w:rPr>
        <w:t>was</w:t>
      </w:r>
      <w:r>
        <w:rPr>
          <w:rFonts w:ascii="Times New Roman" w:cs="Times New Roman" w:hAnsi="Times New Roman"/>
          <w:bCs/>
          <w:color w:val="000000"/>
          <w:sz w:val="24"/>
          <w:szCs w:val="24"/>
        </w:rPr>
        <w:t xml:space="preserve"> obtained from National Commission of Science, Technology and Innovation (NACOSTI) after the approval by the University. A copy of the permit and the introductory letter from the County Commissioner and County Director of Education in Tana River County </w:t>
      </w:r>
      <w:r>
        <w:rPr>
          <w:rFonts w:ascii="Times New Roman" w:cs="Times New Roman" w:hAnsi="Times New Roman"/>
          <w:bCs/>
          <w:color w:val="000000"/>
          <w:sz w:val="24"/>
          <w:szCs w:val="24"/>
        </w:rPr>
        <w:t>was</w:t>
      </w:r>
      <w:r>
        <w:rPr>
          <w:rFonts w:ascii="Times New Roman" w:cs="Times New Roman" w:hAnsi="Times New Roman"/>
          <w:bCs/>
          <w:color w:val="000000"/>
          <w:sz w:val="24"/>
          <w:szCs w:val="24"/>
        </w:rPr>
        <w:t xml:space="preserve"> presented to the Sub-County Director of Education Bangal Sub-County for the authority to visit schools. </w:t>
      </w:r>
    </w:p>
    <w:p>
      <w:pPr>
        <w:pStyle w:val="style0"/>
        <w:spacing w:before="240" w:after="0" w:lineRule="auto" w:line="480"/>
        <w:jc w:val="both"/>
        <w:rPr>
          <w:rFonts w:ascii="Times New Roman" w:cs="Times New Roman" w:hAnsi="Times New Roman"/>
          <w:bCs/>
          <w:color w:val="000000"/>
          <w:sz w:val="24"/>
          <w:szCs w:val="24"/>
        </w:rPr>
      </w:pPr>
      <w:r>
        <w:rPr>
          <w:rFonts w:ascii="Times New Roman" w:cs="Times New Roman" w:hAnsi="Times New Roman"/>
          <w:bCs/>
          <w:color w:val="000000"/>
          <w:sz w:val="24"/>
          <w:szCs w:val="24"/>
        </w:rPr>
        <w:t xml:space="preserve">During the visit to each of the schools, permission </w:t>
      </w:r>
      <w:r>
        <w:rPr>
          <w:rFonts w:ascii="Times New Roman" w:cs="Times New Roman" w:hAnsi="Times New Roman"/>
          <w:bCs/>
          <w:color w:val="000000"/>
          <w:sz w:val="24"/>
          <w:szCs w:val="24"/>
        </w:rPr>
        <w:t>was</w:t>
      </w:r>
      <w:r>
        <w:rPr>
          <w:rFonts w:ascii="Times New Roman" w:cs="Times New Roman" w:hAnsi="Times New Roman"/>
          <w:bCs/>
          <w:color w:val="000000"/>
          <w:sz w:val="24"/>
          <w:szCs w:val="24"/>
        </w:rPr>
        <w:t xml:space="preserve"> sought from the school head teacher before involving the teachers. The respondents </w:t>
      </w:r>
      <w:r>
        <w:rPr>
          <w:rFonts w:ascii="Times New Roman" w:cs="Times New Roman" w:hAnsi="Times New Roman"/>
          <w:bCs/>
          <w:color w:val="000000"/>
          <w:sz w:val="24"/>
          <w:szCs w:val="24"/>
        </w:rPr>
        <w:t>were</w:t>
      </w:r>
      <w:r>
        <w:rPr>
          <w:rFonts w:ascii="Times New Roman" w:cs="Times New Roman" w:hAnsi="Times New Roman"/>
          <w:bCs/>
          <w:color w:val="000000"/>
          <w:sz w:val="24"/>
          <w:szCs w:val="24"/>
        </w:rPr>
        <w:t xml:space="preserve"> informed about the purpose of the study instruments (Schinke &amp; Gilchris, 1993). The respondent remain</w:t>
      </w:r>
      <w:r>
        <w:rPr>
          <w:rFonts w:ascii="Times New Roman" w:cs="Times New Roman" w:hAnsi="Times New Roman"/>
          <w:bCs/>
          <w:color w:val="000000"/>
          <w:sz w:val="24"/>
          <w:szCs w:val="24"/>
        </w:rPr>
        <w:t>ed</w:t>
      </w:r>
      <w:r>
        <w:rPr>
          <w:rFonts w:ascii="Times New Roman" w:cs="Times New Roman" w:hAnsi="Times New Roman"/>
          <w:bCs/>
          <w:color w:val="000000"/>
          <w:sz w:val="24"/>
          <w:szCs w:val="24"/>
        </w:rPr>
        <w:t xml:space="preserve"> anonymous to ensure confidentiality. The researcher also establish</w:t>
      </w:r>
      <w:r>
        <w:rPr>
          <w:rFonts w:ascii="Times New Roman" w:cs="Times New Roman" w:hAnsi="Times New Roman"/>
          <w:bCs/>
          <w:color w:val="000000"/>
          <w:sz w:val="24"/>
          <w:szCs w:val="24"/>
        </w:rPr>
        <w:t>ed</w:t>
      </w:r>
      <w:r>
        <w:rPr>
          <w:rFonts w:ascii="Times New Roman" w:cs="Times New Roman" w:hAnsi="Times New Roman"/>
          <w:bCs/>
          <w:color w:val="000000"/>
          <w:sz w:val="24"/>
          <w:szCs w:val="24"/>
        </w:rPr>
        <w:t xml:space="preserve"> good rapport with the teachers. They </w:t>
      </w:r>
      <w:r>
        <w:rPr>
          <w:rFonts w:ascii="Times New Roman" w:cs="Times New Roman" w:hAnsi="Times New Roman"/>
          <w:bCs/>
          <w:color w:val="000000"/>
          <w:sz w:val="24"/>
          <w:szCs w:val="24"/>
        </w:rPr>
        <w:t xml:space="preserve">were </w:t>
      </w:r>
      <w:r>
        <w:rPr>
          <w:rFonts w:ascii="Times New Roman" w:cs="Times New Roman" w:hAnsi="Times New Roman"/>
          <w:bCs/>
          <w:color w:val="000000"/>
          <w:sz w:val="24"/>
          <w:szCs w:val="24"/>
        </w:rPr>
        <w:t>also assured that that the information would be treated confidentially and used only for the purpose of the study.</w:t>
      </w:r>
    </w:p>
    <w:p>
      <w:pPr>
        <w:pStyle w:val="style0"/>
        <w:spacing w:after="200" w:lineRule="auto" w:line="276"/>
        <w:rPr>
          <w:rFonts w:ascii="Times New Roman" w:cs="Times New Roman" w:hAnsi="Times New Roman"/>
          <w:b/>
          <w:bCs/>
          <w:color w:val="000000"/>
          <w:sz w:val="24"/>
          <w:szCs w:val="24"/>
        </w:rPr>
      </w:pPr>
      <w:r>
        <w:rPr>
          <w:rFonts w:ascii="Times New Roman" w:cs="Times New Roman" w:hAnsi="Times New Roman"/>
          <w:b/>
          <w:bCs/>
          <w:color w:val="000000"/>
          <w:sz w:val="24"/>
          <w:szCs w:val="24"/>
        </w:rPr>
        <w:br w:type="page"/>
      </w:r>
    </w:p>
    <w:bookmarkStart w:id="124" w:name="_Toc216513821"/>
    <w:p>
      <w:pPr>
        <w:pStyle w:val="style1"/>
        <w:spacing w:before="240" w:after="240"/>
        <w:ind w:left="176" w:hanging="357"/>
        <w:rPr>
          <w:color w:val="000000"/>
        </w:rPr>
      </w:pPr>
      <w:r>
        <w:rPr>
          <w:color w:val="000000"/>
        </w:rPr>
        <w:t>CHAPTER FOUR</w:t>
      </w:r>
      <w:bookmarkEnd w:id="124"/>
    </w:p>
    <w:bookmarkStart w:id="125" w:name="_Toc216513822"/>
    <w:p>
      <w:pPr>
        <w:pStyle w:val="style1"/>
        <w:spacing w:before="240" w:after="240"/>
        <w:ind w:left="176" w:hanging="357"/>
        <w:rPr>
          <w:color w:val="000000"/>
        </w:rPr>
      </w:pPr>
      <w:r>
        <w:rPr>
          <w:color w:val="000000"/>
        </w:rPr>
        <w:t>DATA ANALYSIS, INTERPRETATION AND DISCUSSION</w:t>
      </w:r>
      <w:bookmarkEnd w:id="125"/>
    </w:p>
    <w:bookmarkStart w:id="126" w:name="_Toc216513823"/>
    <w:p>
      <w:pPr>
        <w:pStyle w:val="style1"/>
        <w:spacing w:before="240" w:after="240"/>
        <w:jc w:val="both"/>
        <w:rPr>
          <w:color w:val="000000"/>
        </w:rPr>
      </w:pPr>
      <w:r>
        <w:rPr>
          <w:color w:val="000000"/>
        </w:rPr>
        <w:t xml:space="preserve">4.1 </w:t>
      </w:r>
      <w:r>
        <w:rPr>
          <w:color w:val="000000"/>
        </w:rPr>
        <w:t>Overview</w:t>
      </w:r>
      <w:bookmarkEnd w:id="126"/>
    </w:p>
    <w:bookmarkStart w:id="127" w:name="_Toc188281903"/>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This chapter present</w:t>
      </w:r>
      <w:r>
        <w:rPr>
          <w:rFonts w:ascii="Times New Roman" w:cs="Times New Roman" w:hAnsi="Times New Roman"/>
          <w:color w:val="000000"/>
          <w:sz w:val="24"/>
          <w:szCs w:val="24"/>
        </w:rPr>
        <w:t xml:space="preserve">s </w:t>
      </w:r>
      <w:r>
        <w:rPr>
          <w:rFonts w:ascii="Times New Roman" w:cs="Times New Roman" w:hAnsi="Times New Roman"/>
          <w:color w:val="000000"/>
          <w:sz w:val="24"/>
          <w:szCs w:val="24"/>
        </w:rPr>
        <w:t>the analysis of the data collected for the study. It include</w:t>
      </w:r>
      <w:r>
        <w:rPr>
          <w:rFonts w:ascii="Times New Roman" w:cs="Times New Roman" w:hAnsi="Times New Roman"/>
          <w:color w:val="000000"/>
          <w:sz w:val="24"/>
          <w:szCs w:val="24"/>
        </w:rPr>
        <w:t>s</w:t>
      </w:r>
      <w:r>
        <w:rPr>
          <w:rFonts w:ascii="Times New Roman" w:cs="Times New Roman" w:hAnsi="Times New Roman"/>
          <w:color w:val="000000"/>
          <w:sz w:val="24"/>
          <w:szCs w:val="24"/>
        </w:rPr>
        <w:t xml:space="preserve"> the response rate, the anal</w:t>
      </w:r>
      <w:r>
        <w:rPr>
          <w:rFonts w:ascii="Times New Roman" w:cs="Times New Roman" w:hAnsi="Times New Roman"/>
          <w:color w:val="000000"/>
          <w:sz w:val="24"/>
          <w:szCs w:val="24"/>
        </w:rPr>
        <w:t>ysis of demographic information</w:t>
      </w:r>
      <w:r>
        <w:rPr>
          <w:rFonts w:ascii="Times New Roman" w:cs="Times New Roman" w:hAnsi="Times New Roman"/>
          <w:color w:val="000000"/>
          <w:sz w:val="24"/>
          <w:szCs w:val="24"/>
        </w:rPr>
        <w:t xml:space="preserve"> and the analysis of responses from teachers and head teachers in relation to the study objectives.</w:t>
      </w:r>
      <w:r>
        <w:rPr>
          <w:rFonts w:ascii="Times New Roman" w:cs="Times New Roman" w:hAnsi="Times New Roman"/>
          <w:color w:val="000000"/>
          <w:sz w:val="24"/>
          <w:szCs w:val="24"/>
        </w:rPr>
        <w:t xml:space="preserve"> The analysis of the data collected was done through the use of the </w:t>
      </w:r>
      <w:r>
        <w:rPr>
          <w:rFonts w:ascii="Times New Roman" w:cs="Times New Roman" w:hAnsi="Times New Roman"/>
          <w:color w:val="000000"/>
          <w:sz w:val="24"/>
          <w:szCs w:val="24"/>
        </w:rPr>
        <w:t xml:space="preserve">descriptive statistics through the use of frequencies, means and standard deviations. On the inferential statistics, Pearson correlation analysis was utilized to establish the correlations </w:t>
      </w:r>
      <w:r>
        <w:rPr>
          <w:rFonts w:ascii="Times New Roman" w:cs="Times New Roman" w:hAnsi="Times New Roman"/>
          <w:color w:val="000000"/>
          <w:sz w:val="24"/>
          <w:szCs w:val="24"/>
        </w:rPr>
        <w:t>between</w:t>
      </w:r>
      <w:r>
        <w:rPr>
          <w:rFonts w:ascii="Times New Roman" w:cs="Times New Roman" w:hAnsi="Times New Roman"/>
          <w:color w:val="000000"/>
          <w:sz w:val="24"/>
          <w:szCs w:val="24"/>
        </w:rPr>
        <w:t xml:space="preserve"> the study variables</w:t>
      </w:r>
      <w:r>
        <w:rPr>
          <w:rFonts w:ascii="Times New Roman" w:cs="Times New Roman" w:hAnsi="Times New Roman"/>
          <w:color w:val="000000"/>
          <w:sz w:val="24"/>
          <w:szCs w:val="24"/>
        </w:rPr>
        <w:t xml:space="preserve"> establishing the strength and direction of the relationship between the study variables.</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 xml:space="preserve">Reliability of the research instruments was established through the use of Cronbach’s Alpha for the purpose of ensuring that establishing </w:t>
      </w:r>
      <w:r>
        <w:rPr>
          <w:rFonts w:ascii="Times New Roman" w:cs="Times New Roman" w:hAnsi="Times New Roman"/>
          <w:color w:val="000000"/>
          <w:sz w:val="24"/>
          <w:szCs w:val="24"/>
        </w:rPr>
        <w:t>whether</w:t>
      </w:r>
      <w:r>
        <w:rPr>
          <w:rFonts w:ascii="Times New Roman" w:cs="Times New Roman" w:hAnsi="Times New Roman"/>
          <w:color w:val="000000"/>
          <w:sz w:val="24"/>
          <w:szCs w:val="24"/>
        </w:rPr>
        <w:t xml:space="preserve"> the </w:t>
      </w:r>
      <w:r>
        <w:rPr>
          <w:rFonts w:ascii="Times New Roman" w:cs="Times New Roman" w:hAnsi="Times New Roman"/>
          <w:color w:val="000000"/>
          <w:sz w:val="24"/>
          <w:szCs w:val="24"/>
        </w:rPr>
        <w:t>data demonstrated internal consistency.</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The purpose of this study was to identify and analyze the determinants of learners’ absenteeism in primary schools in Bangal Sub-county, Tana River County, Kenya. The study specifically sought</w:t>
      </w:r>
      <w:r>
        <w:rPr>
          <w:rFonts w:ascii="Times New Roman" w:cs="Times New Roman" w:hAnsi="Times New Roman"/>
          <w:color w:val="000000"/>
          <w:sz w:val="24"/>
          <w:szCs w:val="24"/>
        </w:rPr>
        <w:t>;</w:t>
      </w:r>
      <w:r>
        <w:rPr>
          <w:rFonts w:ascii="Times New Roman" w:cs="Times New Roman" w:hAnsi="Times New Roman"/>
          <w:color w:val="000000"/>
          <w:sz w:val="24"/>
          <w:szCs w:val="24"/>
        </w:rPr>
        <w:t xml:space="preserve"> to assess the correlation between socio-economic factors and learners’ absenteeism in Primary schools in Bangal Sub-county, Tana River County, Kenya; to examine how cultural practices influence pupil attendance in Primary schools in Bangal Sub-county; to evaluate the extent to which specific aspects of the school environment such as infrastructure, security and safety, punishment methods and teacher behavior influence the rate of learners’ absenteeism in Primary schools in Bangal Sub-county; and to establish the correlation between the level of implementation of National Policy on learner attendance and the observed rates of learners’ absenteeism in Primary schools in Bangal Sub-county.</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Data were collected using structured questionnaires administered to teachers and structured interviews conducted with head teachers. A sample of 9 schools, 70 teachers, and 9 head teachers was selected for the study. This chapter entailed the analysis, presentation and interpretation of the findings drawn from the data collected through these instruments. The results were presented in tables and figures in line with the study objectives.</w:t>
      </w:r>
    </w:p>
    <w:bookmarkStart w:id="128" w:name="_Toc216513824"/>
    <w:p>
      <w:pPr>
        <w:pStyle w:val="style1"/>
        <w:spacing w:before="240" w:after="240"/>
        <w:jc w:val="both"/>
        <w:rPr>
          <w:color w:val="000000"/>
        </w:rPr>
      </w:pPr>
      <w:r>
        <w:rPr>
          <w:color w:val="000000"/>
        </w:rPr>
        <w:t>4.2 Questionnaire</w:t>
      </w:r>
      <w:r>
        <w:rPr>
          <w:color w:val="000000"/>
          <w:spacing w:val="-2"/>
        </w:rPr>
        <w:t xml:space="preserve"> </w:t>
      </w:r>
      <w:r>
        <w:rPr>
          <w:color w:val="000000"/>
        </w:rPr>
        <w:t>and Interview</w:t>
      </w:r>
      <w:r>
        <w:rPr>
          <w:color w:val="000000"/>
          <w:spacing w:val="-2"/>
        </w:rPr>
        <w:t xml:space="preserve"> </w:t>
      </w:r>
      <w:r>
        <w:rPr>
          <w:color w:val="000000"/>
        </w:rPr>
        <w:t xml:space="preserve">Return </w:t>
      </w:r>
      <w:r>
        <w:rPr>
          <w:color w:val="000000"/>
          <w:spacing w:val="-4"/>
        </w:rPr>
        <w:t>Rate</w:t>
      </w:r>
      <w:bookmarkEnd w:id="128"/>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Response rate is generally accepted as a valuable measure of survey research quality and reliability (Adey &amp; Cornelius, 2016). In this study, the researcher administered questionnaires to 70 teachers and structured interviews to 9 heads of institutions. Table 3 indicates the instruments return rate of all respondent categories.</w:t>
      </w:r>
    </w:p>
    <w:bookmarkStart w:id="129" w:name="_Toc216299133"/>
    <w:p>
      <w:pPr>
        <w:pStyle w:val="style4104"/>
        <w:rPr>
          <w:i w:val="false"/>
        </w:rPr>
      </w:pPr>
      <w:r>
        <w:rPr>
          <w:b/>
          <w:i w:val="false"/>
        </w:rPr>
        <w:t>Table 3</w:t>
      </w:r>
      <w:r>
        <w:rPr>
          <w:i w:val="false"/>
        </w:rPr>
        <w:t>:</w:t>
      </w:r>
      <w:bookmarkEnd w:id="129"/>
      <w:r>
        <w:rPr>
          <w:i w:val="false"/>
        </w:rPr>
        <w:t xml:space="preserve"> </w:t>
      </w:r>
    </w:p>
    <w:bookmarkStart w:id="130" w:name="_Toc216299134"/>
    <w:p>
      <w:pPr>
        <w:pStyle w:val="style4104"/>
        <w:rPr/>
      </w:pPr>
      <w:r>
        <w:t>Response Rate</w:t>
      </w:r>
      <w:bookmarkEnd w:id="130"/>
      <w:r>
        <w:t xml:space="preserve"> </w:t>
      </w:r>
    </w:p>
    <w:tbl>
      <w:tblPr>
        <w:tblStyle w:val="style15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04"/>
        <w:gridCol w:w="2160"/>
        <w:gridCol w:w="2023"/>
        <w:gridCol w:w="2765"/>
      </w:tblGrid>
      <w:tr>
        <w:trPr/>
        <w:tc>
          <w:tcPr>
            <w:tcW w:w="2304" w:type="dxa"/>
            <w:tcBorders>
              <w:top w:val="single" w:sz="12" w:space="0" w:color="auto"/>
              <w:bottom w:val="single" w:sz="12" w:space="0" w:color="auto"/>
            </w:tcBorders>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 xml:space="preserve">Respondents </w:t>
            </w:r>
          </w:p>
        </w:tc>
        <w:tc>
          <w:tcPr>
            <w:tcW w:w="2160" w:type="dxa"/>
            <w:tcBorders>
              <w:top w:val="single" w:sz="12" w:space="0" w:color="auto"/>
              <w:bottom w:val="single" w:sz="12" w:space="0" w:color="auto"/>
            </w:tcBorders>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 xml:space="preserve">Sampled </w:t>
            </w:r>
          </w:p>
        </w:tc>
        <w:tc>
          <w:tcPr>
            <w:tcW w:w="2023" w:type="dxa"/>
            <w:tcBorders>
              <w:top w:val="single" w:sz="12" w:space="0" w:color="auto"/>
              <w:bottom w:val="single" w:sz="12" w:space="0" w:color="auto"/>
            </w:tcBorders>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 xml:space="preserve">Returned </w:t>
            </w:r>
          </w:p>
        </w:tc>
        <w:tc>
          <w:tcPr>
            <w:tcW w:w="2765" w:type="dxa"/>
            <w:tcBorders>
              <w:top w:val="single" w:sz="12" w:space="0" w:color="auto"/>
              <w:bottom w:val="single" w:sz="12" w:space="0" w:color="auto"/>
            </w:tcBorders>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 xml:space="preserve">Percentage </w:t>
            </w:r>
            <w:r>
              <w:rPr>
                <w:rFonts w:ascii="Times New Roman" w:cs="Times New Roman" w:hAnsi="Times New Roman"/>
                <w:color w:val="000000"/>
                <w:sz w:val="24"/>
                <w:szCs w:val="24"/>
              </w:rPr>
              <w:t>Return Rate</w:t>
            </w:r>
          </w:p>
        </w:tc>
      </w:tr>
      <w:tr>
        <w:tblPrEx/>
        <w:trPr/>
        <w:tc>
          <w:tcPr>
            <w:tcW w:w="2304" w:type="dxa"/>
            <w:tcBorders>
              <w:top w:val="single" w:sz="12" w:space="0" w:color="auto"/>
            </w:tcBorders>
            <w:vAlign w:val="center"/>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Head Teachers</w:t>
            </w:r>
          </w:p>
        </w:tc>
        <w:tc>
          <w:tcPr>
            <w:tcW w:w="2160" w:type="dxa"/>
            <w:tcBorders>
              <w:top w:val="single" w:sz="12" w:space="0" w:color="auto"/>
            </w:tcBorders>
            <w:vAlign w:val="center"/>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9</w:t>
            </w:r>
          </w:p>
        </w:tc>
        <w:tc>
          <w:tcPr>
            <w:tcW w:w="2023" w:type="dxa"/>
            <w:tcBorders>
              <w:top w:val="single" w:sz="12" w:space="0" w:color="auto"/>
            </w:tcBorders>
            <w:vAlign w:val="center"/>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7</w:t>
            </w:r>
          </w:p>
        </w:tc>
        <w:tc>
          <w:tcPr>
            <w:tcW w:w="2765" w:type="dxa"/>
            <w:tcBorders>
              <w:top w:val="single" w:sz="12" w:space="0" w:color="auto"/>
            </w:tcBorders>
            <w:vAlign w:val="center"/>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77.8%</w:t>
            </w:r>
          </w:p>
        </w:tc>
      </w:tr>
      <w:tr>
        <w:tblPrEx/>
        <w:trPr/>
        <w:tc>
          <w:tcPr>
            <w:tcW w:w="2304" w:type="dxa"/>
            <w:tcBorders/>
            <w:vAlign w:val="center"/>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Teachers</w:t>
            </w:r>
          </w:p>
        </w:tc>
        <w:tc>
          <w:tcPr>
            <w:tcW w:w="2160" w:type="dxa"/>
            <w:tcBorders/>
            <w:vAlign w:val="center"/>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2023" w:type="dxa"/>
            <w:tcBorders/>
            <w:vAlign w:val="center"/>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2765" w:type="dxa"/>
            <w:tcBorders/>
            <w:vAlign w:val="center"/>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100%</w:t>
            </w:r>
          </w:p>
        </w:tc>
      </w:tr>
      <w:tr>
        <w:tblPrEx/>
        <w:trPr/>
        <w:tc>
          <w:tcPr>
            <w:tcW w:w="2304" w:type="dxa"/>
            <w:tcBorders/>
            <w:vAlign w:val="center"/>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Total</w:t>
            </w:r>
          </w:p>
        </w:tc>
        <w:tc>
          <w:tcPr>
            <w:tcW w:w="2160" w:type="dxa"/>
            <w:tcBorders/>
            <w:vAlign w:val="center"/>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79</w:t>
            </w:r>
          </w:p>
        </w:tc>
        <w:tc>
          <w:tcPr>
            <w:tcW w:w="2023" w:type="dxa"/>
            <w:tcBorders/>
            <w:vAlign w:val="center"/>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77</w:t>
            </w:r>
          </w:p>
        </w:tc>
        <w:tc>
          <w:tcPr>
            <w:tcW w:w="2765" w:type="dxa"/>
            <w:tcBorders/>
            <w:vAlign w:val="center"/>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97.5%</w:t>
            </w:r>
          </w:p>
        </w:tc>
      </w:tr>
    </w:tbl>
    <w:p>
      <w:pPr>
        <w:pStyle w:val="style0"/>
        <w:spacing w:before="100" w:beforeAutospacing="true" w:after="100" w:afterAutospacing="true"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The total number of questionnaires sent to teachers was 70, and the complete 70 were returned, which is a 100% response rate. Among the head teachers, 7 of the 9 </w:t>
      </w:r>
      <w:r>
        <w:rPr>
          <w:rFonts w:ascii="Times New Roman" w:cs="Times New Roman" w:hAnsi="Times New Roman"/>
          <w:color w:val="000000"/>
          <w:sz w:val="24"/>
          <w:szCs w:val="24"/>
          <w:lang w:val="en-US"/>
        </w:rPr>
        <w:t xml:space="preserve">responded to the interview </w:t>
      </w:r>
      <w:r>
        <w:rPr>
          <w:rFonts w:ascii="Times New Roman" w:cs="Times New Roman" w:hAnsi="Times New Roman"/>
          <w:color w:val="000000"/>
          <w:sz w:val="24"/>
          <w:szCs w:val="24"/>
        </w:rPr>
        <w:t>with a 77.8% re</w:t>
      </w:r>
      <w:r>
        <w:rPr>
          <w:rFonts w:ascii="Times New Roman" w:cs="Times New Roman" w:hAnsi="Times New Roman"/>
          <w:color w:val="000000"/>
          <w:sz w:val="24"/>
          <w:szCs w:val="24"/>
          <w:lang w:val="en-US"/>
        </w:rPr>
        <w:t>sponse</w:t>
      </w:r>
      <w:r>
        <w:rPr>
          <w:rFonts w:ascii="Times New Roman" w:cs="Times New Roman" w:hAnsi="Times New Roman"/>
          <w:color w:val="000000"/>
          <w:sz w:val="24"/>
          <w:szCs w:val="24"/>
        </w:rPr>
        <w:t xml:space="preserve"> rate. The total return rate of 97.5% was deemed extremely satisfactory and offered a solid foundation to carry out a data analysis. In the opinion of Mugenda and Mugenda (2003), a 50% response rate is satisfactory, 60% is decent, 70% is outstanding, and 80% and above are excellent. According to this benchmark, the head teachers had a very good return rate, whereas the teachers had an excellent return rate. The total rate of 97.5 was thus deemed as being excellent and offered a solid and trustworthy foundation on which to base the data analysis.</w:t>
      </w:r>
    </w:p>
    <w:bookmarkStart w:id="131" w:name="_Toc216513825"/>
    <w:p>
      <w:pPr>
        <w:pStyle w:val="style1"/>
        <w:jc w:val="both"/>
        <w:rPr>
          <w:color w:val="000000"/>
        </w:rPr>
      </w:pPr>
      <w:r>
        <w:rPr>
          <w:color w:val="000000"/>
        </w:rPr>
        <w:t xml:space="preserve">4.3 Background Information </w:t>
      </w:r>
      <w:r>
        <w:rPr>
          <w:color w:val="000000"/>
        </w:rPr>
        <w:t>of Teachers</w:t>
      </w:r>
      <w:bookmarkEnd w:id="131"/>
      <w:r>
        <w:rPr>
          <w:color w:val="000000"/>
        </w:rPr>
        <w:t xml:space="preserve"> </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The background information of the teachers was gathered to determine the nature of the teachers and to give context in the interpretation of the study findings. This background information proved crucial in comprehending the characteristics of the teachers involved and placing their answers in the context of the realities of the ongoing study. The initial aim of the study was to identify the gender distribution of teachers. There were male and female teachers involved and the study could reflect both gender voices. Secondly, the research also investigated the employer status of the teachers. Teachers were either employed by Teachers Service Commission (TSC) or worked under Boards of Management (BOM). This difference mattered in the determination of the types of employment used in the study. Lastly, the research took into account the teaching experience of teachers. The lengths of service were measured to determine the less than five-year service, five to ten years service, eleven to fifteen years service and over fifteen years service. </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 </w:t>
      </w:r>
    </w:p>
    <w:p>
      <w:pPr>
        <w:pStyle w:val="style0"/>
        <w:spacing w:after="200" w:lineRule="auto" w:line="276"/>
        <w:rPr>
          <w:rFonts w:ascii="Times New Roman" w:cs="Times New Roman" w:hAnsi="Times New Roman"/>
          <w:b/>
          <w:color w:val="000000"/>
          <w:sz w:val="24"/>
          <w:szCs w:val="24"/>
        </w:rPr>
      </w:pPr>
      <w:r>
        <w:rPr>
          <w:rFonts w:ascii="Times New Roman" w:cs="Times New Roman" w:hAnsi="Times New Roman"/>
          <w:b/>
          <w:color w:val="000000"/>
          <w:sz w:val="24"/>
          <w:szCs w:val="24"/>
        </w:rPr>
        <w:br w:type="page"/>
      </w:r>
    </w:p>
    <w:p>
      <w:pPr>
        <w:pStyle w:val="style0"/>
        <w:spacing w:before="240" w:after="240" w:lineRule="auto" w:line="480"/>
        <w:jc w:val="both"/>
        <w:rPr>
          <w:rFonts w:ascii="Times New Roman" w:cs="Times New Roman" w:hAnsi="Times New Roman"/>
          <w:b/>
          <w:color w:val="000000"/>
          <w:sz w:val="24"/>
          <w:szCs w:val="24"/>
        </w:rPr>
      </w:pPr>
      <w:r>
        <w:rPr>
          <w:rFonts w:ascii="Times New Roman" w:cs="Times New Roman" w:hAnsi="Times New Roman"/>
          <w:b/>
          <w:color w:val="000000"/>
          <w:sz w:val="24"/>
          <w:szCs w:val="24"/>
        </w:rPr>
        <w:t xml:space="preserve">4.3.1 Gender of Teachers  </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researcher sought to determine the gender of the teachers. Table 4 shows the results.</w:t>
      </w:r>
    </w:p>
    <w:bookmarkStart w:id="132" w:name="_Toc216299135"/>
    <w:p>
      <w:pPr>
        <w:pStyle w:val="style4104"/>
        <w:rPr>
          <w:i w:val="false"/>
        </w:rPr>
      </w:pPr>
      <w:r>
        <w:rPr>
          <w:b/>
          <w:i w:val="false"/>
        </w:rPr>
        <w:t xml:space="preserve">Table </w:t>
      </w:r>
      <w:r>
        <w:rPr>
          <w:b/>
          <w:i w:val="false"/>
        </w:rPr>
        <w:t>4</w:t>
      </w:r>
      <w:r>
        <w:rPr>
          <w:i w:val="false"/>
        </w:rPr>
        <w:t>:</w:t>
      </w:r>
      <w:bookmarkEnd w:id="132"/>
      <w:r>
        <w:rPr>
          <w:i w:val="false"/>
        </w:rPr>
        <w:t xml:space="preserve"> </w:t>
      </w:r>
    </w:p>
    <w:bookmarkStart w:id="133" w:name="_Toc216299136"/>
    <w:p>
      <w:pPr>
        <w:pStyle w:val="style4104"/>
        <w:rPr/>
      </w:pPr>
      <w:r>
        <w:t>Gender of Teachers</w:t>
      </w:r>
      <w:bookmarkEnd w:id="133"/>
      <w:r>
        <w:t xml:space="preserve"> </w:t>
      </w:r>
    </w:p>
    <w:tbl>
      <w:tblPr>
        <w:tblStyle w:val="style15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2880"/>
        <w:gridCol w:w="2808"/>
      </w:tblGrid>
      <w:tr>
        <w:trPr/>
        <w:tc>
          <w:tcPr>
            <w:tcW w:w="3780" w:type="dxa"/>
            <w:tcBorders>
              <w:top w:val="single" w:sz="12" w:space="0" w:color="auto"/>
              <w:bottom w:val="single" w:sz="12" w:space="0" w:color="auto"/>
            </w:tcBorders>
            <w:vAlign w:val="center"/>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Gender</w:t>
            </w:r>
          </w:p>
        </w:tc>
        <w:tc>
          <w:tcPr>
            <w:tcW w:w="2880" w:type="dxa"/>
            <w:tcBorders>
              <w:top w:val="single" w:sz="12" w:space="0" w:color="auto"/>
              <w:bottom w:val="single" w:sz="12" w:space="0" w:color="auto"/>
            </w:tcBorders>
            <w:vAlign w:val="center"/>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Frequency</w:t>
            </w:r>
          </w:p>
        </w:tc>
        <w:tc>
          <w:tcPr>
            <w:tcW w:w="2808" w:type="dxa"/>
            <w:tcBorders>
              <w:top w:val="single" w:sz="12" w:space="0" w:color="auto"/>
              <w:bottom w:val="single" w:sz="12" w:space="0" w:color="auto"/>
            </w:tcBorders>
            <w:vAlign w:val="center"/>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Percent (</w:t>
            </w:r>
            <w:r>
              <w:rPr>
                <w:rFonts w:ascii="Times New Roman" w:cs="Times New Roman" w:hAnsi="Times New Roman"/>
                <w:color w:val="000000"/>
                <w:sz w:val="24"/>
                <w:szCs w:val="24"/>
              </w:rPr>
              <w:t>%)</w:t>
            </w:r>
          </w:p>
        </w:tc>
      </w:tr>
      <w:tr>
        <w:tblPrEx/>
        <w:trPr/>
        <w:tc>
          <w:tcPr>
            <w:tcW w:w="3780" w:type="dxa"/>
            <w:tcBorders>
              <w:top w:val="single" w:sz="12" w:space="0" w:color="auto"/>
            </w:tcBorders>
            <w:vAlign w:val="center"/>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Female</w:t>
            </w:r>
          </w:p>
        </w:tc>
        <w:tc>
          <w:tcPr>
            <w:tcW w:w="2880" w:type="dxa"/>
            <w:tcBorders>
              <w:top w:val="single" w:sz="12" w:space="0" w:color="auto"/>
            </w:tcBorders>
            <w:vAlign w:val="center"/>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34</w:t>
            </w:r>
          </w:p>
        </w:tc>
        <w:tc>
          <w:tcPr>
            <w:tcW w:w="2808" w:type="dxa"/>
            <w:tcBorders>
              <w:top w:val="single" w:sz="12" w:space="0" w:color="auto"/>
            </w:tcBorders>
            <w:vAlign w:val="center"/>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48.6</w:t>
            </w:r>
          </w:p>
        </w:tc>
      </w:tr>
      <w:tr>
        <w:tblPrEx/>
        <w:trPr/>
        <w:tc>
          <w:tcPr>
            <w:tcW w:w="3780" w:type="dxa"/>
            <w:tcBorders/>
            <w:vAlign w:val="center"/>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Male</w:t>
            </w:r>
          </w:p>
        </w:tc>
        <w:tc>
          <w:tcPr>
            <w:tcW w:w="2880" w:type="dxa"/>
            <w:tcBorders/>
            <w:vAlign w:val="center"/>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36</w:t>
            </w:r>
          </w:p>
        </w:tc>
        <w:tc>
          <w:tcPr>
            <w:tcW w:w="2808" w:type="dxa"/>
            <w:tcBorders/>
            <w:vAlign w:val="center"/>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51.4</w:t>
            </w:r>
          </w:p>
        </w:tc>
      </w:tr>
      <w:tr>
        <w:tblPrEx/>
        <w:trPr/>
        <w:tc>
          <w:tcPr>
            <w:tcW w:w="3780" w:type="dxa"/>
            <w:tcBorders/>
            <w:vAlign w:val="center"/>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Total</w:t>
            </w:r>
          </w:p>
        </w:tc>
        <w:tc>
          <w:tcPr>
            <w:tcW w:w="2880" w:type="dxa"/>
            <w:tcBorders/>
            <w:vAlign w:val="center"/>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2808" w:type="dxa"/>
            <w:tcBorders/>
            <w:vAlign w:val="center"/>
          </w:tcPr>
          <w:p>
            <w:pPr>
              <w:pStyle w:val="style0"/>
              <w:spacing w:before="240"/>
              <w:rPr>
                <w:rFonts w:ascii="Times New Roman" w:cs="Times New Roman" w:hAnsi="Times New Roman"/>
                <w:color w:val="000000"/>
                <w:sz w:val="24"/>
                <w:szCs w:val="24"/>
              </w:rPr>
            </w:pPr>
            <w:r>
              <w:rPr>
                <w:rFonts w:ascii="Times New Roman" w:cs="Times New Roman" w:hAnsi="Times New Roman"/>
                <w:color w:val="000000"/>
                <w:sz w:val="24"/>
                <w:szCs w:val="24"/>
              </w:rPr>
              <w:t>100.0</w:t>
            </w:r>
          </w:p>
        </w:tc>
      </w:tr>
    </w:tbl>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Based on Table 4, the results indicated that male respondents were 51.4 percent (36 teachers) and female respondents 48.6 percent (34 teachers). This revealed a slight male dominance in the participants, which implied a close gender balance in the research sample. The fact that the number of male and female respondents was balanced was significant as it offered a more reflective representation of the attitudes across the genders. The gender distribution herein indicated that though there was a slight difference in the number of male respondents over female respondents, the difference was not significant and indicated a relatively balanced participation. This balance was important as it enabled the study to capture the views of both genders without any being overrepresented. Nevertheless, the larger implication was that gender inequity in teaching and leadership was still a structural challenge in Kenya</w:t>
      </w:r>
      <w:r>
        <w:rPr>
          <w:rFonts w:ascii="Times New Roman" w:cs="Times New Roman" w:hAnsi="Times New Roman"/>
          <w:color w:val="000000"/>
          <w:sz w:val="24"/>
          <w:szCs w:val="24"/>
        </w:rPr>
        <w:t>.</w:t>
      </w:r>
      <w:r>
        <w:rPr>
          <w:rFonts w:ascii="Times New Roman" w:cs="Times New Roman" w:hAnsi="Times New Roman"/>
          <w:color w:val="000000"/>
          <w:sz w:val="24"/>
          <w:szCs w:val="24"/>
        </w:rPr>
        <w:t xml:space="preserve"> </w:t>
      </w:r>
    </w:p>
    <w:p>
      <w:pPr>
        <w:pStyle w:val="style0"/>
        <w:spacing w:after="200" w:lineRule="auto" w:line="276"/>
        <w:rPr>
          <w:rFonts w:ascii="Times New Roman" w:cs="Times New Roman" w:hAnsi="Times New Roman"/>
          <w:b/>
          <w:color w:val="000000"/>
          <w:sz w:val="24"/>
          <w:szCs w:val="24"/>
        </w:rPr>
      </w:pPr>
      <w:r>
        <w:rPr>
          <w:rFonts w:ascii="Times New Roman" w:cs="Times New Roman" w:hAnsi="Times New Roman"/>
          <w:b/>
          <w:color w:val="000000"/>
          <w:sz w:val="24"/>
          <w:szCs w:val="24"/>
        </w:rPr>
        <w:br w:type="page"/>
      </w:r>
    </w:p>
    <w:p>
      <w:pPr>
        <w:pStyle w:val="style179"/>
        <w:numPr>
          <w:ilvl w:val="2"/>
          <w:numId w:val="22"/>
        </w:numPr>
        <w:spacing w:before="240" w:after="240" w:lineRule="auto" w:line="480"/>
        <w:jc w:val="both"/>
        <w:contextualSpacing w:val="false"/>
        <w:rPr>
          <w:rFonts w:ascii="Times New Roman" w:cs="Times New Roman" w:hAnsi="Times New Roman"/>
          <w:b/>
          <w:color w:val="000000"/>
          <w:sz w:val="24"/>
          <w:szCs w:val="24"/>
        </w:rPr>
      </w:pPr>
      <w:r>
        <w:rPr>
          <w:rFonts w:ascii="Times New Roman" w:cs="Times New Roman" w:hAnsi="Times New Roman"/>
          <w:b/>
          <w:color w:val="000000"/>
          <w:sz w:val="24"/>
          <w:szCs w:val="24"/>
        </w:rPr>
        <w:t>Employer</w:t>
      </w:r>
      <w:r>
        <w:rPr>
          <w:rFonts w:ascii="Times New Roman" w:cs="Times New Roman" w:hAnsi="Times New Roman"/>
          <w:b/>
          <w:color w:val="000000"/>
          <w:sz w:val="24"/>
          <w:szCs w:val="24"/>
        </w:rPr>
        <w:t xml:space="preserve"> of Teachers  </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researcher also sought to identify the employment status of the teachers to identify the employer of the teachers. Table 5 shows the results on the employer</w:t>
      </w:r>
      <w:r>
        <w:rPr>
          <w:rFonts w:ascii="Times New Roman" w:cs="Times New Roman" w:hAnsi="Times New Roman"/>
          <w:color w:val="000000"/>
          <w:sz w:val="24"/>
          <w:szCs w:val="24"/>
        </w:rPr>
        <w:t xml:space="preserve"> of the teachers.</w:t>
      </w:r>
    </w:p>
    <w:bookmarkStart w:id="134" w:name="_Toc216299137"/>
    <w:p>
      <w:pPr>
        <w:pStyle w:val="style4104"/>
        <w:rPr>
          <w:i w:val="false"/>
        </w:rPr>
      </w:pPr>
      <w:r>
        <w:rPr>
          <w:b/>
          <w:i w:val="false"/>
        </w:rPr>
        <w:t xml:space="preserve">Table </w:t>
      </w:r>
      <w:r>
        <w:rPr>
          <w:b/>
          <w:i w:val="false"/>
        </w:rPr>
        <w:t>5</w:t>
      </w:r>
      <w:r>
        <w:rPr>
          <w:i w:val="false"/>
        </w:rPr>
        <w:t>:</w:t>
      </w:r>
      <w:bookmarkEnd w:id="134"/>
      <w:r>
        <w:rPr>
          <w:i w:val="false"/>
        </w:rPr>
        <w:t xml:space="preserve"> </w:t>
      </w:r>
    </w:p>
    <w:bookmarkStart w:id="135" w:name="_Toc216299138"/>
    <w:p>
      <w:pPr>
        <w:pStyle w:val="style4104"/>
        <w:rPr/>
      </w:pPr>
      <w:r>
        <w:t>Employer</w:t>
      </w:r>
      <w:r>
        <w:t xml:space="preserve"> of Teachers</w:t>
      </w:r>
      <w:bookmarkEnd w:id="135"/>
      <w:r>
        <w:t xml:space="preserve"> </w:t>
      </w:r>
    </w:p>
    <w:tbl>
      <w:tblPr>
        <w:tblStyle w:val="style154"/>
        <w:tblW w:w="0" w:type="auto"/>
        <w:tblInd w:w="108"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672"/>
        <w:gridCol w:w="2880"/>
        <w:gridCol w:w="2808"/>
      </w:tblGrid>
      <w:tr>
        <w:trPr/>
        <w:tc>
          <w:tcPr>
            <w:tcW w:w="3672" w:type="dxa"/>
            <w:tcBorders>
              <w:top w:val="single" w:sz="12" w:space="0" w:color="auto"/>
              <w:bottom w:val="single" w:sz="12" w:space="0" w:color="auto"/>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Employer</w:t>
            </w:r>
          </w:p>
        </w:tc>
        <w:tc>
          <w:tcPr>
            <w:tcW w:w="2880" w:type="dxa"/>
            <w:tcBorders>
              <w:top w:val="single" w:sz="12" w:space="0" w:color="auto"/>
              <w:bottom w:val="single" w:sz="12" w:space="0" w:color="auto"/>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Frequency</w:t>
            </w:r>
          </w:p>
        </w:tc>
        <w:tc>
          <w:tcPr>
            <w:tcW w:w="2808" w:type="dxa"/>
            <w:tcBorders>
              <w:top w:val="single" w:sz="12" w:space="0" w:color="auto"/>
              <w:bottom w:val="single" w:sz="12" w:space="0" w:color="auto"/>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Percent (</w:t>
            </w:r>
            <w:r>
              <w:rPr>
                <w:rFonts w:ascii="Times New Roman" w:cs="Times New Roman" w:hAnsi="Times New Roman"/>
                <w:color w:val="000000"/>
                <w:sz w:val="24"/>
                <w:szCs w:val="24"/>
              </w:rPr>
              <w:t>%)</w:t>
            </w:r>
          </w:p>
        </w:tc>
      </w:tr>
      <w:tr>
        <w:tblPrEx/>
        <w:trPr/>
        <w:tc>
          <w:tcPr>
            <w:tcW w:w="3672" w:type="dxa"/>
            <w:tcBorders>
              <w:top w:val="single" w:sz="12" w:space="0" w:color="auto"/>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BOM</w:t>
            </w:r>
          </w:p>
        </w:tc>
        <w:tc>
          <w:tcPr>
            <w:tcW w:w="2880" w:type="dxa"/>
            <w:tcBorders>
              <w:top w:val="single" w:sz="12" w:space="0" w:color="auto"/>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6</w:t>
            </w:r>
          </w:p>
        </w:tc>
        <w:tc>
          <w:tcPr>
            <w:tcW w:w="2808" w:type="dxa"/>
            <w:tcBorders>
              <w:top w:val="single" w:sz="12" w:space="0" w:color="auto"/>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8.6</w:t>
            </w:r>
          </w:p>
        </w:tc>
      </w:tr>
      <w:tr>
        <w:tblPrEx/>
        <w:trPr/>
        <w:tc>
          <w:tcPr>
            <w:tcW w:w="3672" w:type="dxa"/>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TSC</w:t>
            </w:r>
          </w:p>
        </w:tc>
        <w:tc>
          <w:tcPr>
            <w:tcW w:w="2880" w:type="dxa"/>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64</w:t>
            </w:r>
          </w:p>
        </w:tc>
        <w:tc>
          <w:tcPr>
            <w:tcW w:w="2808" w:type="dxa"/>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91.4</w:t>
            </w:r>
          </w:p>
        </w:tc>
      </w:tr>
      <w:tr>
        <w:tblPrEx/>
        <w:trPr/>
        <w:tc>
          <w:tcPr>
            <w:tcW w:w="3672" w:type="dxa"/>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Total</w:t>
            </w:r>
          </w:p>
        </w:tc>
        <w:tc>
          <w:tcPr>
            <w:tcW w:w="2880" w:type="dxa"/>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2808" w:type="dxa"/>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100.0</w:t>
            </w:r>
          </w:p>
        </w:tc>
      </w:tr>
    </w:tbl>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Table 5, majori</w:t>
      </w:r>
      <w:r>
        <w:rPr>
          <w:rFonts w:ascii="Times New Roman" w:cs="Times New Roman" w:hAnsi="Times New Roman"/>
          <w:color w:val="000000"/>
          <w:sz w:val="24"/>
          <w:szCs w:val="24"/>
        </w:rPr>
        <w:t>t</w:t>
      </w:r>
      <w:r>
        <w:rPr>
          <w:rFonts w:ascii="Times New Roman" w:cs="Times New Roman" w:hAnsi="Times New Roman"/>
          <w:color w:val="000000"/>
          <w:sz w:val="24"/>
          <w:szCs w:val="24"/>
        </w:rPr>
        <w:t>y</w:t>
      </w:r>
      <w:r>
        <w:rPr>
          <w:rFonts w:ascii="Times New Roman" w:cs="Times New Roman" w:hAnsi="Times New Roman"/>
          <w:color w:val="000000"/>
          <w:sz w:val="24"/>
          <w:szCs w:val="24"/>
        </w:rPr>
        <w:t xml:space="preserve"> of the teachers (91.4%) worked </w:t>
      </w:r>
      <w:r>
        <w:rPr>
          <w:rFonts w:ascii="Times New Roman" w:cs="Times New Roman" w:hAnsi="Times New Roman"/>
          <w:color w:val="000000"/>
          <w:sz w:val="24"/>
          <w:szCs w:val="24"/>
        </w:rPr>
        <w:t>under</w:t>
      </w:r>
      <w:r>
        <w:rPr>
          <w:rFonts w:ascii="Times New Roman" w:cs="Times New Roman" w:hAnsi="Times New Roman"/>
          <w:color w:val="000000"/>
          <w:sz w:val="24"/>
          <w:szCs w:val="24"/>
        </w:rPr>
        <w:t xml:space="preserve"> the Teachers Service Commission (TSC) and only 8.6% worked in Boards of Management (BOM). This observation showed that teaching staff in the sampled schools were TSC employees. The prevalence of TSC employees in this study indicate</w:t>
      </w:r>
      <w:r>
        <w:rPr>
          <w:rFonts w:ascii="Times New Roman" w:cs="Times New Roman" w:hAnsi="Times New Roman"/>
          <w:color w:val="000000"/>
          <w:sz w:val="24"/>
          <w:szCs w:val="24"/>
        </w:rPr>
        <w:t>d</w:t>
      </w:r>
      <w:r>
        <w:rPr>
          <w:rFonts w:ascii="Times New Roman" w:cs="Times New Roman" w:hAnsi="Times New Roman"/>
          <w:color w:val="000000"/>
          <w:sz w:val="24"/>
          <w:szCs w:val="24"/>
        </w:rPr>
        <w:t xml:space="preserve"> that views obtained were mostly those of teachers who possess formal professional qualifications, standardized training and more secure employment conditions. This </w:t>
      </w:r>
      <w:r>
        <w:rPr>
          <w:rFonts w:ascii="Times New Roman" w:cs="Times New Roman" w:hAnsi="Times New Roman"/>
          <w:color w:val="000000"/>
          <w:sz w:val="24"/>
          <w:szCs w:val="24"/>
        </w:rPr>
        <w:t xml:space="preserve">context </w:t>
      </w:r>
      <w:r>
        <w:rPr>
          <w:rFonts w:ascii="Times New Roman" w:cs="Times New Roman" w:hAnsi="Times New Roman"/>
          <w:color w:val="000000"/>
          <w:sz w:val="24"/>
          <w:szCs w:val="24"/>
        </w:rPr>
        <w:t>increase</w:t>
      </w:r>
      <w:r>
        <w:rPr>
          <w:rFonts w:ascii="Times New Roman" w:cs="Times New Roman" w:hAnsi="Times New Roman"/>
          <w:color w:val="000000"/>
          <w:sz w:val="24"/>
          <w:szCs w:val="24"/>
        </w:rPr>
        <w:t>d</w:t>
      </w:r>
      <w:r>
        <w:rPr>
          <w:rFonts w:ascii="Times New Roman" w:cs="Times New Roman" w:hAnsi="Times New Roman"/>
          <w:color w:val="000000"/>
          <w:sz w:val="24"/>
          <w:szCs w:val="24"/>
        </w:rPr>
        <w:t xml:space="preserve"> the reputation of the data. Moreover, the small number of BOM teachers mean</w:t>
      </w:r>
      <w:r>
        <w:rPr>
          <w:rFonts w:ascii="Times New Roman" w:cs="Times New Roman" w:hAnsi="Times New Roman"/>
          <w:color w:val="000000"/>
          <w:sz w:val="24"/>
          <w:szCs w:val="24"/>
        </w:rPr>
        <w:t>t</w:t>
      </w:r>
      <w:r>
        <w:rPr>
          <w:rFonts w:ascii="Times New Roman" w:cs="Times New Roman" w:hAnsi="Times New Roman"/>
          <w:color w:val="000000"/>
          <w:sz w:val="24"/>
          <w:szCs w:val="24"/>
        </w:rPr>
        <w:t xml:space="preserve"> that the sampled schools rely on contractual or temporary staff that is limited and is in line with government policies to standardize staffing in government institutions.</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w:t>
      </w:r>
    </w:p>
    <w:p>
      <w:pPr>
        <w:pStyle w:val="style0"/>
        <w:spacing w:after="200" w:lineRule="auto" w:line="276"/>
        <w:rPr>
          <w:rFonts w:ascii="Times New Roman" w:cs="Times New Roman" w:hAnsi="Times New Roman"/>
          <w:b/>
          <w:color w:val="000000"/>
          <w:sz w:val="24"/>
          <w:szCs w:val="24"/>
        </w:rPr>
      </w:pPr>
      <w:r>
        <w:rPr>
          <w:rFonts w:ascii="Times New Roman" w:cs="Times New Roman" w:hAnsi="Times New Roman"/>
          <w:b/>
          <w:color w:val="000000"/>
          <w:sz w:val="24"/>
          <w:szCs w:val="24"/>
        </w:rPr>
        <w:br w:type="page"/>
      </w:r>
    </w:p>
    <w:p>
      <w:pPr>
        <w:pStyle w:val="style179"/>
        <w:numPr>
          <w:ilvl w:val="2"/>
          <w:numId w:val="22"/>
        </w:numPr>
        <w:spacing w:before="240" w:after="240" w:lineRule="auto" w:line="480"/>
        <w:jc w:val="both"/>
        <w:contextualSpacing w:val="false"/>
        <w:rPr>
          <w:rFonts w:ascii="Times New Roman" w:cs="Times New Roman" w:hAnsi="Times New Roman"/>
          <w:b/>
          <w:color w:val="000000"/>
          <w:sz w:val="24"/>
          <w:szCs w:val="24"/>
        </w:rPr>
      </w:pPr>
      <w:r>
        <w:rPr>
          <w:rFonts w:ascii="Times New Roman" w:cs="Times New Roman" w:hAnsi="Times New Roman"/>
          <w:b/>
          <w:color w:val="000000"/>
          <w:sz w:val="24"/>
          <w:szCs w:val="24"/>
        </w:rPr>
        <w:t>Teaching</w:t>
      </w:r>
      <w:r>
        <w:rPr>
          <w:rFonts w:ascii="Times New Roman" w:cs="Times New Roman" w:hAnsi="Times New Roman"/>
          <w:b/>
          <w:color w:val="000000"/>
          <w:sz w:val="24"/>
          <w:szCs w:val="24"/>
        </w:rPr>
        <w:t xml:space="preserve"> Experience of Teachers </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researcher further sought to determine the teaching experience of the teachers to understand the level of professional exposure represented in the study sample. Table 6 presents the findings on teachers’ years of experience.</w:t>
      </w:r>
    </w:p>
    <w:bookmarkStart w:id="136" w:name="_Toc216299139"/>
    <w:p>
      <w:pPr>
        <w:pStyle w:val="style4104"/>
        <w:rPr>
          <w:i w:val="false"/>
        </w:rPr>
      </w:pPr>
      <w:r>
        <w:rPr>
          <w:b/>
          <w:i w:val="false"/>
        </w:rPr>
        <w:t xml:space="preserve">Table </w:t>
      </w:r>
      <w:r>
        <w:rPr>
          <w:b/>
          <w:i w:val="false"/>
        </w:rPr>
        <w:t>6</w:t>
      </w:r>
      <w:r>
        <w:rPr>
          <w:i w:val="false"/>
        </w:rPr>
        <w:t>:</w:t>
      </w:r>
      <w:bookmarkEnd w:id="136"/>
      <w:r>
        <w:rPr>
          <w:i w:val="false"/>
        </w:rPr>
        <w:t xml:space="preserve"> </w:t>
      </w:r>
    </w:p>
    <w:bookmarkStart w:id="137" w:name="_Toc216299140"/>
    <w:p>
      <w:pPr>
        <w:pStyle w:val="style4104"/>
        <w:rPr/>
      </w:pPr>
      <w:r>
        <w:t>Teachers Experience in Years</w:t>
      </w:r>
      <w:bookmarkEnd w:id="137"/>
      <w:r>
        <w:t xml:space="preserve"> </w:t>
      </w:r>
    </w:p>
    <w:tbl>
      <w:tblPr>
        <w:tblStyle w:val="style154"/>
        <w:tblW w:w="0" w:type="auto"/>
        <w:tblInd w:w="108"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672"/>
        <w:gridCol w:w="2880"/>
        <w:gridCol w:w="2808"/>
      </w:tblGrid>
      <w:tr>
        <w:trPr/>
        <w:tc>
          <w:tcPr>
            <w:tcW w:w="3672" w:type="dxa"/>
            <w:tcBorders>
              <w:top w:val="single" w:sz="12" w:space="0" w:color="auto"/>
              <w:bottom w:val="single" w:sz="12" w:space="0" w:color="auto"/>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 xml:space="preserve">Teachers </w:t>
            </w:r>
            <w:r>
              <w:rPr>
                <w:rFonts w:ascii="Times New Roman" w:cs="Times New Roman" w:hAnsi="Times New Roman"/>
                <w:color w:val="000000"/>
                <w:sz w:val="24"/>
                <w:szCs w:val="24"/>
              </w:rPr>
              <w:t xml:space="preserve">Experience in Years </w:t>
            </w:r>
          </w:p>
        </w:tc>
        <w:tc>
          <w:tcPr>
            <w:tcW w:w="2880" w:type="dxa"/>
            <w:tcBorders>
              <w:top w:val="single" w:sz="12" w:space="0" w:color="auto"/>
              <w:bottom w:val="single" w:sz="12" w:space="0" w:color="auto"/>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Frequency</w:t>
            </w:r>
          </w:p>
        </w:tc>
        <w:tc>
          <w:tcPr>
            <w:tcW w:w="2808" w:type="dxa"/>
            <w:tcBorders>
              <w:top w:val="single" w:sz="12" w:space="0" w:color="auto"/>
              <w:bottom w:val="single" w:sz="12" w:space="0" w:color="auto"/>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Percent (%)</w:t>
            </w:r>
          </w:p>
        </w:tc>
      </w:tr>
      <w:tr>
        <w:tblPrEx/>
        <w:trPr/>
        <w:tc>
          <w:tcPr>
            <w:tcW w:w="3672" w:type="dxa"/>
            <w:tcBorders>
              <w:top w:val="single" w:sz="12" w:space="0" w:color="auto"/>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Less than 5 years</w:t>
            </w:r>
          </w:p>
        </w:tc>
        <w:tc>
          <w:tcPr>
            <w:tcW w:w="2880" w:type="dxa"/>
            <w:tcBorders>
              <w:top w:val="single" w:sz="12" w:space="0" w:color="auto"/>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38</w:t>
            </w:r>
          </w:p>
        </w:tc>
        <w:tc>
          <w:tcPr>
            <w:tcW w:w="2808" w:type="dxa"/>
            <w:tcBorders>
              <w:top w:val="single" w:sz="12" w:space="0" w:color="auto"/>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54.3</w:t>
            </w:r>
          </w:p>
        </w:tc>
      </w:tr>
      <w:tr>
        <w:tblPrEx/>
        <w:trPr/>
        <w:tc>
          <w:tcPr>
            <w:tcW w:w="3672" w:type="dxa"/>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5-10 years</w:t>
            </w:r>
          </w:p>
        </w:tc>
        <w:tc>
          <w:tcPr>
            <w:tcW w:w="2880" w:type="dxa"/>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19</w:t>
            </w:r>
          </w:p>
        </w:tc>
        <w:tc>
          <w:tcPr>
            <w:tcW w:w="2808" w:type="dxa"/>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27.1</w:t>
            </w:r>
          </w:p>
        </w:tc>
      </w:tr>
      <w:tr>
        <w:tblPrEx/>
        <w:trPr/>
        <w:tc>
          <w:tcPr>
            <w:tcW w:w="3672" w:type="dxa"/>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11-15 years</w:t>
            </w:r>
          </w:p>
        </w:tc>
        <w:tc>
          <w:tcPr>
            <w:tcW w:w="2880" w:type="dxa"/>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9</w:t>
            </w:r>
          </w:p>
        </w:tc>
        <w:tc>
          <w:tcPr>
            <w:tcW w:w="2808" w:type="dxa"/>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12.9</w:t>
            </w:r>
          </w:p>
        </w:tc>
      </w:tr>
      <w:tr>
        <w:tblPrEx/>
        <w:trPr/>
        <w:tc>
          <w:tcPr>
            <w:tcW w:w="3672" w:type="dxa"/>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Over 15 years</w:t>
            </w:r>
          </w:p>
        </w:tc>
        <w:tc>
          <w:tcPr>
            <w:tcW w:w="2880" w:type="dxa"/>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4</w:t>
            </w:r>
          </w:p>
        </w:tc>
        <w:tc>
          <w:tcPr>
            <w:tcW w:w="2808" w:type="dxa"/>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5.7</w:t>
            </w:r>
          </w:p>
        </w:tc>
      </w:tr>
      <w:tr>
        <w:tblPrEx/>
        <w:trPr/>
        <w:tc>
          <w:tcPr>
            <w:tcW w:w="3672" w:type="dxa"/>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Total</w:t>
            </w:r>
          </w:p>
        </w:tc>
        <w:tc>
          <w:tcPr>
            <w:tcW w:w="2880" w:type="dxa"/>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2808" w:type="dxa"/>
            <w:tcBorders/>
            <w:vAlign w:val="center"/>
          </w:tcPr>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100.0</w:t>
            </w:r>
          </w:p>
        </w:tc>
      </w:tr>
    </w:tbl>
    <w:p>
      <w:pPr>
        <w:pStyle w:val="style0"/>
        <w:spacing w:before="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According to Table 6, a majority of the respondents (54.3%) had less than five years of teaching experience. Another 27.1% had between 5-10 years of experience, while 12.9% had taught for 11–15 years. Only 5.7% had accumulated Over 15 years of teaching experience. These findings indicate that the teaching workforce in the sampled schools is predominantly composed of relatively early-career teachers. The prevalence of teachers with fewer than ten years of experience suggests a youthful staff profile, which may reflect recent recruitment trends within public schools</w:t>
      </w:r>
      <w:r>
        <w:rPr>
          <w:rFonts w:ascii="Times New Roman" w:cs="Times New Roman" w:hAnsi="Times New Roman"/>
          <w:color w:val="000000"/>
          <w:sz w:val="24"/>
          <w:szCs w:val="24"/>
        </w:rPr>
        <w:t xml:space="preserve"> as well as incidences of the replacements for the experienced teachers who retired or resorted to resign for other engagements</w:t>
      </w:r>
      <w:r>
        <w:rPr>
          <w:rFonts w:ascii="Times New Roman" w:cs="Times New Roman" w:hAnsi="Times New Roman"/>
          <w:color w:val="000000"/>
          <w:sz w:val="24"/>
          <w:szCs w:val="24"/>
        </w:rPr>
        <w:t>. The smaller proportion of teachers with over fifteen years of experience indicates limited representation of long-serving educators in the study area. This distribution provides useful context for interpreting the perspectives gathered, as teaching experience often shapes classroom management approaches, learner engagement strategies and responses to school-level factors that may contribute to absenteeism.</w:t>
      </w:r>
    </w:p>
    <w:bookmarkStart w:id="138" w:name="_Toc216513826"/>
    <w:p>
      <w:pPr>
        <w:pStyle w:val="style1"/>
        <w:numPr>
          <w:ilvl w:val="1"/>
          <w:numId w:val="22"/>
        </w:numPr>
        <w:spacing w:before="240" w:after="240"/>
        <w:jc w:val="both"/>
        <w:rPr>
          <w:color w:val="000000"/>
        </w:rPr>
      </w:pPr>
      <w:r>
        <w:rPr>
          <w:color w:val="000000"/>
        </w:rPr>
        <w:t>Socio-Economic Factors and</w:t>
      </w:r>
      <w:r>
        <w:rPr>
          <w:color w:val="000000"/>
        </w:rPr>
        <w:t xml:space="preserve"> Learners’ Absenteeism</w:t>
      </w:r>
      <w:bookmarkEnd w:id="138"/>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The first objective of the study aimed at </w:t>
      </w:r>
      <w:r>
        <w:rPr>
          <w:rFonts w:ascii="Times New Roman" w:cs="Times New Roman" w:hAnsi="Times New Roman"/>
          <w:color w:val="000000"/>
          <w:sz w:val="24"/>
          <w:szCs w:val="24"/>
        </w:rPr>
        <w:t>assessing the correlation between socio-economic factors and learners’ absenteeism in Primary schools in Bangal sub-county, Tana River County, Kenya.</w:t>
      </w:r>
      <w:r>
        <w:rPr>
          <w:rFonts w:ascii="Times New Roman" w:cs="Times New Roman" w:hAnsi="Times New Roman"/>
          <w:color w:val="000000"/>
          <w:sz w:val="24"/>
          <w:szCs w:val="24"/>
        </w:rPr>
        <w:t xml:space="preserve"> To achieve this objective, a set of statements in the form of a five-point Likert scale were posed to teachers to indicate the extent to which socio-economic factors contribute to learners’ absenteeism. The responses were coded such that 1 represented Strongly Disagree, 2 represented Disagree, 3 represent</w:t>
      </w:r>
      <w:r>
        <w:rPr>
          <w:rFonts w:ascii="Times New Roman" w:cs="Times New Roman" w:hAnsi="Times New Roman"/>
          <w:color w:val="000000"/>
          <w:sz w:val="24"/>
          <w:szCs w:val="24"/>
        </w:rPr>
        <w:t>ed Neutral, 4 represented Agree</w:t>
      </w:r>
      <w:r>
        <w:rPr>
          <w:rFonts w:ascii="Times New Roman" w:cs="Times New Roman" w:hAnsi="Times New Roman"/>
          <w:color w:val="000000"/>
          <w:sz w:val="24"/>
          <w:szCs w:val="24"/>
        </w:rPr>
        <w:t xml:space="preserve"> and 5 represented Strongly Agree. Table 7 presents the proportion of teacher responses, the mean ratings and the standard deviations for each statement.</w:t>
      </w:r>
    </w:p>
    <w:bookmarkStart w:id="139" w:name="_Toc216299141"/>
    <w:p>
      <w:pPr>
        <w:pStyle w:val="style4104"/>
        <w:rPr>
          <w:i w:val="false"/>
        </w:rPr>
      </w:pPr>
      <w:r>
        <w:rPr>
          <w:b/>
          <w:i w:val="false"/>
        </w:rPr>
        <w:t>Table 7</w:t>
      </w:r>
      <w:r>
        <w:rPr>
          <w:i w:val="false"/>
        </w:rPr>
        <w:t>:</w:t>
      </w:r>
      <w:bookmarkEnd w:id="139"/>
      <w:r>
        <w:rPr>
          <w:i w:val="false"/>
        </w:rPr>
        <w:t xml:space="preserve"> </w:t>
      </w:r>
    </w:p>
    <w:bookmarkStart w:id="140" w:name="_Toc216299142"/>
    <w:p>
      <w:pPr>
        <w:pStyle w:val="style4104"/>
        <w:rPr/>
      </w:pPr>
      <w:r>
        <w:t>Socio-Economic Factors According to Teachers</w:t>
      </w:r>
      <w:bookmarkEnd w:id="140"/>
      <w:r>
        <w:t xml:space="preserve"> </w:t>
      </w:r>
    </w:p>
    <w:tbl>
      <w:tblPr>
        <w:tblW w:w="9495" w:type="dxa"/>
        <w:tblBorders>
          <w:top w:val="single" w:sz="12" w:space="0" w:color="auto"/>
          <w:bottom w:val="single" w:sz="12" w:space="0" w:color="auto"/>
        </w:tblBorders>
        <w:tblLayout w:type="fixed"/>
        <w:tblCellMar>
          <w:left w:w="0" w:type="dxa"/>
          <w:right w:w="0" w:type="dxa"/>
        </w:tblCellMar>
        <w:tblLook w:val="0000" w:firstRow="0" w:lastRow="0" w:firstColumn="0" w:lastColumn="0" w:noHBand="0" w:noVBand="0"/>
      </w:tblPr>
      <w:tblGrid>
        <w:gridCol w:w="5535"/>
        <w:gridCol w:w="900"/>
        <w:gridCol w:w="720"/>
        <w:gridCol w:w="720"/>
        <w:gridCol w:w="720"/>
        <w:gridCol w:w="900"/>
      </w:tblGrid>
      <w:tr>
        <w:trPr>
          <w:cantSplit/>
        </w:trPr>
        <w:tc>
          <w:tcPr>
            <w:tcW w:w="5535" w:type="dxa"/>
            <w:tcBorders>
              <w:bottom w:val="single" w:sz="12" w:space="0" w:color="auto"/>
            </w:tcBorders>
            <w:shd w:val="clear" w:color="auto" w:fill="ffffff"/>
          </w:tcPr>
          <w:p>
            <w:pPr>
              <w:pStyle w:val="style0"/>
              <w:autoSpaceDE w:val="false"/>
              <w:autoSpaceDN w:val="false"/>
              <w:adjustRightInd w:val="false"/>
              <w:spacing w:after="0" w:lineRule="auto" w:line="36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 xml:space="preserve">Statements on Socio-Economic Factors </w:t>
            </w:r>
          </w:p>
        </w:tc>
        <w:tc>
          <w:tcPr>
            <w:tcW w:w="900" w:type="dxa"/>
            <w:tcBorders>
              <w:bottom w:val="single" w:sz="12" w:space="0" w:color="auto"/>
            </w:tcBorders>
            <w:shd w:val="clear" w:color="auto" w:fill="ffffff"/>
          </w:tcPr>
          <w:p>
            <w:pPr>
              <w:pStyle w:val="style0"/>
              <w:autoSpaceDE w:val="false"/>
              <w:autoSpaceDN w:val="false"/>
              <w:adjustRightInd w:val="false"/>
              <w:spacing w:after="0" w:lineRule="auto" w:line="36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N</w:t>
            </w:r>
          </w:p>
        </w:tc>
        <w:tc>
          <w:tcPr>
            <w:tcW w:w="720" w:type="dxa"/>
            <w:tcBorders>
              <w:bottom w:val="single" w:sz="12" w:space="0" w:color="auto"/>
            </w:tcBorders>
            <w:shd w:val="clear" w:color="auto" w:fill="ffffff"/>
          </w:tcPr>
          <w:p>
            <w:pPr>
              <w:pStyle w:val="style0"/>
              <w:autoSpaceDE w:val="false"/>
              <w:autoSpaceDN w:val="false"/>
              <w:adjustRightInd w:val="false"/>
              <w:spacing w:after="0" w:lineRule="auto" w:line="36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Min</w:t>
            </w:r>
            <w:r>
              <w:rPr>
                <w:rFonts w:ascii="Times New Roman" w:cs="Times New Roman" w:hAnsi="Times New Roman"/>
                <w:color w:val="000000"/>
                <w:sz w:val="24"/>
                <w:szCs w:val="24"/>
              </w:rPr>
              <w:t>.</w:t>
            </w:r>
          </w:p>
        </w:tc>
        <w:tc>
          <w:tcPr>
            <w:tcW w:w="720" w:type="dxa"/>
            <w:tcBorders>
              <w:bottom w:val="single" w:sz="12" w:space="0" w:color="auto"/>
            </w:tcBorders>
            <w:shd w:val="clear" w:color="auto" w:fill="ffffff"/>
          </w:tcPr>
          <w:p>
            <w:pPr>
              <w:pStyle w:val="style0"/>
              <w:autoSpaceDE w:val="false"/>
              <w:autoSpaceDN w:val="false"/>
              <w:adjustRightInd w:val="false"/>
              <w:spacing w:after="0" w:lineRule="auto" w:line="36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Max</w:t>
            </w:r>
            <w:r>
              <w:rPr>
                <w:rFonts w:ascii="Times New Roman" w:cs="Times New Roman" w:hAnsi="Times New Roman"/>
                <w:color w:val="000000"/>
                <w:sz w:val="24"/>
                <w:szCs w:val="24"/>
              </w:rPr>
              <w:t>.</w:t>
            </w:r>
          </w:p>
        </w:tc>
        <w:tc>
          <w:tcPr>
            <w:tcW w:w="720" w:type="dxa"/>
            <w:tcBorders>
              <w:bottom w:val="single" w:sz="12" w:space="0" w:color="auto"/>
            </w:tcBorders>
            <w:shd w:val="clear" w:color="auto" w:fill="ffffff"/>
          </w:tcPr>
          <w:p>
            <w:pPr>
              <w:pStyle w:val="style0"/>
              <w:autoSpaceDE w:val="false"/>
              <w:autoSpaceDN w:val="false"/>
              <w:adjustRightInd w:val="false"/>
              <w:spacing w:after="0" w:lineRule="auto" w:line="36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Mean</w:t>
            </w:r>
          </w:p>
        </w:tc>
        <w:tc>
          <w:tcPr>
            <w:tcW w:w="900" w:type="dxa"/>
            <w:tcBorders>
              <w:bottom w:val="single" w:sz="12" w:space="0" w:color="auto"/>
            </w:tcBorders>
            <w:shd w:val="clear" w:color="auto" w:fill="ffffff"/>
          </w:tcPr>
          <w:p>
            <w:pPr>
              <w:pStyle w:val="style0"/>
              <w:autoSpaceDE w:val="false"/>
              <w:autoSpaceDN w:val="false"/>
              <w:adjustRightInd w:val="false"/>
              <w:spacing w:after="0" w:lineRule="auto" w:line="36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Std. Dev</w:t>
            </w:r>
            <w:r>
              <w:rPr>
                <w:rFonts w:ascii="Times New Roman" w:cs="Times New Roman" w:hAnsi="Times New Roman"/>
                <w:color w:val="000000"/>
                <w:sz w:val="24"/>
                <w:szCs w:val="24"/>
              </w:rPr>
              <w:t>.</w:t>
            </w:r>
          </w:p>
        </w:tc>
      </w:tr>
      <w:tr>
        <w:tblPrEx/>
        <w:trPr>
          <w:cantSplit/>
        </w:trPr>
        <w:tc>
          <w:tcPr>
            <w:tcW w:w="5535" w:type="dxa"/>
            <w:tcBorders>
              <w:top w:val="single" w:sz="12" w:space="0" w:color="auto"/>
              <w:bottom w:val="nil"/>
            </w:tcBorders>
            <w:shd w:val="clear" w:color="auto" w:fill="ffffff"/>
            <w:vAlign w:val="center"/>
          </w:tcPr>
          <w:p>
            <w:pPr>
              <w:pStyle w:val="style0"/>
              <w:autoSpaceDE w:val="false"/>
              <w:autoSpaceDN w:val="false"/>
              <w:adjustRightInd w:val="false"/>
              <w:spacing w:after="0" w:lineRule="auto" w:line="48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Financial challenges in learner's families contribute significantly to absenteeism</w:t>
            </w:r>
          </w:p>
        </w:tc>
        <w:tc>
          <w:tcPr>
            <w:tcW w:w="900" w:type="dxa"/>
            <w:tcBorders>
              <w:top w:val="single" w:sz="12" w:space="0" w:color="auto"/>
              <w:bottom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720" w:type="dxa"/>
            <w:tcBorders>
              <w:top w:val="single" w:sz="12" w:space="0" w:color="auto"/>
              <w:bottom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w:t>
            </w:r>
          </w:p>
        </w:tc>
        <w:tc>
          <w:tcPr>
            <w:tcW w:w="720" w:type="dxa"/>
            <w:tcBorders>
              <w:top w:val="single" w:sz="12" w:space="0" w:color="auto"/>
              <w:bottom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5</w:t>
            </w:r>
          </w:p>
        </w:tc>
        <w:tc>
          <w:tcPr>
            <w:tcW w:w="720" w:type="dxa"/>
            <w:tcBorders>
              <w:top w:val="single" w:sz="12" w:space="0" w:color="auto"/>
              <w:bottom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4.14</w:t>
            </w:r>
          </w:p>
        </w:tc>
        <w:tc>
          <w:tcPr>
            <w:tcW w:w="900" w:type="dxa"/>
            <w:tcBorders>
              <w:top w:val="single" w:sz="12" w:space="0" w:color="auto"/>
              <w:bottom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1.207</w:t>
            </w:r>
          </w:p>
        </w:tc>
      </w:tr>
      <w:tr>
        <w:tblPrEx/>
        <w:trPr>
          <w:cantSplit/>
        </w:trPr>
        <w:tc>
          <w:tcPr>
            <w:tcW w:w="5535" w:type="dxa"/>
            <w:tcBorders>
              <w:top w:val="nil"/>
            </w:tcBorders>
            <w:shd w:val="clear" w:color="auto" w:fill="ffffff"/>
            <w:vAlign w:val="center"/>
          </w:tcPr>
          <w:p>
            <w:pPr>
              <w:pStyle w:val="style0"/>
              <w:autoSpaceDE w:val="false"/>
              <w:autoSpaceDN w:val="false"/>
              <w:adjustRightInd w:val="false"/>
              <w:spacing w:after="0" w:lineRule="auto" w:line="48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Learners from low-income households are likely to miss school</w:t>
            </w:r>
          </w:p>
        </w:tc>
        <w:tc>
          <w:tcPr>
            <w:tcW w:w="900" w:type="dxa"/>
            <w:tcBorders>
              <w:top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720" w:type="dxa"/>
            <w:tcBorders>
              <w:top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w:t>
            </w:r>
          </w:p>
        </w:tc>
        <w:tc>
          <w:tcPr>
            <w:tcW w:w="720" w:type="dxa"/>
            <w:tcBorders>
              <w:top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5</w:t>
            </w:r>
          </w:p>
        </w:tc>
        <w:tc>
          <w:tcPr>
            <w:tcW w:w="720" w:type="dxa"/>
            <w:tcBorders>
              <w:top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4.06</w:t>
            </w:r>
          </w:p>
        </w:tc>
        <w:tc>
          <w:tcPr>
            <w:tcW w:w="900" w:type="dxa"/>
            <w:tcBorders>
              <w:top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1.089</w:t>
            </w:r>
          </w:p>
        </w:tc>
      </w:tr>
      <w:tr>
        <w:tblPrEx/>
        <w:trPr>
          <w:cantSplit/>
        </w:trPr>
        <w:tc>
          <w:tcPr>
            <w:tcW w:w="5535" w:type="dxa"/>
            <w:tcBorders/>
            <w:shd w:val="clear" w:color="auto" w:fill="ffffff"/>
            <w:vAlign w:val="center"/>
          </w:tcPr>
          <w:p>
            <w:pPr>
              <w:pStyle w:val="style0"/>
              <w:autoSpaceDE w:val="false"/>
              <w:autoSpaceDN w:val="false"/>
              <w:adjustRightInd w:val="false"/>
              <w:spacing w:after="0" w:lineRule="auto" w:line="48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Absenteeism is observed frequently due to students being required to work or support family income.</w:t>
            </w:r>
          </w:p>
        </w:tc>
        <w:tc>
          <w:tcPr>
            <w:tcW w:w="900" w:type="dxa"/>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720" w:type="dxa"/>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w:t>
            </w:r>
          </w:p>
        </w:tc>
        <w:tc>
          <w:tcPr>
            <w:tcW w:w="720" w:type="dxa"/>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5</w:t>
            </w:r>
          </w:p>
        </w:tc>
        <w:tc>
          <w:tcPr>
            <w:tcW w:w="720" w:type="dxa"/>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3.73</w:t>
            </w:r>
          </w:p>
        </w:tc>
        <w:tc>
          <w:tcPr>
            <w:tcW w:w="900" w:type="dxa"/>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.992</w:t>
            </w:r>
          </w:p>
        </w:tc>
      </w:tr>
      <w:tr>
        <w:tblPrEx/>
        <w:trPr>
          <w:cantSplit/>
        </w:trPr>
        <w:tc>
          <w:tcPr>
            <w:tcW w:w="5535" w:type="dxa"/>
            <w:tcBorders/>
            <w:shd w:val="clear" w:color="auto" w:fill="ffffff"/>
            <w:vAlign w:val="center"/>
          </w:tcPr>
          <w:p>
            <w:pPr>
              <w:pStyle w:val="style0"/>
              <w:autoSpaceDE w:val="false"/>
              <w:autoSpaceDN w:val="false"/>
              <w:adjustRightInd w:val="false"/>
              <w:spacing w:after="0" w:lineRule="auto" w:line="48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 xml:space="preserve">School related costs (Uniform, books, etc.) discourage learners attendance in your </w:t>
            </w:r>
            <w:r>
              <w:rPr>
                <w:rFonts w:ascii="Times New Roman" w:cs="Times New Roman" w:hAnsi="Times New Roman"/>
                <w:color w:val="000000"/>
                <w:sz w:val="24"/>
                <w:szCs w:val="24"/>
              </w:rPr>
              <w:t>school</w:t>
            </w:r>
          </w:p>
        </w:tc>
        <w:tc>
          <w:tcPr>
            <w:tcW w:w="900" w:type="dxa"/>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720" w:type="dxa"/>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w:t>
            </w:r>
          </w:p>
        </w:tc>
        <w:tc>
          <w:tcPr>
            <w:tcW w:w="720" w:type="dxa"/>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5</w:t>
            </w:r>
          </w:p>
        </w:tc>
        <w:tc>
          <w:tcPr>
            <w:tcW w:w="720" w:type="dxa"/>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3.96</w:t>
            </w:r>
          </w:p>
        </w:tc>
        <w:tc>
          <w:tcPr>
            <w:tcW w:w="900" w:type="dxa"/>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1.117</w:t>
            </w:r>
          </w:p>
        </w:tc>
      </w:tr>
    </w:tbl>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According to Table 7, the statement “Financial challenges in learner's families contribute significantly to absenteeism” recorded the highest mean of 4.14, showing strong agreement among teachers that economic hardship is a major contributor to absenteeism. </w:t>
      </w:r>
      <w:r>
        <w:rPr>
          <w:rFonts w:ascii="Times New Roman" w:cs="Times New Roman" w:hAnsi="Times New Roman"/>
          <w:color w:val="000000"/>
          <w:sz w:val="24"/>
          <w:szCs w:val="24"/>
        </w:rPr>
        <w:t>The standard deviation of 1.207 however means that most were inclined towards agreement, but there was also observable variation in perceptions, implying that some teachers might have experienced different degrees of influence based on the socio-economic diversity of their schools. Equally, the mean of the statement “Learners in low-income households are likely to miss school” was 4.06 with a standard deviation of 1.089. This not only indicates general agreement, but also shows relative variability, meaning that although poverty was strongly recognized as a predictor of absenteeism, its severity can vary across households and situations</w:t>
      </w:r>
      <w:r>
        <w:rPr>
          <w:rFonts w:ascii="Times New Roman" w:cs="Times New Roman" w:hAnsi="Times New Roman"/>
          <w:color w:val="000000"/>
          <w:sz w:val="24"/>
          <w:szCs w:val="24"/>
        </w:rPr>
        <w:t>.</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mean of the statement, “Absenteeism, is seen to occur frequently because students are compelled to work or contribute to family income” with a standard deviation of 0.992, which is relatively low. This indicates that educators were more consistent in their perceptions of child labor duties as a variable, with the majority of them concurring that these duties often disrupt school attendance. Conversely, the statement “School related costs (Uniform, books, etc.) discourage learners attendance in your school” had a mean of 3.96 with a standard deviation of 1.117. The greater variance here reflects the fact that although most teachers shared the opinion that indirect costs are a barrier to attendance, some might well have viewed the issue differently, perhaps because their respective schools either provided programs to support the need to incur such costs or because an initiative existed in their community that would have absorbed the cost</w:t>
      </w:r>
      <w:r>
        <w:rPr>
          <w:rFonts w:ascii="Times New Roman" w:cs="Times New Roman" w:hAnsi="Times New Roman"/>
          <w:color w:val="000000"/>
          <w:sz w:val="24"/>
          <w:szCs w:val="24"/>
        </w:rPr>
        <w:t>.</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aggregate result of the four socio-economic items generated a final mean score of 3.97 which implies that the socio-economic factors are considered to be of major influence on the absenteeism of learners in primary schools in Bangal Sub-County by the teachers. The close mean value of 4.00 indicates that these individual factors when combined together i.e. financial challenges, low household income, child labor obligations, and school related costs teachers always see these economic stressors as a powerful cause of absenteeism. This overall average thus confirms that socio-economic miseries are not single-subject matters but they work in unison to restrict steady school attendance among students. The aggregate standard deviation of 1.10 implies average variability in responses of teachers. Such dispersion would suggest that most of the teachers shared the same opinion on the impact of socio-economic factors, although their experiences were not fully homogenous. The moderate SD indicates that the selection of school location, relative economic diversity of the families that use the school, and the variation in livelihoods of the communities might have been some of the factors that led to a slightly different perception among the respondents. Schools that are nearer to the trading hubs or less impoverished cluster might also be affected by such pressures in different ways, hence, yielding some minor dispersion in the answers. The findings are consistent with the research conducted by Matage and Begi (2017), who developed the fact that the economic hardship, the absence of the basic needs, and the necessity to help the family in economic affairs played a significant role in absenteeism among students in lower primary schools in Masaba Sub-County. Likewise, the results of the current research are consistent with Lematango and Kathuri (2021), who have also noted that the factors of absenteeism in public primary schools in Oldonyiro Division, Isiolo County were poverty, household resource constraints, and economic vulnerability.</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w:t>
      </w:r>
    </w:p>
    <w:p>
      <w:pPr>
        <w:pStyle w:val="style0"/>
        <w:spacing w:before="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teachers were requested to give their opinions on the impact of poverty on the attendance of learners, a number of themes were identified during the responses. It was one of the most prevailing themes as the basic needs like food, clothes, and learning materials were lacking. Teachers pointed out that there are usually a lot of learners who arrive at school hungry without having had supper or breakfast, and that results in poor concentration, tiredness and discouragement. Not only does this deprivation of food also impact on their concentration in the classroom but also causes truancy and absenteeism as the learners might opt to skip school instead of being hungry in the classroom. Moreover, the lack of such basic needs as school uniforms, books, pens, and other stationery was also mentioned repeatedly as a contributing factor to irregular attendance. Students in poor families are always embarrassed or disappointed when they lack these basic needs and this reduces their self esteem and discourages their learning interest. This theme highlights the direct correlation between poverty and basic needs that are not met and the lack of school participation.</w:t>
      </w:r>
    </w:p>
    <w:p>
      <w:pPr>
        <w:pStyle w:val="style0"/>
        <w:spacing w:before="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other theme that stood out was the economic burden of learners in poor families. Teachers observed that most children are forced to engage in income-generating activities to help their families including working in rice fields, maize farms or collecting bottles and scrap metal. In other instances, the learners may even become breadwinners especially in families headed by children or those with teenage pregnancies and early marriages. Such participation in family income activities is bound to affect school attendance because learners are more focused on survival rather than education. The answers showed that poverty forces learners to skip classes or even drop out, some schools reported absenteeism rates of up to 90 percent in children of low-income families. This theme is to show how poverty compels learners to take the role of adults too soon and hence diminishes the chances of having a regular schooling and academic achievement.</w:t>
      </w:r>
    </w:p>
    <w:p>
      <w:pPr>
        <w:pStyle w:val="style0"/>
        <w:spacing w:before="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third theme was how poverty affected learners psychologically and socially. Educators noticed that poverty can be the cause of low self-esteem, stress, and negative attitude to education. Students who cannot afford food, clothes or even school supplies can feel inferior as compared to their fellow students and will not want to go to school on a regular basis. Moreover, drug abuse, early marriage and teenage pregnancy which are related to poverty were found to be additional factors that hamper attendance as well as learning. These social problems exacerbate the impact of poverty by establishing other obstacles to education, which eventually leads to high dropout rates and low academic achievement. Educators stressed that poverty not only impacts the learners physically by denying them of fundamental needs but also interferes with the emotional state of the learners and their desire to get an education.</w:t>
      </w:r>
    </w:p>
    <w:p>
      <w:pPr>
        <w:pStyle w:val="style0"/>
        <w:spacing w:before="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Lastly, the responses emphasized the contribution of parents and guardians to the attendance of learners. Teachers noted that there are some parents who cannot afford school fees or basic needs of their children because of their low or no income. In some situations, parents do not attach importance to education, and they view it as more of a priority than survival. This parental neglect and inadequate investment in education also intensifies the absence of attendance, since learners are forced to support themselves or they are even disheartened to attend school. The net result of all these is a decline in the size of learners in school, high rate of absenteeism and eventual low performance</w:t>
      </w:r>
      <w:r>
        <w:rPr>
          <w:rFonts w:ascii="Times New Roman" w:cs="Times New Roman" w:hAnsi="Times New Roman"/>
          <w:color w:val="000000"/>
          <w:sz w:val="24"/>
          <w:szCs w:val="24"/>
        </w:rPr>
        <w:t>.</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Thematic analysis of seven headteachers interviewed showed that economic factors are very influential in the learning absenteeism in Bangal Sub-County and that three major themes have been produced that are primarily poverty and inability to afford basic schooling, child labor and income-generating activities and seasonal economic shocks. The theme that was the most prevalent in all the interviews was that families could not afford basic school supplies even when textbooks were provided. Parents are always found to be finding it hard to give the basic needs of the child like uniforms, pens, writing materials, shoes, and even food and that is why the pupils do not or cannot attend school. The lack of such items makes learners feel ashamed and embarrassed and makes them prefer to remain at home instead of being subject to possible stigmatisation.</w:t>
      </w:r>
      <w:r>
        <w:rPr>
          <w:rFonts w:ascii="Times New Roman" w:cs="Times New Roman" w:hAnsi="Times New Roman"/>
          <w:color w:val="000000"/>
          <w:sz w:val="24"/>
          <w:szCs w:val="24"/>
        </w:rPr>
        <w:t xml:space="preserve"> As one headteacher poignantly noted, "</w:t>
      </w:r>
      <w:r>
        <w:rPr>
          <w:rFonts w:ascii="Times New Roman" w:cs="Times New Roman" w:hAnsi="Times New Roman"/>
          <w:i/>
          <w:color w:val="000000"/>
          <w:sz w:val="24"/>
          <w:szCs w:val="24"/>
        </w:rPr>
        <w:t>Most parents in the community struggle financially, and this directly affects school attendance. Many families cannot afford basic items like pens, uniforms, or even school bags, which make children feel embarrassed and stay home</w:t>
      </w:r>
      <w:r>
        <w:rPr>
          <w:rFonts w:ascii="Times New Roman" w:cs="Times New Roman" w:hAnsi="Times New Roman"/>
          <w:color w:val="000000"/>
          <w:sz w:val="24"/>
          <w:szCs w:val="24"/>
        </w:rPr>
        <w:t xml:space="preserve">" (HOI 6). </w:t>
      </w:r>
      <w:r>
        <w:rPr>
          <w:rFonts w:ascii="Times New Roman" w:cs="Times New Roman" w:hAnsi="Times New Roman"/>
          <w:color w:val="000000"/>
          <w:sz w:val="24"/>
          <w:szCs w:val="24"/>
        </w:rPr>
        <w:t xml:space="preserve">This emotional aspect of poverty goes beyond the deprivation of material possessions to mental impediments which keep one out of school. This challenge is further worsened by the absence of feeding programs with another headteacher noting </w:t>
      </w:r>
      <w:r>
        <w:rPr>
          <w:rFonts w:ascii="Times New Roman" w:cs="Times New Roman" w:hAnsi="Times New Roman"/>
          <w:color w:val="000000"/>
          <w:sz w:val="24"/>
          <w:szCs w:val="24"/>
        </w:rPr>
        <w:t>that "</w:t>
      </w:r>
      <w:r>
        <w:rPr>
          <w:rFonts w:ascii="Times New Roman" w:cs="Times New Roman" w:hAnsi="Times New Roman"/>
          <w:i/>
          <w:color w:val="000000"/>
          <w:sz w:val="24"/>
          <w:szCs w:val="24"/>
        </w:rPr>
        <w:t>Many children attend school mainly when there is food available through feeding programs. When no meals are provided, attendance drops sharply, especially in the afternoon</w:t>
      </w:r>
      <w:r>
        <w:rPr>
          <w:rFonts w:ascii="Times New Roman" w:cs="Times New Roman" w:hAnsi="Times New Roman"/>
          <w:color w:val="000000"/>
          <w:sz w:val="24"/>
          <w:szCs w:val="24"/>
        </w:rPr>
        <w:t xml:space="preserve">" (HOI 7). </w:t>
      </w:r>
      <w:r>
        <w:rPr>
          <w:rFonts w:ascii="Times New Roman" w:cs="Times New Roman" w:hAnsi="Times New Roman"/>
          <w:color w:val="000000"/>
          <w:sz w:val="24"/>
          <w:szCs w:val="24"/>
        </w:rPr>
        <w:t>Hunger became a major issue as students come to school with an empty stomach, thus influencing their concentration and motivation in school or opt to stay at home altogether to find food or assist their families to get food.</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second theme which was very significant was the direct participation of children in income earning activities in order to sustain the family. In several schools, headteachers said that students were involved in different types of child labor such as fishing, selling charcoal, casual employment, helping in small enterprises like selling vegetables and working in hotels and pastoral activities such as cattle herding. This trend indicates an underlying conflict between short-term economic survival and long-term investment in education, and families tend to choose the first one. One headteacher explained, "</w:t>
      </w:r>
      <w:r>
        <w:rPr>
          <w:rFonts w:ascii="Times New Roman" w:cs="Times New Roman" w:hAnsi="Times New Roman"/>
          <w:i/>
          <w:color w:val="000000"/>
          <w:sz w:val="24"/>
          <w:szCs w:val="24"/>
        </w:rPr>
        <w:t>Some pupils assist parents in small businesses, reducing study time. They help their parents in selling vegetables or even in cooking in small hotels hence they miss school</w:t>
      </w:r>
      <w:r>
        <w:rPr>
          <w:rFonts w:ascii="Times New Roman" w:cs="Times New Roman" w:hAnsi="Times New Roman"/>
          <w:color w:val="000000"/>
          <w:sz w:val="24"/>
          <w:szCs w:val="24"/>
        </w:rPr>
        <w:t>" (HOI 4). The economic value of children, despite their limited role, seems a necessity of family survival in the given situation, which provides a structural barrier to regular school attendance that goes beyond the context of a particular family.</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third important theme was the seasonal economic trends and environmental influences that produce forecastable attendance changes. According to the headteachers, a number of particular triggers were identified: high catches during fishing seasons that led to labor demands, agricultural cycles in need of child labor, droughts that force them to water their livestock over long distances, seasonal floods that wreaked havoc on crops and houses, and nomadic migration after the livestock. These shocks are most severe in pastoral societies where families move with livestock and in times of droughts when survival activities are of absolute priority over education. One headteacher observed that "</w:t>
      </w:r>
      <w:r>
        <w:rPr>
          <w:rFonts w:ascii="Times New Roman" w:cs="Times New Roman" w:hAnsi="Times New Roman"/>
          <w:i/>
          <w:color w:val="000000"/>
          <w:sz w:val="24"/>
          <w:szCs w:val="24"/>
        </w:rPr>
        <w:t>Drought and hunger force pupils to fetch water or herd cattle instead of attending class. Here for the parents the need for survival becomes more important than education</w:t>
      </w:r>
      <w:r>
        <w:rPr>
          <w:rFonts w:ascii="Times New Roman" w:cs="Times New Roman" w:hAnsi="Times New Roman"/>
          <w:color w:val="000000"/>
          <w:sz w:val="24"/>
          <w:szCs w:val="24"/>
        </w:rPr>
        <w:t>" (HOI 3). These disruptions tend to be seasonal, which indicates that the tendencies of absenteeism are to some extent predictable but rooted in economic and ecological conditions of the area, and thus hard to address with simple measures</w:t>
      </w:r>
      <w:r>
        <w:rPr>
          <w:rFonts w:ascii="Times New Roman" w:cs="Times New Roman" w:hAnsi="Times New Roman"/>
          <w:color w:val="000000"/>
          <w:sz w:val="24"/>
          <w:szCs w:val="24"/>
        </w:rPr>
        <w:t>.</w:t>
      </w:r>
    </w:p>
    <w:bookmarkStart w:id="141" w:name="_Toc216513827"/>
    <w:p>
      <w:pPr>
        <w:pStyle w:val="style1"/>
        <w:numPr>
          <w:ilvl w:val="1"/>
          <w:numId w:val="22"/>
        </w:numPr>
        <w:spacing w:before="240" w:after="240"/>
        <w:jc w:val="both"/>
        <w:rPr>
          <w:color w:val="000000"/>
        </w:rPr>
      </w:pPr>
      <w:r>
        <w:rPr>
          <w:color w:val="000000"/>
        </w:rPr>
        <w:t>Cultural Practices and Learners’ Absente</w:t>
      </w:r>
      <w:r>
        <w:rPr>
          <w:color w:val="000000"/>
        </w:rPr>
        <w:t>eism</w:t>
      </w:r>
      <w:bookmarkEnd w:id="141"/>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The second objective of the study worked to </w:t>
      </w:r>
      <w:r>
        <w:rPr>
          <w:rFonts w:ascii="Times New Roman" w:cs="Times New Roman" w:hAnsi="Times New Roman"/>
          <w:color w:val="000000"/>
          <w:sz w:val="24"/>
          <w:szCs w:val="24"/>
        </w:rPr>
        <w:t>examine how cultural practices influence pupil attendance, in Primary schools in Bangal sub-county.</w:t>
      </w:r>
      <w:r>
        <w:rPr>
          <w:rFonts w:ascii="Times New Roman" w:cs="Times New Roman" w:hAnsi="Times New Roman"/>
          <w:color w:val="000000"/>
          <w:sz w:val="24"/>
          <w:szCs w:val="24"/>
        </w:rPr>
        <w:t xml:space="preserve"> To achieve this, teachers were asked to respond to a set of statements using a five-point Likert scale coded as 1 = Strongly Disagree, 2 = Disagree, 3 = Neutral, 4 = Agree, and 5 = Strongly Agree. Table </w:t>
      </w:r>
      <w:r>
        <w:rPr>
          <w:rFonts w:ascii="Times New Roman" w:cs="Times New Roman" w:hAnsi="Times New Roman"/>
          <w:color w:val="000000"/>
          <w:sz w:val="24"/>
          <w:szCs w:val="24"/>
        </w:rPr>
        <w:t>8</w:t>
      </w:r>
      <w:r>
        <w:rPr>
          <w:rFonts w:ascii="Times New Roman" w:cs="Times New Roman" w:hAnsi="Times New Roman"/>
          <w:color w:val="000000"/>
          <w:sz w:val="24"/>
          <w:szCs w:val="24"/>
        </w:rPr>
        <w:t xml:space="preserve"> presents the descriptive statistics including the mean scores and standard deviations for each statement.</w:t>
      </w:r>
    </w:p>
    <w:bookmarkStart w:id="142" w:name="_Toc216299143"/>
    <w:p>
      <w:pPr>
        <w:pStyle w:val="style4104"/>
        <w:rPr>
          <w:i w:val="false"/>
        </w:rPr>
      </w:pPr>
      <w:r>
        <w:rPr>
          <w:b/>
          <w:i w:val="false"/>
        </w:rPr>
        <w:t>Table 8</w:t>
      </w:r>
      <w:r>
        <w:rPr>
          <w:i w:val="false"/>
        </w:rPr>
        <w:t>:</w:t>
      </w:r>
      <w:bookmarkEnd w:id="142"/>
      <w:r>
        <w:rPr>
          <w:i w:val="false"/>
        </w:rPr>
        <w:t xml:space="preserve"> </w:t>
      </w:r>
    </w:p>
    <w:bookmarkStart w:id="143" w:name="_Toc216299144"/>
    <w:p>
      <w:pPr>
        <w:pStyle w:val="style4104"/>
        <w:rPr/>
      </w:pPr>
      <w:r>
        <w:t>Cultural Practices According to Teachers</w:t>
      </w:r>
      <w:bookmarkEnd w:id="143"/>
      <w:r>
        <w:t xml:space="preserve"> </w:t>
      </w:r>
    </w:p>
    <w:tbl>
      <w:tblPr>
        <w:tblW w:w="9495" w:type="dxa"/>
        <w:tblBorders>
          <w:top w:val="single" w:sz="12" w:space="0" w:color="auto"/>
          <w:bottom w:val="single" w:sz="12" w:space="0" w:color="auto"/>
        </w:tblBorders>
        <w:tblLayout w:type="fixed"/>
        <w:tblCellMar>
          <w:left w:w="0" w:type="dxa"/>
          <w:right w:w="0" w:type="dxa"/>
        </w:tblCellMar>
        <w:tblLook w:val="0000" w:firstRow="0" w:lastRow="0" w:firstColumn="0" w:lastColumn="0" w:noHBand="0" w:noVBand="0"/>
      </w:tblPr>
      <w:tblGrid>
        <w:gridCol w:w="5535"/>
        <w:gridCol w:w="900"/>
        <w:gridCol w:w="720"/>
        <w:gridCol w:w="720"/>
        <w:gridCol w:w="720"/>
        <w:gridCol w:w="900"/>
      </w:tblGrid>
      <w:tr>
        <w:trPr>
          <w:cantSplit/>
        </w:trPr>
        <w:tc>
          <w:tcPr>
            <w:tcW w:w="5535" w:type="dxa"/>
            <w:tcBorders>
              <w:bottom w:val="single" w:sz="12" w:space="0" w:color="auto"/>
            </w:tcBorders>
            <w:shd w:val="clear" w:color="auto" w:fill="ffffff"/>
          </w:tcPr>
          <w:p>
            <w:pPr>
              <w:pStyle w:val="style0"/>
              <w:autoSpaceDE w:val="false"/>
              <w:autoSpaceDN w:val="false"/>
              <w:adjustRightInd w:val="false"/>
              <w:spacing w:after="0" w:lineRule="auto" w:line="36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 xml:space="preserve">Statements on </w:t>
            </w:r>
            <w:r>
              <w:rPr>
                <w:rFonts w:ascii="Times New Roman" w:cs="Times New Roman" w:hAnsi="Times New Roman"/>
                <w:color w:val="000000"/>
                <w:sz w:val="24"/>
                <w:szCs w:val="24"/>
              </w:rPr>
              <w:t xml:space="preserve">Cultural Practices </w:t>
            </w:r>
            <w:r>
              <w:rPr>
                <w:rFonts w:ascii="Times New Roman" w:cs="Times New Roman" w:hAnsi="Times New Roman"/>
                <w:color w:val="000000"/>
                <w:sz w:val="24"/>
                <w:szCs w:val="24"/>
              </w:rPr>
              <w:t xml:space="preserve"> </w:t>
            </w:r>
          </w:p>
        </w:tc>
        <w:tc>
          <w:tcPr>
            <w:tcW w:w="900" w:type="dxa"/>
            <w:tcBorders>
              <w:bottom w:val="single" w:sz="12" w:space="0" w:color="auto"/>
            </w:tcBorders>
            <w:shd w:val="clear" w:color="auto" w:fill="ffffff"/>
          </w:tcPr>
          <w:p>
            <w:pPr>
              <w:pStyle w:val="style0"/>
              <w:autoSpaceDE w:val="false"/>
              <w:autoSpaceDN w:val="false"/>
              <w:adjustRightInd w:val="false"/>
              <w:spacing w:after="0" w:lineRule="auto" w:line="36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N</w:t>
            </w:r>
          </w:p>
        </w:tc>
        <w:tc>
          <w:tcPr>
            <w:tcW w:w="720" w:type="dxa"/>
            <w:tcBorders>
              <w:bottom w:val="single" w:sz="12" w:space="0" w:color="auto"/>
            </w:tcBorders>
            <w:shd w:val="clear" w:color="auto" w:fill="ffffff"/>
          </w:tcPr>
          <w:p>
            <w:pPr>
              <w:pStyle w:val="style0"/>
              <w:autoSpaceDE w:val="false"/>
              <w:autoSpaceDN w:val="false"/>
              <w:adjustRightInd w:val="false"/>
              <w:spacing w:after="0" w:lineRule="auto" w:line="36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Min.</w:t>
            </w:r>
          </w:p>
        </w:tc>
        <w:tc>
          <w:tcPr>
            <w:tcW w:w="720" w:type="dxa"/>
            <w:tcBorders>
              <w:bottom w:val="single" w:sz="12" w:space="0" w:color="auto"/>
            </w:tcBorders>
            <w:shd w:val="clear" w:color="auto" w:fill="ffffff"/>
          </w:tcPr>
          <w:p>
            <w:pPr>
              <w:pStyle w:val="style0"/>
              <w:autoSpaceDE w:val="false"/>
              <w:autoSpaceDN w:val="false"/>
              <w:adjustRightInd w:val="false"/>
              <w:spacing w:after="0" w:lineRule="auto" w:line="36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Max.</w:t>
            </w:r>
          </w:p>
        </w:tc>
        <w:tc>
          <w:tcPr>
            <w:tcW w:w="720" w:type="dxa"/>
            <w:tcBorders>
              <w:bottom w:val="single" w:sz="12" w:space="0" w:color="auto"/>
            </w:tcBorders>
            <w:shd w:val="clear" w:color="auto" w:fill="ffffff"/>
          </w:tcPr>
          <w:p>
            <w:pPr>
              <w:pStyle w:val="style0"/>
              <w:autoSpaceDE w:val="false"/>
              <w:autoSpaceDN w:val="false"/>
              <w:adjustRightInd w:val="false"/>
              <w:spacing w:after="0" w:lineRule="auto" w:line="36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Mean</w:t>
            </w:r>
          </w:p>
        </w:tc>
        <w:tc>
          <w:tcPr>
            <w:tcW w:w="900" w:type="dxa"/>
            <w:tcBorders>
              <w:bottom w:val="single" w:sz="12" w:space="0" w:color="auto"/>
            </w:tcBorders>
            <w:shd w:val="clear" w:color="auto" w:fill="ffffff"/>
          </w:tcPr>
          <w:p>
            <w:pPr>
              <w:pStyle w:val="style0"/>
              <w:autoSpaceDE w:val="false"/>
              <w:autoSpaceDN w:val="false"/>
              <w:adjustRightInd w:val="false"/>
              <w:spacing w:after="0" w:lineRule="auto" w:line="36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Std. Dev.</w:t>
            </w:r>
          </w:p>
        </w:tc>
      </w:tr>
      <w:tr>
        <w:tblPrEx/>
        <w:trPr>
          <w:cantSplit/>
        </w:trPr>
        <w:tc>
          <w:tcPr>
            <w:tcW w:w="5535" w:type="dxa"/>
            <w:tcBorders>
              <w:top w:val="single" w:sz="12" w:space="0" w:color="auto"/>
              <w:bottom w:val="nil"/>
            </w:tcBorders>
            <w:shd w:val="clear" w:color="auto" w:fill="ffffff"/>
            <w:vAlign w:val="center"/>
          </w:tcPr>
          <w:p>
            <w:pPr>
              <w:pStyle w:val="style0"/>
              <w:autoSpaceDE w:val="false"/>
              <w:autoSpaceDN w:val="false"/>
              <w:adjustRightInd w:val="false"/>
              <w:spacing w:after="0" w:lineRule="auto" w:line="48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Cultural practices(e.g early marriages,FGM) are major reason for learners' absenteeism in the community</w:t>
            </w:r>
          </w:p>
        </w:tc>
        <w:tc>
          <w:tcPr>
            <w:tcW w:w="900" w:type="dxa"/>
            <w:tcBorders>
              <w:top w:val="single" w:sz="12" w:space="0" w:color="auto"/>
              <w:bottom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720" w:type="dxa"/>
            <w:tcBorders>
              <w:top w:val="single" w:sz="12" w:space="0" w:color="auto"/>
              <w:bottom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w:t>
            </w:r>
          </w:p>
        </w:tc>
        <w:tc>
          <w:tcPr>
            <w:tcW w:w="720" w:type="dxa"/>
            <w:tcBorders>
              <w:top w:val="single" w:sz="12" w:space="0" w:color="auto"/>
              <w:bottom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5</w:t>
            </w:r>
          </w:p>
        </w:tc>
        <w:tc>
          <w:tcPr>
            <w:tcW w:w="720" w:type="dxa"/>
            <w:tcBorders>
              <w:top w:val="single" w:sz="12" w:space="0" w:color="auto"/>
              <w:bottom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3.77</w:t>
            </w:r>
          </w:p>
        </w:tc>
        <w:tc>
          <w:tcPr>
            <w:tcW w:w="900" w:type="dxa"/>
            <w:tcBorders>
              <w:top w:val="single" w:sz="12" w:space="0" w:color="auto"/>
              <w:bottom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1.126</w:t>
            </w:r>
          </w:p>
        </w:tc>
      </w:tr>
      <w:tr>
        <w:tblPrEx/>
        <w:trPr>
          <w:cantSplit/>
        </w:trPr>
        <w:tc>
          <w:tcPr>
            <w:tcW w:w="5535" w:type="dxa"/>
            <w:tcBorders>
              <w:top w:val="nil"/>
            </w:tcBorders>
            <w:shd w:val="clear" w:color="auto" w:fill="ffffff"/>
            <w:vAlign w:val="center"/>
          </w:tcPr>
          <w:p>
            <w:pPr>
              <w:pStyle w:val="style0"/>
              <w:autoSpaceDE w:val="false"/>
              <w:autoSpaceDN w:val="false"/>
              <w:adjustRightInd w:val="false"/>
              <w:spacing w:after="0" w:lineRule="auto" w:line="48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Gender bias in cultural roles impacts girls and boys school attendance</w:t>
            </w:r>
          </w:p>
        </w:tc>
        <w:tc>
          <w:tcPr>
            <w:tcW w:w="900" w:type="dxa"/>
            <w:tcBorders>
              <w:top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720" w:type="dxa"/>
            <w:tcBorders>
              <w:top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w:t>
            </w:r>
          </w:p>
        </w:tc>
        <w:tc>
          <w:tcPr>
            <w:tcW w:w="720" w:type="dxa"/>
            <w:tcBorders>
              <w:top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5</w:t>
            </w:r>
          </w:p>
        </w:tc>
        <w:tc>
          <w:tcPr>
            <w:tcW w:w="720" w:type="dxa"/>
            <w:tcBorders>
              <w:top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3.88</w:t>
            </w:r>
          </w:p>
        </w:tc>
        <w:tc>
          <w:tcPr>
            <w:tcW w:w="900" w:type="dxa"/>
            <w:tcBorders>
              <w:top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1.037</w:t>
            </w:r>
          </w:p>
        </w:tc>
      </w:tr>
      <w:tr>
        <w:tblPrEx/>
        <w:trPr>
          <w:cantSplit/>
        </w:trPr>
        <w:tc>
          <w:tcPr>
            <w:tcW w:w="5535" w:type="dxa"/>
            <w:tcBorders/>
            <w:shd w:val="clear" w:color="auto" w:fill="ffffff"/>
            <w:vAlign w:val="center"/>
          </w:tcPr>
          <w:p>
            <w:pPr>
              <w:pStyle w:val="style0"/>
              <w:autoSpaceDE w:val="false"/>
              <w:autoSpaceDN w:val="false"/>
              <w:adjustRightInd w:val="false"/>
              <w:spacing w:after="0" w:lineRule="auto" w:line="48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 xml:space="preserve">Traditional believes or practices frequently conflict with school </w:t>
            </w:r>
            <w:r>
              <w:rPr>
                <w:rFonts w:ascii="Times New Roman" w:cs="Times New Roman" w:hAnsi="Times New Roman"/>
                <w:color w:val="000000"/>
                <w:sz w:val="24"/>
                <w:szCs w:val="24"/>
              </w:rPr>
              <w:t>calendar</w:t>
            </w:r>
          </w:p>
        </w:tc>
        <w:tc>
          <w:tcPr>
            <w:tcW w:w="900" w:type="dxa"/>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720" w:type="dxa"/>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w:t>
            </w:r>
          </w:p>
        </w:tc>
        <w:tc>
          <w:tcPr>
            <w:tcW w:w="720" w:type="dxa"/>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5</w:t>
            </w:r>
          </w:p>
        </w:tc>
        <w:tc>
          <w:tcPr>
            <w:tcW w:w="720" w:type="dxa"/>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3.67</w:t>
            </w:r>
          </w:p>
        </w:tc>
        <w:tc>
          <w:tcPr>
            <w:tcW w:w="900" w:type="dxa"/>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1.221</w:t>
            </w:r>
          </w:p>
        </w:tc>
      </w:tr>
    </w:tbl>
    <w:p>
      <w:pPr>
        <w:pStyle w:val="style0"/>
        <w:rPr>
          <w:color w:val="000000"/>
        </w:rPr>
      </w:pPr>
    </w:p>
    <w:p>
      <w:pPr>
        <w:pStyle w:val="style0"/>
        <w:spacing w:before="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statement “Cultural practices (e.g., early marriages, FGM) are major reason why learners are absent in the community” had a mean of 3.77 which means that overall, the teachers concurred that harmful cultural practices are a major cause of absenteeism. The standard deviation of 1.126 indicates that there was moderate variability in the responses, and therefore, although a significant proportion of teachers reported incidences of absenteeism associated with early marriages and female genital mutilation, some of them gave varied reports based on the level of prevalence of these practices in their communities.</w:t>
      </w:r>
    </w:p>
    <w:p>
      <w:pPr>
        <w:pStyle w:val="style0"/>
        <w:spacing w:before="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highest mean score of 3.88 was on the statement “Gender bias in cultural roles affects school attendance of girls and boys” which considered as a high level of agreement between teachers that cultural expectations and role assignments have a disproportionate effect on school attendance, especially among girls. The standard deviation of 1.037 is rather lower, which means that teachers were more consistent in their opinions on this issue and there was not as much variation as on other cultural factors. This predictability helps highlight the common understanding that the gendered cultural roles are still a major obstacle to equal school accessibility.</w:t>
      </w:r>
    </w:p>
    <w:p>
      <w:pPr>
        <w:pStyle w:val="style0"/>
        <w:spacing w:before="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statement “Traditional beliefs or practices often conflict with school calendar” had a mean of 3.67 which indicates that teachers were in agreement that cultural traditions tend to disrupt school schedules. The highest standard deviation, 1.221, was observed between the three items which indicates higher variability in the perceptions of the teachers. This implies that although a number of schools are interrupted by the cultural ceremonies, festivals or rituals, the level of the effect is quite different in different localities within the sub-county.</w:t>
      </w:r>
    </w:p>
    <w:p>
      <w:pPr>
        <w:pStyle w:val="style0"/>
        <w:spacing w:before="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The overall analysis gave a mean of 3.77, which implies that the teachers were in general agreement that cultural practices would have an effect on the absenteeism of learners in Bangal Sub-County. This general average indicates that when these various cultural dimensions including gendered roles, early marriages, female genital mutilation, and mismatch between the traditional and school calendar are looked at as a grouping, teachers find them as potential causes of irregular school attendance. The results suggest that cultural expectations within the society can overlap in a manner that influences the attendance rate of children in the learning institutions but the effect can be different in various individual learners and families. The standard deviation of 1.13 is the aggregate standard deviation, which indicates that there is moderate variability in responses of the teachers. This level of spread indicates that though cultural practices are generally identified to be relevant drivers of absenteeism, the impact of the same may vary between schools and communities. The inconsistency of responses could be an indicator of varied adherence to some of the cultural practices, the rate of traditional commitments, and the extent to which cultural norms are observed or bargained by the families. </w:t>
      </w:r>
    </w:p>
    <w:p>
      <w:pPr>
        <w:pStyle w:val="style0"/>
        <w:spacing w:before="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The results of the present research resonated, conferred, and converged with those of King’ondu and Mbirithi (2025) in the Kwale County whose research findings indicated that retrogressive cultural practices such as early marriages and initiation rites were the primary reasons behind absenteeism and dropout among learners. Their study showed that cultural norms are the direct cause of poor school attendance, which is a solid argument in favor of the findings of Bangal Sub-County. Equally, the findings of the current study aligned with the findings of Plapan, Okutu, and Situma (2024) in West Pokot County who established that negative practices such as female genital mutilation, child labor due to cultural requirements, and traditional ceremonies interfered with the learning process and led to absenteeism. Their research has pointed out that these behaviors not only lower the attendance but also influence the academic performance adversely, a factor that is in line with the current study that has noted that cultural norms have a collective influence on the absenteeism trends. The results were also similar to those of the research by Andiema (2021) in Central Pokot Sub-County. According to the study, the negative implications of cultural practices like early marriages, female genital mutilation (FGM), child labour, traditional taboos and gender based roles were found to influence the education of girls child negatively resulting to absenteeism and low retention in schools at primary level. These findings are closely related to the current research, as they establish the fact that the cultural norms are still significant contributors to absenteeism in the rural Kenyan settings. In addition, it also overlapped with the work by Kayendeke (2018) in Naweyo Sub County, Butaleja District, Uganda. The research showed that the cultural practices such as circumcision, early marriages and child labour adversely impacted on the school attendance of pupils and the higher the practice, the higher the absenteeism or non-attendance. </w:t>
      </w:r>
    </w:p>
    <w:p>
      <w:pPr>
        <w:pStyle w:val="style0"/>
        <w:spacing w:before="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teachers were also to give their opinions on the way different cultural practices in the community influence learners regular attendance to school. The effects of early marriages on school attendance are one of the most dominating themes. Teachers noted that girls are usually groomed into becoming wives at a tender age thus they drop out of school. After getting married, they become adults with responsibilities of motherhood and household chores and can no longer attend regularly. Boys on the other hand are often neglected by their parents and are expected to take care of themselves and most of the time this is by herding livestock or in casual jobs. These gender expectations imply that both boys and girls do not get equal access to education albeit in disparate forms.</w:t>
      </w:r>
    </w:p>
    <w:p>
      <w:pPr>
        <w:pStyle w:val="style0"/>
        <w:spacing w:before="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FGM was raised severally as a cultural practice that interferes with schooling. Teachers have reported that the process gives a sense of maturity, which forces girls to early marriages. Also, the physical healing process of FGM usually compels learners to skip school over a long time. This not only impacts their performance at school but also leads to non-engagement in education in the long term. There are short-term and long-term effects of the practice on the attendance of girls. The other theme that keeps reoccurring is the delegation of household and subsistence roles on learners. Herding livestock is often assigned to boys, whereas girls are at home taking care of the younger siblings when their parents are working. These positions are directly contradictory to the school schedules, which cause absenteeism. Educators pointed out that these expectations are ingrained in culture and learners have hard time balancing between school work and family life.</w:t>
      </w:r>
    </w:p>
    <w:p>
      <w:pPr>
        <w:pStyle w:val="style0"/>
        <w:spacing w:before="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It was also noted by the teachers that learners usually skip schools to attend culture or religious events. As an example, weddings, circumcision ceremonies, and fasting during the Ramadan were mentioned as causes of absenteeism. Such events are occasionally planned in school days where learners are forced to make decisions between cultural attendance and school attendance. In most instances, the practices are considered more important by the learners as compared to schooling, which has adverse effects on their performance and attendance in school. Another theme that is not pronounced but plays a significant role is the bad attitude towards education in certain communities. In some cases, parents and elders tell discouraging tales about schooling which creates an uninspiring effect on the children. The learners might develop the idea that cultural activities are better than learning and thus end up truancy and dropping out of school. The issue is also made worse by shame and shyness especially in girls who have gone through cultural rites, thus making them unwilling to attend school on a regular basis. Interestingly, not every one of teachers agreed that cultural practices have great influence on attendance. Some of them claimed that cultural practices were a thing of the past or they were irrelevant to learners with strong will and clear objectives. This implies that although cultural practices are a significant obstacle to many, their effects can be different with resilience of individuals, family support and attitudes of community towards education.</w:t>
      </w:r>
    </w:p>
    <w:p>
      <w:pPr>
        <w:pStyle w:val="style0"/>
        <w:spacing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thematic analysis of the interviews conducted with seven headteachers showed that the cultural practices were the key determinant of the absenteeism of learners in Bangal Sub-County, as four central themes were identified, which are largely detrimental practices concerning traditional culture that have a strong impact on girls, gender-related cultural expectations and responsibilities, religious requirements and absence of formal education over traditional knowledge. Early marriage, especially among girls, which is usually accompanied by Female Genital Mutilation (FGM) as a prerequisite to marriage, was the most pervasive and harmful cultural practice found throughout the interviews. Although headteachers have recorded a few lapses in these practices, they still occur extensively to result in high school dropout rates among girls. The combination of poverty and cultural tradition is a very vulnerable situation in which the early marriage appears as an economical solution to the family. One headteacher explained, "</w:t>
      </w:r>
      <w:r>
        <w:rPr>
          <w:rFonts w:ascii="Times New Roman" w:cs="Times New Roman" w:hAnsi="Times New Roman"/>
          <w:i/>
          <w:color w:val="000000"/>
          <w:sz w:val="24"/>
          <w:szCs w:val="24"/>
        </w:rPr>
        <w:t>Early marriages are still common, particularly among girls from poor families. Some parents see marrying off their young girls as a way to ease their financial burdens leading to school dropout among girls</w:t>
      </w:r>
      <w:r>
        <w:rPr>
          <w:rFonts w:ascii="Times New Roman" w:cs="Times New Roman" w:hAnsi="Times New Roman"/>
          <w:color w:val="000000"/>
          <w:sz w:val="24"/>
          <w:szCs w:val="24"/>
        </w:rPr>
        <w:t>" (HOI 2). The fact that this form of absenteeism is here to stay is disturbing, because once girls have gone through FGM, they are culturally fit to get married and are promptly sold off and schools are not even informed of their transfer to a different school, but under the excuse of being transferred to another school. Another headteacher noted the deliberate concealment of these practices: "</w:t>
      </w:r>
      <w:r>
        <w:rPr>
          <w:rFonts w:ascii="Times New Roman" w:cs="Times New Roman" w:hAnsi="Times New Roman"/>
          <w:i/>
          <w:color w:val="000000"/>
          <w:sz w:val="24"/>
          <w:szCs w:val="24"/>
        </w:rPr>
        <w:t>Early pregnancies are the main challenge among girls as there are no consequences put in place for the doers of the action. Most times the early pregnancy cases are covered by elders to maintain face for the perpetrators</w:t>
      </w:r>
      <w:r>
        <w:rPr>
          <w:rFonts w:ascii="Times New Roman" w:cs="Times New Roman" w:hAnsi="Times New Roman"/>
          <w:color w:val="000000"/>
          <w:sz w:val="24"/>
          <w:szCs w:val="24"/>
        </w:rPr>
        <w:t>" (HOI 1). This collusion between traditional authority and families brings an atmosphere whereby bad practices go on with impunity and this essentially denies girls their right to education. Boys are also not spared by initiation processes, circumcision processes would leave them out of school and in some cases, they never come back to school since they are regarded as adults with new roles.</w:t>
      </w:r>
    </w:p>
    <w:p>
      <w:pPr>
        <w:pStyle w:val="style0"/>
        <w:spacing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second key theme revolved around varied cultural expectations on gender that systematically disrupt school attendance. Boys are expected to work in pastoral fields like herding and fishing of livestock and in pastoral areas where they have to spend much time out of school and in most cases drop out. Girls on the other hand are given household duties such as childcare, housework, and family businesses as parents go after casual jobs. These gender divisions of labor are indicative of deep-rooted cultural notions on the proper role of boys and girls that override the importance of education. As one headteacher observed, "</w:t>
      </w:r>
      <w:r>
        <w:rPr>
          <w:rFonts w:ascii="Times New Roman" w:cs="Times New Roman" w:hAnsi="Times New Roman"/>
          <w:i/>
          <w:color w:val="000000"/>
          <w:sz w:val="24"/>
          <w:szCs w:val="24"/>
        </w:rPr>
        <w:t>Boys herd animals while girls stay home for domestic chores. These responsibilities given to the children as the parents go to look for casual work interfere with schooling and reduce their attendance</w:t>
      </w:r>
      <w:r>
        <w:rPr>
          <w:rFonts w:ascii="Times New Roman" w:cs="Times New Roman" w:hAnsi="Times New Roman"/>
          <w:color w:val="000000"/>
          <w:sz w:val="24"/>
          <w:szCs w:val="24"/>
        </w:rPr>
        <w:t>" (HOI 5). This is further complicated by the fact that gender preference in investment in education still exists and some parents give priority to boys education at the expense of girls as some girls are forced to remain at home to take care of their siblings and to manage their homes. But ironically, the education of boys is also compromised by the demands on them to engage in economically productive work such as herding, which results in a scenario where no one gender is given any regular educational aid despite their nominal preferences.</w:t>
      </w:r>
    </w:p>
    <w:p>
      <w:pPr>
        <w:pStyle w:val="style0"/>
        <w:spacing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third important theme was on religious practices, especially Islamic practices that oppose school timetables and establish absenteeism patterns. Religious factors were more evenly spread across the sub-county compared to FGM and early marriage which were geographically varied. According to headteachers, students skip school to attend lessons at Madrasa, Tabligh (Islamic missionary work), religious fasting and ceremonies, including Maulid (celebration of the Prophet birthday). One headteacher noted, "</w:t>
      </w:r>
      <w:r>
        <w:rPr>
          <w:rFonts w:ascii="Times New Roman" w:cs="Times New Roman" w:hAnsi="Times New Roman"/>
          <w:i/>
          <w:color w:val="000000"/>
          <w:sz w:val="24"/>
          <w:szCs w:val="24"/>
        </w:rPr>
        <w:t>Some pupils, especially those attending Madrasa lessons, miss school during religious events or when required to attend prayers. This affects their consistency in attending regular classes</w:t>
      </w:r>
      <w:r>
        <w:rPr>
          <w:rFonts w:ascii="Times New Roman" w:cs="Times New Roman" w:hAnsi="Times New Roman"/>
          <w:color w:val="000000"/>
          <w:sz w:val="24"/>
          <w:szCs w:val="24"/>
        </w:rPr>
        <w:t>" (HOI 6). Although in most cases these absences do not translate to a permanent dropout as is the case with early marriages, they lead to learning gaps that build up with repetitive interruptions in school attendance. When schools schedule religious activities, this presents an artificial decision between the religious commitment, which families consider critical to being part of the cultural and spiritual identity, and secular education, which can be seen as less critical to the moral formation of the child.</w:t>
      </w:r>
    </w:p>
    <w:p>
      <w:pPr>
        <w:pStyle w:val="style0"/>
        <w:spacing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fourth theme indicated that there were still cultural beliefs that diminish the perceived value of formal education as compared to traditional knowledge and skills. Other parents consider the herding, fishing, farming, and family life as more practical and instantaneous life skills than abstract academic education. This outlook is not only a cultural tradition, but a practical evaluation of economic prospects in communities of primarily pastoral and agricultural activities. One headteacher explained, "</w:t>
      </w:r>
      <w:r>
        <w:rPr>
          <w:rFonts w:ascii="Times New Roman" w:cs="Times New Roman" w:hAnsi="Times New Roman"/>
          <w:i/>
          <w:color w:val="000000"/>
          <w:sz w:val="24"/>
          <w:szCs w:val="24"/>
        </w:rPr>
        <w:t>Parents still value cultural traditions more than formal education. They see herding and family duties as very important life skills, which discourages them from prioritizing school attendance</w:t>
      </w:r>
      <w:r>
        <w:rPr>
          <w:rFonts w:ascii="Times New Roman" w:cs="Times New Roman" w:hAnsi="Times New Roman"/>
          <w:color w:val="000000"/>
          <w:sz w:val="24"/>
          <w:szCs w:val="24"/>
        </w:rPr>
        <w:t>" (HOI 3). This depreciation is further enhanced when the parents consciously assume that education does not have any physical advantages in their society; consequently, attending school or involving children in other activities. The impact of cultural beliefs on the choice of parents forms an environment where the absence of the parent is not only tolerated but also supported by the parents as they seek more applicable knowledge transmission channels.</w:t>
      </w:r>
    </w:p>
    <w:p>
      <w:pPr>
        <w:pStyle w:val="style0"/>
        <w:spacing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Another sub- theme that came out was peer pressure whereby the social networks are encouraging absenteeism, truancy and even recruitment into local gangs especially among boys. This implies that the cultural forces of absenteeism do not only play out in the form of traditionalism and parental choices but also peer mediated forms of socialization that naturalize non-attendance and provide alternative means of identity development among adolescents outside of the school system. Interestingly, the prevalence of some cultural practices was geographically different with some headteachers indicating that FGM is not common in their regions and others have stated that it is one of the biggest challenges. This difference indicates that the cultural practices are not evenly distributed within the sub-county, as an indication of various ethnic make-ups, urbanization levels, or exposure to anti-FGM campaigns. Nevertheless, the perseverance of early marriages and gender demands seemed to be more ubiquitous and therefore might be more deeply rooted or recalcitrant to change as compared to certain ceremony activities. The mean of the statement Inadequate school facilities (classroom, toilets, learning materials) contribute to absenteeism was 3.32 which means that teachers responded moderately that poor infrastructure and absence of basic facilities are the causes of absenteeism. The standard deviation of 1.266 indicates that there is moderate variation in the answers, indicating that even though a considerable number of teachers identified poor facilities as a factor, others might have viewed the situation differently based on the sufficiency of facilities in their respective schools.</w:t>
      </w:r>
    </w:p>
    <w:bookmarkStart w:id="144" w:name="_Toc216513828"/>
    <w:p>
      <w:pPr>
        <w:pStyle w:val="style1"/>
        <w:numPr>
          <w:ilvl w:val="1"/>
          <w:numId w:val="22"/>
        </w:numPr>
        <w:spacing w:before="240" w:after="240"/>
        <w:jc w:val="both"/>
        <w:rPr>
          <w:color w:val="000000"/>
        </w:rPr>
      </w:pPr>
      <w:r>
        <w:rPr>
          <w:color w:val="000000"/>
        </w:rPr>
        <w:t>School Environment and Learners’ Absenteeism</w:t>
      </w:r>
      <w:bookmarkEnd w:id="144"/>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The third objective of the study </w:t>
      </w:r>
      <w:r>
        <w:rPr>
          <w:rFonts w:ascii="Times New Roman" w:cs="Times New Roman" w:hAnsi="Times New Roman"/>
          <w:color w:val="000000"/>
          <w:sz w:val="24"/>
          <w:szCs w:val="24"/>
        </w:rPr>
        <w:t xml:space="preserve">aimed to evaluate the extent to which specific aspects of the school environment </w:t>
      </w:r>
      <w:r>
        <w:rPr>
          <w:rFonts w:ascii="Times New Roman" w:cs="Times New Roman" w:hAnsi="Times New Roman"/>
          <w:color w:val="000000"/>
          <w:sz w:val="24"/>
          <w:szCs w:val="24"/>
        </w:rPr>
        <w:t xml:space="preserve">correlate with </w:t>
      </w:r>
      <w:r>
        <w:rPr>
          <w:rFonts w:ascii="Times New Roman" w:cs="Times New Roman" w:hAnsi="Times New Roman"/>
          <w:color w:val="000000"/>
          <w:sz w:val="24"/>
          <w:szCs w:val="24"/>
        </w:rPr>
        <w:t>the rate of learners’ absenteeism in Primary schools in Bangal sub-county</w:t>
      </w:r>
      <w:r>
        <w:rPr>
          <w:rFonts w:ascii="Times New Roman" w:cs="Times New Roman" w:hAnsi="Times New Roman"/>
          <w:color w:val="000000"/>
          <w:sz w:val="24"/>
          <w:szCs w:val="24"/>
        </w:rPr>
        <w:t xml:space="preserve">. To achieve this, teachers were asked to respond to a set of statements using a five-point Likert scale coded as 1 = Strongly Disagree, 2 = Disagree, 3 = Neutral, 4 = Agree, and 5 = Strongly Agree. Table </w:t>
      </w:r>
      <w:r>
        <w:rPr>
          <w:rFonts w:ascii="Times New Roman" w:cs="Times New Roman" w:hAnsi="Times New Roman"/>
          <w:color w:val="000000"/>
          <w:sz w:val="24"/>
          <w:szCs w:val="24"/>
        </w:rPr>
        <w:t>9</w:t>
      </w:r>
      <w:r>
        <w:rPr>
          <w:rFonts w:ascii="Times New Roman" w:cs="Times New Roman" w:hAnsi="Times New Roman"/>
          <w:color w:val="000000"/>
          <w:sz w:val="24"/>
          <w:szCs w:val="24"/>
        </w:rPr>
        <w:t xml:space="preserve"> presents the descriptive statistics including the mean scores and standard deviations for each statement.</w:t>
      </w:r>
    </w:p>
    <w:bookmarkStart w:id="145" w:name="_Toc216299145"/>
    <w:p>
      <w:pPr>
        <w:pStyle w:val="style4104"/>
        <w:rPr>
          <w:i w:val="false"/>
        </w:rPr>
      </w:pPr>
      <w:r>
        <w:rPr>
          <w:b/>
          <w:i w:val="false"/>
        </w:rPr>
        <w:t>Table 9</w:t>
      </w:r>
      <w:r>
        <w:rPr>
          <w:i w:val="false"/>
        </w:rPr>
        <w:t>:</w:t>
      </w:r>
      <w:bookmarkEnd w:id="145"/>
      <w:r>
        <w:rPr>
          <w:i w:val="false"/>
        </w:rPr>
        <w:t xml:space="preserve"> </w:t>
      </w:r>
    </w:p>
    <w:bookmarkStart w:id="146" w:name="_Toc216299146"/>
    <w:p>
      <w:pPr>
        <w:pStyle w:val="style4104"/>
        <w:rPr/>
      </w:pPr>
      <w:r>
        <w:t>School Environment</w:t>
      </w:r>
      <w:r>
        <w:t xml:space="preserve"> According to Teachers</w:t>
      </w:r>
      <w:bookmarkEnd w:id="146"/>
      <w:r>
        <w:t xml:space="preserve"> </w:t>
      </w:r>
    </w:p>
    <w:tbl>
      <w:tblPr>
        <w:tblW w:w="9360" w:type="dxa"/>
        <w:tblBorders>
          <w:top w:val="single" w:sz="12" w:space="0" w:color="auto"/>
          <w:bottom w:val="single" w:sz="12" w:space="0" w:color="auto"/>
        </w:tblBorders>
        <w:tblLayout w:type="fixed"/>
        <w:tblCellMar>
          <w:left w:w="0" w:type="dxa"/>
          <w:right w:w="0" w:type="dxa"/>
        </w:tblCellMar>
        <w:tblLook w:val="0000" w:firstRow="0" w:lastRow="0" w:firstColumn="0" w:lastColumn="0" w:noHBand="0" w:noVBand="0"/>
      </w:tblPr>
      <w:tblGrid>
        <w:gridCol w:w="5535"/>
        <w:gridCol w:w="900"/>
        <w:gridCol w:w="720"/>
        <w:gridCol w:w="720"/>
        <w:gridCol w:w="720"/>
        <w:gridCol w:w="765"/>
      </w:tblGrid>
      <w:tr>
        <w:trPr>
          <w:cantSplit/>
        </w:trPr>
        <w:tc>
          <w:tcPr>
            <w:tcW w:w="5535" w:type="dxa"/>
            <w:tcBorders>
              <w:bottom w:val="single" w:sz="12" w:space="0" w:color="auto"/>
            </w:tcBorders>
            <w:shd w:val="clear" w:color="auto" w:fill="ffffff"/>
          </w:tcPr>
          <w:p>
            <w:pPr>
              <w:pStyle w:val="style0"/>
              <w:autoSpaceDE w:val="false"/>
              <w:autoSpaceDN w:val="false"/>
              <w:adjustRightInd w:val="false"/>
              <w:spacing w:after="0" w:lineRule="auto" w:line="48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 xml:space="preserve">Statements on School Environment  </w:t>
            </w:r>
          </w:p>
        </w:tc>
        <w:tc>
          <w:tcPr>
            <w:tcW w:w="900" w:type="dxa"/>
            <w:tcBorders>
              <w:bottom w:val="single" w:sz="12" w:space="0" w:color="auto"/>
            </w:tcBorders>
            <w:shd w:val="clear" w:color="auto" w:fill="ffffff"/>
          </w:tcPr>
          <w:p>
            <w:pPr>
              <w:pStyle w:val="style0"/>
              <w:autoSpaceDE w:val="false"/>
              <w:autoSpaceDN w:val="false"/>
              <w:adjustRightInd w:val="false"/>
              <w:spacing w:after="0" w:lineRule="auto" w:line="48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N</w:t>
            </w:r>
          </w:p>
        </w:tc>
        <w:tc>
          <w:tcPr>
            <w:tcW w:w="720" w:type="dxa"/>
            <w:tcBorders>
              <w:bottom w:val="single" w:sz="12" w:space="0" w:color="auto"/>
            </w:tcBorders>
            <w:shd w:val="clear" w:color="auto" w:fill="ffffff"/>
          </w:tcPr>
          <w:p>
            <w:pPr>
              <w:pStyle w:val="style0"/>
              <w:autoSpaceDE w:val="false"/>
              <w:autoSpaceDN w:val="false"/>
              <w:adjustRightInd w:val="false"/>
              <w:spacing w:after="0" w:lineRule="auto" w:line="48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Min.</w:t>
            </w:r>
          </w:p>
        </w:tc>
        <w:tc>
          <w:tcPr>
            <w:tcW w:w="720" w:type="dxa"/>
            <w:tcBorders>
              <w:bottom w:val="single" w:sz="12" w:space="0" w:color="auto"/>
            </w:tcBorders>
            <w:shd w:val="clear" w:color="auto" w:fill="ffffff"/>
          </w:tcPr>
          <w:p>
            <w:pPr>
              <w:pStyle w:val="style0"/>
              <w:autoSpaceDE w:val="false"/>
              <w:autoSpaceDN w:val="false"/>
              <w:adjustRightInd w:val="false"/>
              <w:spacing w:after="0" w:lineRule="auto" w:line="48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Max.</w:t>
            </w:r>
          </w:p>
        </w:tc>
        <w:tc>
          <w:tcPr>
            <w:tcW w:w="720" w:type="dxa"/>
            <w:tcBorders>
              <w:bottom w:val="single" w:sz="12" w:space="0" w:color="auto"/>
            </w:tcBorders>
            <w:shd w:val="clear" w:color="auto" w:fill="ffffff"/>
          </w:tcPr>
          <w:p>
            <w:pPr>
              <w:pStyle w:val="style0"/>
              <w:autoSpaceDE w:val="false"/>
              <w:autoSpaceDN w:val="false"/>
              <w:adjustRightInd w:val="false"/>
              <w:spacing w:after="0" w:lineRule="auto" w:line="48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Mean</w:t>
            </w:r>
          </w:p>
        </w:tc>
        <w:tc>
          <w:tcPr>
            <w:tcW w:w="765" w:type="dxa"/>
            <w:tcBorders>
              <w:bottom w:val="single" w:sz="12" w:space="0" w:color="auto"/>
            </w:tcBorders>
            <w:shd w:val="clear" w:color="auto" w:fill="ffffff"/>
          </w:tcPr>
          <w:p>
            <w:pPr>
              <w:pStyle w:val="style0"/>
              <w:autoSpaceDE w:val="false"/>
              <w:autoSpaceDN w:val="false"/>
              <w:adjustRightInd w:val="false"/>
              <w:spacing w:after="0" w:lineRule="auto" w:line="48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Std. Dev.</w:t>
            </w:r>
          </w:p>
        </w:tc>
      </w:tr>
      <w:tr>
        <w:tblPrEx/>
        <w:trPr>
          <w:cantSplit/>
        </w:trPr>
        <w:tc>
          <w:tcPr>
            <w:tcW w:w="5535" w:type="dxa"/>
            <w:tcBorders>
              <w:top w:val="single" w:sz="12" w:space="0" w:color="auto"/>
              <w:bottom w:val="nil"/>
            </w:tcBorders>
            <w:shd w:val="clear" w:color="auto" w:fill="ffffff"/>
            <w:vAlign w:val="center"/>
          </w:tcPr>
          <w:p>
            <w:pPr>
              <w:pStyle w:val="style0"/>
              <w:autoSpaceDE w:val="false"/>
              <w:autoSpaceDN w:val="false"/>
              <w:adjustRightInd w:val="false"/>
              <w:spacing w:after="0" w:lineRule="auto" w:line="48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Inadequate school facilities (classroom, toilets, learning materials) contribute to absenteeism</w:t>
            </w:r>
          </w:p>
        </w:tc>
        <w:tc>
          <w:tcPr>
            <w:tcW w:w="900" w:type="dxa"/>
            <w:tcBorders>
              <w:top w:val="single" w:sz="12" w:space="0" w:color="auto"/>
              <w:bottom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720" w:type="dxa"/>
            <w:tcBorders>
              <w:top w:val="single" w:sz="12" w:space="0" w:color="auto"/>
              <w:bottom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w:t>
            </w:r>
          </w:p>
        </w:tc>
        <w:tc>
          <w:tcPr>
            <w:tcW w:w="720" w:type="dxa"/>
            <w:tcBorders>
              <w:top w:val="single" w:sz="12" w:space="0" w:color="auto"/>
              <w:bottom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5</w:t>
            </w:r>
          </w:p>
        </w:tc>
        <w:tc>
          <w:tcPr>
            <w:tcW w:w="720" w:type="dxa"/>
            <w:tcBorders>
              <w:top w:val="single" w:sz="12" w:space="0" w:color="auto"/>
              <w:bottom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3.32</w:t>
            </w:r>
          </w:p>
        </w:tc>
        <w:tc>
          <w:tcPr>
            <w:tcW w:w="765" w:type="dxa"/>
            <w:tcBorders>
              <w:top w:val="single" w:sz="12" w:space="0" w:color="auto"/>
              <w:bottom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1.266</w:t>
            </w:r>
          </w:p>
        </w:tc>
      </w:tr>
      <w:tr>
        <w:tblPrEx/>
        <w:trPr>
          <w:cantSplit/>
        </w:trPr>
        <w:tc>
          <w:tcPr>
            <w:tcW w:w="5535" w:type="dxa"/>
            <w:tcBorders>
              <w:top w:val="nil"/>
            </w:tcBorders>
            <w:shd w:val="clear" w:color="auto" w:fill="ffffff"/>
            <w:vAlign w:val="center"/>
          </w:tcPr>
          <w:p>
            <w:pPr>
              <w:pStyle w:val="style0"/>
              <w:autoSpaceDE w:val="false"/>
              <w:autoSpaceDN w:val="false"/>
              <w:adjustRightInd w:val="false"/>
              <w:spacing w:after="0" w:lineRule="auto" w:line="48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The teacher-</w:t>
            </w:r>
            <w:r>
              <w:rPr>
                <w:rFonts w:ascii="Times New Roman" w:cs="Times New Roman" w:hAnsi="Times New Roman"/>
                <w:color w:val="000000"/>
                <w:sz w:val="24"/>
                <w:szCs w:val="24"/>
              </w:rPr>
              <w:t>student relationship in your school positively impacts absenteeism</w:t>
            </w:r>
          </w:p>
        </w:tc>
        <w:tc>
          <w:tcPr>
            <w:tcW w:w="900" w:type="dxa"/>
            <w:tcBorders>
              <w:top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720" w:type="dxa"/>
            <w:tcBorders>
              <w:top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w:t>
            </w:r>
          </w:p>
        </w:tc>
        <w:tc>
          <w:tcPr>
            <w:tcW w:w="720" w:type="dxa"/>
            <w:tcBorders>
              <w:top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5</w:t>
            </w:r>
          </w:p>
        </w:tc>
        <w:tc>
          <w:tcPr>
            <w:tcW w:w="720" w:type="dxa"/>
            <w:tcBorders>
              <w:top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3.25</w:t>
            </w:r>
          </w:p>
        </w:tc>
        <w:tc>
          <w:tcPr>
            <w:tcW w:w="765" w:type="dxa"/>
            <w:tcBorders>
              <w:top w:val="nil"/>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1.333</w:t>
            </w:r>
          </w:p>
        </w:tc>
      </w:tr>
      <w:tr>
        <w:tblPrEx/>
        <w:trPr>
          <w:cantSplit/>
        </w:trPr>
        <w:tc>
          <w:tcPr>
            <w:tcW w:w="5535" w:type="dxa"/>
            <w:tcBorders/>
            <w:shd w:val="clear" w:color="auto" w:fill="ffffff"/>
            <w:vAlign w:val="center"/>
          </w:tcPr>
          <w:p>
            <w:pPr>
              <w:pStyle w:val="style0"/>
              <w:autoSpaceDE w:val="false"/>
              <w:autoSpaceDN w:val="false"/>
              <w:adjustRightInd w:val="false"/>
              <w:spacing w:after="0" w:lineRule="auto" w:line="48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Learners are often absent due to safety concerns (bullying, harassment) within the school.</w:t>
            </w:r>
          </w:p>
        </w:tc>
        <w:tc>
          <w:tcPr>
            <w:tcW w:w="900" w:type="dxa"/>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720" w:type="dxa"/>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w:t>
            </w:r>
          </w:p>
        </w:tc>
        <w:tc>
          <w:tcPr>
            <w:tcW w:w="720" w:type="dxa"/>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5</w:t>
            </w:r>
          </w:p>
        </w:tc>
        <w:tc>
          <w:tcPr>
            <w:tcW w:w="720" w:type="dxa"/>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2.61</w:t>
            </w:r>
          </w:p>
        </w:tc>
        <w:tc>
          <w:tcPr>
            <w:tcW w:w="765" w:type="dxa"/>
            <w:tcBorders/>
            <w:shd w:val="clear" w:color="auto" w:fill="ffffff"/>
            <w:vAlign w:val="center"/>
          </w:tcPr>
          <w:p>
            <w:pPr>
              <w:pStyle w:val="style0"/>
              <w:autoSpaceDE w:val="false"/>
              <w:autoSpaceDN w:val="false"/>
              <w:adjustRightInd w:val="false"/>
              <w:spacing w:after="0" w:lineRule="auto" w:line="48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1.140</w:t>
            </w:r>
          </w:p>
        </w:tc>
      </w:tr>
    </w:tbl>
    <w:p>
      <w:pPr>
        <w:pStyle w:val="style0"/>
        <w:rPr>
          <w:color w:val="000000"/>
        </w:rPr>
      </w:pP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statement “Inadequate school facilities (classroom, toilets, learning materials) contribute to absenteeism” recorded a mean of 3.32, indicating that teachers moderately agreed that poor infrastructure and lack of essential facilities contribute to absenteeism. The standard deviation of 1.266 shows moderate variability in responses, suggesting that while many teachers recognized inadequate facilities as a factor, others may have perceived the situation differently depending on the adequacy of resources in their respective schools.</w:t>
      </w:r>
    </w:p>
    <w:p>
      <w:pPr>
        <w:pStyle w:val="style0"/>
        <w:spacing w:before="100" w:beforeAutospacing="true" w:after="100" w:afterAutospacing="true" w:lineRule="auto" w:line="480"/>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The mean of the statement, “The teacher student relationship in your school positively affects absenteeism” was 3.25, which is moderate since teachers agreed that the quality of teacher-student relationship affects absenteeism. The standard deviation of 1.333 is relatively higher, which means that there is a high degree of variability in the perceptions, which means that although some schools might create strong teacher-student relationships that suppress absenteeism, others might have poor relationships which do not suppress absenteeism effectively.</w:t>
      </w:r>
    </w:p>
    <w:p>
      <w:pPr>
        <w:pStyle w:val="style0"/>
        <w:spacing w:before="100" w:beforeAutospacing="true" w:after="100" w:afterAutospacing="true" w:lineRule="auto" w:line="480"/>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The lowest mean of 2.61 was obtained in the statement “Learners are often absent because there are safety concerns (bullying, harassment) at the school” which indicated that teachers mostly did not agree or were neutral regarding safety concerns as one of the primary causes of absenteeism. The standard deviation of 1.140, though, indicates intermediate variability, i.e. the perception of the safety issues as a prevailing factor was not prevalent, but still, there is a possibility that in some schools, absenteeism can be attributed to bullying or harassment.</w:t>
      </w:r>
    </w:p>
    <w:p>
      <w:pPr>
        <w:pStyle w:val="style0"/>
        <w:spacing w:before="100" w:beforeAutospacing="true" w:after="100" w:afterAutospacing="true" w:lineRule="auto" w:line="480"/>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Analysis of the average result of the three school environment items indicated that the mean was 3.06, which showed that teachers are moderately of the view that school-related conditions, including infrastructure, teacher-student relationship, and safety conditions, may affect the absenteeism of learners. This general average suggests that, in sum total, the lack of facilities in schools, the quality of the interaction between educators and learners and the existence of bullying or harassment can contribute to the development of the attendance rates, but the impact is moderate, not strong. The overall standard deviation of 1.25 indicates moderate variability in the responses of teachers. This implies that although most teachers saw elements of the school environment as being related to absenteeism, there was no uniformity in perceptions. Some teachers might feel that their schools are superior in terms of classrooms, learning resources and safe conditions, whereas others might feel deficient in these facilities or have issues in teacher-student relationships that would influence attendance. Equally, even though safety issues like bullying or harassment are not generally considered as leading factors causing absenteeism, they may also cause absences in some schools or among a few learners. The arguments are supported by empirical data. A study of urban public schools in the mid-Atlantic United States, the poor condition of school facilities, negative views on safety and poor environmental conditions were strongly correlated with high levels of absenteeism and decreased academic outcomes (Berman et al., 2018). On the same note, a recent cross sectional study of rural basic schools in Ghana discovered that most schools do not have adequate educational infrastructure such as classroom blocks, sanitation, and didactic equipment and established a significant relationship between the quality of educational infrastructure and learner retention, engagement, and overall school performance (Yahaya et al., 2025). The outcomes were also similar to Akiru, Kibui, and Kanyiri (2023) in Turkana County, who stated that crowded classroom, poor hygiene, and unavailable learning resources were leading factors of absenteeism and low retention. Likewise, the results of the present research resounded Twaweza (2021), which revealed that teacher absenteeism and low teacher-student interaction were severe school environment factors affecting the attendance of learners.</w:t>
      </w:r>
    </w:p>
    <w:p>
      <w:pPr>
        <w:pStyle w:val="style0"/>
        <w:spacing w:before="240" w:after="240" w:lineRule="auto" w:line="48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Additionally, the teachers were requested to tell how the physical conditions of the school influenced the attendance of the learners. As the teachers observed, the learners tended to compare their schools with others that were well equipped, like the modern storey buildings. In case their local schools are poorly built or of poor quality, students are demotivated and discouraged. Learning in trees or temporary tents was noted as one of the most demoralizing ones because it makes one feel inferior and uncomfortable. Classrooms that are constructed in poor quality are also unsafe which discourages their attendance even more. On the other hand, neat, organized, and well-equipped schools are appealing to learners and they promote their confidence, thus they are ready to attend school on a regular basis. Crowded classrooms were also cited more than once as a significant obstacle to attendance. Having too many learners crowded in a narrow area is not easy to concentrate and some learners may opt out of school altogether. Poor classrooms imply that lessons are at times held outside exposing learners to the adverse weather and distraction. It was pointed out by the teachers that congestion reduces morale and leads to absenteeism since learners feel ignored or forgotten in a congested environment.</w:t>
      </w:r>
    </w:p>
    <w:p>
      <w:pPr>
        <w:pStyle w:val="style0"/>
        <w:spacing w:before="240" w:after="240" w:lineRule="auto" w:line="48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Toilet amenities and sanitation facilities were considered to be critical aspects on the availability and state. Schools that have little or poorly maintained toilets are especially a problem to the learners, especially the girls, who have difficulties with their hygiene especially during menstruation. This results in absenteeism and discomfort. Teachers clarified that when there is a lot of congestion around the few toilets, learners will not want to attend school and when a school has enough sanitation facilities, learners will feel safe, confident and ready to attend school. Another challenge that was mentioned was long commuting to school. Students who have to walk long distances usually come late, fatigued, or do not come at all. This is even worse when schools do not have the basic facilities which include water and food and therefore, the struggle of traveling appears not worth it. The teachers noted that in schools that serve meals, attendance rates are very high as students are encouraged by the promise of food. Insufficient learning resources like textbooks, laboratories and tuition materials were pointed out as one of the factors that diminish attendance. Without being able to use the tools to learn, learners might feel that there is no point in going to school. Conversely, schools that have enough resources are able to attract more number of learners, since students believe that they are acquiring some valuable knowledge and skills.</w:t>
      </w:r>
    </w:p>
    <w:p>
      <w:pPr>
        <w:pStyle w:val="style0"/>
        <w:spacing w:before="240" w:after="240" w:lineRule="auto" w:line="48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Teacher punishment is one of the reasons cited as a cause of absenteeism. Students who commit errors will even skip school to avoid punishment, and in the process isolate themselves and find sympathy elsewhere. This relationship is detrimental to attendance since students will identify school with fear instead of support. The teachers proposed that positive and encouraging environment would aid in maintaining regular attendance. The school climate is also very important. Incivility or insecurity like inadequately fenced compounds where sneaking is possible or unsound classrooms put off the attendee. The atmosphere in school is a factor that causes absenteeism and the environment is a factor that encourages learners to attend school on a regular basis. Although most of the teachers highlighted the adverse effects of poor physical conditions, some of them reported minimal impacts. Others claimed that learners who have high personal objectives are less influenced, but others asserted that schools that are well equipped in their localities are not affected by the problem of absenteeism. This implies that physical conditions are an important consideration but then again, personal determination and community support are also significant.</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Thematic analysis of the interviews with seven headteachers demonstrated that the school environment is one of the key factors that determine learner absenteeism in Bangal Sub-County with four major themes, prevalent in most schools, namely: inadequate physical infrastructure and facilities, environmental hazards and safety concerns, overcrowding and poor learning conditions and distance and accessibility challenges. The theme that came out most in all the interviews was the extreme lack of basic school facilities especially toilets, classes, desks and water supply. It turned out the lack of sanitation facilities became a major issue that directly influenced the attendance of girls during menstruation when they have to wait in long queues and lack privacy, they will have to stay at home. One headteacher reported, "</w:t>
      </w:r>
      <w:r>
        <w:rPr>
          <w:rFonts w:ascii="Times New Roman" w:cs="Times New Roman" w:hAnsi="Times New Roman"/>
          <w:i/>
          <w:color w:val="000000"/>
          <w:sz w:val="24"/>
          <w:szCs w:val="24"/>
        </w:rPr>
        <w:t>Few toilets in school thus most girls tend to stay at home during their monthly periods to avoid the lines in the toilets</w:t>
      </w:r>
      <w:r>
        <w:rPr>
          <w:rFonts w:ascii="Times New Roman" w:cs="Times New Roman" w:hAnsi="Times New Roman"/>
          <w:color w:val="000000"/>
          <w:sz w:val="24"/>
          <w:szCs w:val="24"/>
        </w:rPr>
        <w:t>" (HOI 1). This is a gender-related effect of poor facilities that generate systematic patterns of absenteeism that are disproportionately associated with the continuity of education and academic achievement of girls. The lack of water complicated the problem of hygiene, as schools did not have any water, or they had to buy this water, which imposed extra costs. Lack of classes led to using of improvised facilities like tents that were not suitable to learn in because of excessive heat and uncomfortable conditions. Another headteacher explained, "</w:t>
      </w:r>
      <w:r>
        <w:rPr>
          <w:rFonts w:ascii="Times New Roman" w:cs="Times New Roman" w:hAnsi="Times New Roman"/>
          <w:i/>
          <w:color w:val="000000"/>
          <w:sz w:val="24"/>
          <w:szCs w:val="24"/>
        </w:rPr>
        <w:t>Few classrooms and learners have to learn in makeshift tents which tend to get really hot and are overcrowded so the learners may avoid coming to schools sometimes due to that</w:t>
      </w:r>
      <w:r>
        <w:rPr>
          <w:rFonts w:ascii="Times New Roman" w:cs="Times New Roman" w:hAnsi="Times New Roman"/>
          <w:color w:val="000000"/>
          <w:sz w:val="24"/>
          <w:szCs w:val="24"/>
        </w:rPr>
        <w:t>" (HOI 1). Lack of sufficient desks also meant that a good number of pupils were forced to sit on the floor during classes, a situation that directly impacted their comfort, dignity, and the desire to go to school. Certain students are even known to attend during exams to escape the inconvenience of attending classes on a daily basis without having the right chairs and desks thus indicating that unfavorable physical conditions produce strategic absenteeism patterns where students only attend when they have no choice.</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second theme of high importance was on environmental hazards that rendered school environments unsafe and denounced attendance. This was more intense in flood prone places where seasonal floods swept away classrooms and latrines making schools unusable temporarily and closing them down. On top of actual destruction, the flooding caused secondary risks which comprised of stagnation of water that harbored disease vectors and provision of snakes which caused justifiable safety concerns amongst pupils and parents. One headteacher noted, "</w:t>
      </w:r>
      <w:r>
        <w:rPr>
          <w:rFonts w:ascii="Times New Roman" w:cs="Times New Roman" w:hAnsi="Times New Roman"/>
          <w:i/>
          <w:color w:val="000000"/>
          <w:sz w:val="24"/>
          <w:szCs w:val="24"/>
        </w:rPr>
        <w:t>Fear of snakes and stagnant water discourages pupils from attending. Since there is stagnant water some of the learners contract waterborne diseases that make the learner not to attend school for longer periods</w:t>
      </w:r>
      <w:r>
        <w:rPr>
          <w:rFonts w:ascii="Times New Roman" w:cs="Times New Roman" w:hAnsi="Times New Roman"/>
          <w:color w:val="000000"/>
          <w:sz w:val="24"/>
          <w:szCs w:val="24"/>
        </w:rPr>
        <w:t>" (HOI 2). The environmental effects of such environmental conditions did not just end at the terror of immediate fear but to the reality of disease transmission and pupils became infected with water born diseases that led to long absences. Movement of families as a result of floods also interrupted schooling and caused a ripple effect where early environmental disasters caused both short term school shutdowns and longer family evictions that caused weeks and months of disruption in educational continuity. Iron-sheet roofs used in certain classrooms also posed other environmental problems because such constructions became too hot especially in the afternoon sessions, which made physical discomfort, restlessness, and fatigue, compelling pupils to miss classes.</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third theme of importance was that there was a high level of overcrowding in classrooms, which essentially undermined the quality of learning environment and led to absenteeism. Some headteachers had extraordinary ratios of pupils to the classroom with some containing 60-70 pupils and others containing more than 100-150 pupils in the same room. This degree of crowding resulted in a series of problems that were interconnected: it was impossible to pay attention to the individual students, monitor attendance effectively, comfort and personal space were limited to a minimum, and the learning conditions were chaotic, which discouraged attendance. One headteacher explained, "</w:t>
      </w:r>
      <w:r>
        <w:rPr>
          <w:rFonts w:ascii="Times New Roman" w:cs="Times New Roman" w:hAnsi="Times New Roman"/>
          <w:i/>
          <w:color w:val="000000"/>
          <w:sz w:val="24"/>
          <w:szCs w:val="24"/>
        </w:rPr>
        <w:t>The school faces serious overcrowding in classrooms, which affects both teaching and attendance. Some classes have more than 100 to 150 pupils packed in one room, making it hard for teachers to identify absentees or monitor every learner</w:t>
      </w:r>
      <w:r>
        <w:rPr>
          <w:rFonts w:ascii="Times New Roman" w:cs="Times New Roman" w:hAnsi="Times New Roman"/>
          <w:color w:val="000000"/>
          <w:sz w:val="24"/>
          <w:szCs w:val="24"/>
        </w:rPr>
        <w:t>" (HOI 6). The fact that even it is difficult to find absentees in these congested conditions implies that overcrowding is a vicious circle where the lack of proper monitoring leads to absenteeism and in turn, becomes an accepted norm as the teachers are unable to monitor or trace missing students. The lack of ventilation and overcrowding as well as heat resulted in physically oppressive environments, especially during classes in the afternoon, making pupils avoid classes altogether. Lack of learning materials and textbooks in congested environments also reduced the standards of teaching since the teachers could not give meaningful lessons to all students.</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fourth theme was the physical distance between schools and homes which posed a great obstacle to frequent attendance, especially in pastoral and rural regions. Pupils would walk long distances, and since they had to travel hours and in some cases days before they reached school, they would be hungry and exhausted and therefore they would not have the ability to learn and would not want to go to school. One headteacher observed, "</w:t>
      </w:r>
      <w:r>
        <w:rPr>
          <w:rFonts w:ascii="Times New Roman" w:cs="Times New Roman" w:hAnsi="Times New Roman"/>
          <w:i/>
          <w:color w:val="000000"/>
          <w:sz w:val="24"/>
          <w:szCs w:val="24"/>
        </w:rPr>
        <w:t>Long walking distances to school discourage attendance, especially during dry seasons. By the time the learner arrives they are tired and hungry so some choose to stay at home</w:t>
      </w:r>
      <w:r>
        <w:rPr>
          <w:rFonts w:ascii="Times New Roman" w:cs="Times New Roman" w:hAnsi="Times New Roman"/>
          <w:color w:val="000000"/>
          <w:sz w:val="24"/>
          <w:szCs w:val="24"/>
        </w:rPr>
        <w:t>" (HOI 3). Of particular interest is the seasonal aspect of this challenge whereby dry seasons exacerbate distance-related difficulties by adding to the amount of heat, water scarcity on the routes and conflicting needs of children to work in water fetching and livestock herding. The distance factor and other environmental factors, including absence of feeding programs, formed compounded disincentives to the effect that the physical effort of the long-distance travel was not compensated by sufficient support once a person was at school. The highest mean of 3.57 was obtained in the statement Your school policies on absenteeism (follow-up mechanism, counselling) which means that the teachers moderately agreed that the policies applied by schools like follow-up mechanisms and counselling interventions were effective in dealing with absenteeism. The standard deviation of 1.289 indicates that responses were moderately varied, meaning that, most teachers agreed that these policies were effective, though, some of them felt that the policies were not as effective, which may be attributed to the variation in the levels of consistency in the application of these policies across schools.</w:t>
      </w:r>
    </w:p>
    <w:bookmarkStart w:id="147" w:name="_Toc216513829"/>
    <w:p>
      <w:pPr>
        <w:pStyle w:val="style1"/>
        <w:numPr>
          <w:ilvl w:val="1"/>
          <w:numId w:val="22"/>
        </w:numPr>
        <w:spacing w:before="240" w:after="240"/>
        <w:jc w:val="both"/>
        <w:rPr>
          <w:color w:val="000000"/>
        </w:rPr>
      </w:pPr>
      <w:r>
        <w:rPr>
          <w:color w:val="000000"/>
        </w:rPr>
        <w:t>Policy Implementation and</w:t>
      </w:r>
      <w:r>
        <w:rPr>
          <w:color w:val="000000"/>
        </w:rPr>
        <w:t xml:space="preserve"> Learners’ Absenteeism</w:t>
      </w:r>
      <w:bookmarkEnd w:id="147"/>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The last objective of the study explored </w:t>
      </w:r>
      <w:r>
        <w:rPr>
          <w:rFonts w:ascii="Times New Roman" w:cs="Times New Roman" w:hAnsi="Times New Roman"/>
          <w:color w:val="000000"/>
          <w:sz w:val="24"/>
          <w:szCs w:val="24"/>
        </w:rPr>
        <w:t>the correlation between the level of implementation of National Policy on learner attendance and the observed rates of learners’ absenteeism in Primary schools in Bangal sub-county</w:t>
      </w:r>
      <w:r>
        <w:rPr>
          <w:rFonts w:ascii="Times New Roman" w:cs="Times New Roman" w:hAnsi="Times New Roman"/>
          <w:color w:val="000000"/>
          <w:sz w:val="24"/>
          <w:szCs w:val="24"/>
        </w:rPr>
        <w:t>.</w:t>
      </w:r>
      <w:r>
        <w:rPr>
          <w:rFonts w:ascii="Times New Roman" w:cs="Times New Roman" w:hAnsi="Times New Roman"/>
          <w:color w:val="000000"/>
          <w:sz w:val="24"/>
          <w:szCs w:val="24"/>
        </w:rPr>
        <w:t xml:space="preserve"> Teachers were asked to respond to a set of statements using a five-point Likert scale coded as 1 = Strongly Disagree, 2 = Disagree, 3 = Neutral, 4 = Agree, and 5 = Strongly Agree. Table </w:t>
      </w:r>
      <w:r>
        <w:rPr>
          <w:rFonts w:ascii="Times New Roman" w:cs="Times New Roman" w:hAnsi="Times New Roman"/>
          <w:color w:val="000000"/>
          <w:sz w:val="24"/>
          <w:szCs w:val="24"/>
        </w:rPr>
        <w:t>10</w:t>
      </w:r>
      <w:r>
        <w:rPr>
          <w:rFonts w:ascii="Times New Roman" w:cs="Times New Roman" w:hAnsi="Times New Roman"/>
          <w:color w:val="000000"/>
          <w:sz w:val="24"/>
          <w:szCs w:val="24"/>
        </w:rPr>
        <w:t xml:space="preserve"> presents the descriptive statistics including the mean scores and standard deviations for each statement.</w:t>
      </w:r>
    </w:p>
    <w:bookmarkStart w:id="148" w:name="_Toc216299147"/>
    <w:p>
      <w:pPr>
        <w:pStyle w:val="style4104"/>
        <w:rPr>
          <w:i w:val="false"/>
        </w:rPr>
      </w:pPr>
      <w:r>
        <w:rPr>
          <w:b/>
          <w:i w:val="false"/>
        </w:rPr>
        <w:t>Table 10</w:t>
      </w:r>
      <w:r>
        <w:rPr>
          <w:i w:val="false"/>
        </w:rPr>
        <w:t>:</w:t>
      </w:r>
      <w:bookmarkEnd w:id="148"/>
      <w:r>
        <w:rPr>
          <w:i w:val="false"/>
        </w:rPr>
        <w:t xml:space="preserve"> </w:t>
      </w:r>
    </w:p>
    <w:bookmarkStart w:id="149" w:name="_Toc216299148"/>
    <w:p>
      <w:pPr>
        <w:pStyle w:val="style4104"/>
        <w:rPr/>
      </w:pPr>
      <w:r>
        <w:t>Policy Implementation</w:t>
      </w:r>
      <w:r>
        <w:t xml:space="preserve"> According to Teachers</w:t>
      </w:r>
      <w:bookmarkEnd w:id="149"/>
      <w:r>
        <w:t xml:space="preserve"> </w:t>
      </w:r>
    </w:p>
    <w:tbl>
      <w:tblPr>
        <w:tblW w:w="9360" w:type="dxa"/>
        <w:tblBorders>
          <w:top w:val="single" w:sz="12" w:space="0" w:color="auto"/>
          <w:bottom w:val="single" w:sz="12" w:space="0" w:color="auto"/>
        </w:tblBorders>
        <w:tblLayout w:type="fixed"/>
        <w:tblCellMar>
          <w:left w:w="0" w:type="dxa"/>
          <w:right w:w="0" w:type="dxa"/>
        </w:tblCellMar>
        <w:tblLook w:val="0000" w:firstRow="0" w:lastRow="0" w:firstColumn="0" w:lastColumn="0" w:noHBand="0" w:noVBand="0"/>
      </w:tblPr>
      <w:tblGrid>
        <w:gridCol w:w="5535"/>
        <w:gridCol w:w="900"/>
        <w:gridCol w:w="720"/>
        <w:gridCol w:w="720"/>
        <w:gridCol w:w="720"/>
        <w:gridCol w:w="765"/>
      </w:tblGrid>
      <w:tr>
        <w:trPr>
          <w:cantSplit/>
        </w:trPr>
        <w:tc>
          <w:tcPr>
            <w:tcW w:w="5535" w:type="dxa"/>
            <w:tcBorders>
              <w:bottom w:val="single" w:sz="12" w:space="0" w:color="auto"/>
            </w:tcBorders>
            <w:shd w:val="clear" w:color="auto" w:fill="ffffff"/>
          </w:tcPr>
          <w:p>
            <w:pPr>
              <w:pStyle w:val="style0"/>
              <w:autoSpaceDE w:val="false"/>
              <w:autoSpaceDN w:val="false"/>
              <w:adjustRightInd w:val="false"/>
              <w:spacing w:after="0" w:lineRule="auto" w:line="48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 xml:space="preserve">Statements on </w:t>
            </w:r>
            <w:r>
              <w:rPr>
                <w:rFonts w:ascii="Times New Roman" w:cs="Times New Roman" w:hAnsi="Times New Roman"/>
                <w:color w:val="000000"/>
                <w:sz w:val="24"/>
                <w:szCs w:val="24"/>
              </w:rPr>
              <w:t xml:space="preserve">Policy Implementation </w:t>
            </w:r>
            <w:r>
              <w:rPr>
                <w:rFonts w:ascii="Times New Roman" w:cs="Times New Roman" w:hAnsi="Times New Roman"/>
                <w:color w:val="000000"/>
                <w:sz w:val="24"/>
                <w:szCs w:val="24"/>
              </w:rPr>
              <w:t xml:space="preserve">  </w:t>
            </w:r>
          </w:p>
        </w:tc>
        <w:tc>
          <w:tcPr>
            <w:tcW w:w="900" w:type="dxa"/>
            <w:tcBorders>
              <w:bottom w:val="single" w:sz="12" w:space="0" w:color="auto"/>
            </w:tcBorders>
            <w:shd w:val="clear" w:color="auto" w:fill="ffffff"/>
          </w:tcPr>
          <w:p>
            <w:pPr>
              <w:pStyle w:val="style0"/>
              <w:autoSpaceDE w:val="false"/>
              <w:autoSpaceDN w:val="false"/>
              <w:adjustRightInd w:val="false"/>
              <w:spacing w:after="0" w:lineRule="auto" w:line="48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N</w:t>
            </w:r>
          </w:p>
        </w:tc>
        <w:tc>
          <w:tcPr>
            <w:tcW w:w="720" w:type="dxa"/>
            <w:tcBorders>
              <w:bottom w:val="single" w:sz="12" w:space="0" w:color="auto"/>
            </w:tcBorders>
            <w:shd w:val="clear" w:color="auto" w:fill="ffffff"/>
          </w:tcPr>
          <w:p>
            <w:pPr>
              <w:pStyle w:val="style0"/>
              <w:autoSpaceDE w:val="false"/>
              <w:autoSpaceDN w:val="false"/>
              <w:adjustRightInd w:val="false"/>
              <w:spacing w:after="0" w:lineRule="auto" w:line="48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Min.</w:t>
            </w:r>
          </w:p>
        </w:tc>
        <w:tc>
          <w:tcPr>
            <w:tcW w:w="720" w:type="dxa"/>
            <w:tcBorders>
              <w:bottom w:val="single" w:sz="12" w:space="0" w:color="auto"/>
            </w:tcBorders>
            <w:shd w:val="clear" w:color="auto" w:fill="ffffff"/>
          </w:tcPr>
          <w:p>
            <w:pPr>
              <w:pStyle w:val="style0"/>
              <w:autoSpaceDE w:val="false"/>
              <w:autoSpaceDN w:val="false"/>
              <w:adjustRightInd w:val="false"/>
              <w:spacing w:after="0" w:lineRule="auto" w:line="48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Max.</w:t>
            </w:r>
          </w:p>
        </w:tc>
        <w:tc>
          <w:tcPr>
            <w:tcW w:w="720" w:type="dxa"/>
            <w:tcBorders>
              <w:bottom w:val="single" w:sz="12" w:space="0" w:color="auto"/>
            </w:tcBorders>
            <w:shd w:val="clear" w:color="auto" w:fill="ffffff"/>
          </w:tcPr>
          <w:p>
            <w:pPr>
              <w:pStyle w:val="style0"/>
              <w:autoSpaceDE w:val="false"/>
              <w:autoSpaceDN w:val="false"/>
              <w:adjustRightInd w:val="false"/>
              <w:spacing w:after="0" w:lineRule="auto" w:line="48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Mean</w:t>
            </w:r>
          </w:p>
        </w:tc>
        <w:tc>
          <w:tcPr>
            <w:tcW w:w="765" w:type="dxa"/>
            <w:tcBorders>
              <w:bottom w:val="single" w:sz="12" w:space="0" w:color="auto"/>
            </w:tcBorders>
            <w:shd w:val="clear" w:color="auto" w:fill="ffffff"/>
          </w:tcPr>
          <w:p>
            <w:pPr>
              <w:pStyle w:val="style0"/>
              <w:autoSpaceDE w:val="false"/>
              <w:autoSpaceDN w:val="false"/>
              <w:adjustRightInd w:val="false"/>
              <w:spacing w:after="0" w:lineRule="auto" w:line="48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Std. Dev.</w:t>
            </w:r>
          </w:p>
        </w:tc>
      </w:tr>
      <w:tr>
        <w:tblPrEx/>
        <w:trPr>
          <w:cantSplit/>
        </w:trPr>
        <w:tc>
          <w:tcPr>
            <w:tcW w:w="5535" w:type="dxa"/>
            <w:tcBorders>
              <w:top w:val="single" w:sz="12" w:space="0" w:color="auto"/>
              <w:bottom w:val="nil"/>
            </w:tcBorders>
            <w:shd w:val="clear" w:color="auto" w:fill="ffffff"/>
            <w:vAlign w:val="center"/>
          </w:tcPr>
          <w:p>
            <w:pPr>
              <w:pStyle w:val="style0"/>
              <w:autoSpaceDE w:val="false"/>
              <w:autoSpaceDN w:val="false"/>
              <w:adjustRightInd w:val="false"/>
              <w:spacing w:after="0" w:lineRule="atLeast" w:line="32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Your school's policies on absenteeism (follow-up mechanism, counselling) are effective.</w:t>
            </w:r>
          </w:p>
        </w:tc>
        <w:tc>
          <w:tcPr>
            <w:tcW w:w="900" w:type="dxa"/>
            <w:tcBorders>
              <w:top w:val="single" w:sz="12" w:space="0" w:color="auto"/>
              <w:bottom w:val="nil"/>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720" w:type="dxa"/>
            <w:tcBorders>
              <w:top w:val="single" w:sz="12" w:space="0" w:color="auto"/>
              <w:bottom w:val="nil"/>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w:t>
            </w:r>
          </w:p>
        </w:tc>
        <w:tc>
          <w:tcPr>
            <w:tcW w:w="720" w:type="dxa"/>
            <w:tcBorders>
              <w:top w:val="single" w:sz="12" w:space="0" w:color="auto"/>
              <w:bottom w:val="nil"/>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5</w:t>
            </w:r>
          </w:p>
        </w:tc>
        <w:tc>
          <w:tcPr>
            <w:tcW w:w="720" w:type="dxa"/>
            <w:tcBorders>
              <w:top w:val="single" w:sz="12" w:space="0" w:color="auto"/>
              <w:bottom w:val="nil"/>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3.57</w:t>
            </w:r>
          </w:p>
        </w:tc>
        <w:tc>
          <w:tcPr>
            <w:tcW w:w="765" w:type="dxa"/>
            <w:tcBorders>
              <w:top w:val="single" w:sz="12" w:space="0" w:color="auto"/>
              <w:bottom w:val="nil"/>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1.289</w:t>
            </w:r>
          </w:p>
        </w:tc>
      </w:tr>
      <w:tr>
        <w:tblPrEx/>
        <w:trPr>
          <w:cantSplit/>
        </w:trPr>
        <w:tc>
          <w:tcPr>
            <w:tcW w:w="5535" w:type="dxa"/>
            <w:tcBorders>
              <w:top w:val="nil"/>
            </w:tcBorders>
            <w:shd w:val="clear" w:color="auto" w:fill="ffffff"/>
            <w:vAlign w:val="center"/>
          </w:tcPr>
          <w:p>
            <w:pPr>
              <w:pStyle w:val="style0"/>
              <w:autoSpaceDE w:val="false"/>
              <w:autoSpaceDN w:val="false"/>
              <w:adjustRightInd w:val="false"/>
              <w:spacing w:after="0" w:lineRule="atLeast" w:line="32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Parents are adequately involved in addressing absenteeism</w:t>
            </w:r>
          </w:p>
        </w:tc>
        <w:tc>
          <w:tcPr>
            <w:tcW w:w="900" w:type="dxa"/>
            <w:tcBorders>
              <w:top w:val="nil"/>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720" w:type="dxa"/>
            <w:tcBorders>
              <w:top w:val="nil"/>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w:t>
            </w:r>
          </w:p>
        </w:tc>
        <w:tc>
          <w:tcPr>
            <w:tcW w:w="720" w:type="dxa"/>
            <w:tcBorders>
              <w:top w:val="nil"/>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5</w:t>
            </w:r>
          </w:p>
        </w:tc>
        <w:tc>
          <w:tcPr>
            <w:tcW w:w="720" w:type="dxa"/>
            <w:tcBorders>
              <w:top w:val="nil"/>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3.12</w:t>
            </w:r>
          </w:p>
        </w:tc>
        <w:tc>
          <w:tcPr>
            <w:tcW w:w="765" w:type="dxa"/>
            <w:tcBorders>
              <w:top w:val="nil"/>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1.420</w:t>
            </w:r>
          </w:p>
        </w:tc>
      </w:tr>
      <w:tr>
        <w:tblPrEx/>
        <w:trPr>
          <w:cantSplit/>
        </w:trPr>
        <w:tc>
          <w:tcPr>
            <w:tcW w:w="5535" w:type="dxa"/>
            <w:tcBorders/>
            <w:shd w:val="clear" w:color="auto" w:fill="ffffff"/>
            <w:vAlign w:val="center"/>
          </w:tcPr>
          <w:p>
            <w:pPr>
              <w:pStyle w:val="style0"/>
              <w:autoSpaceDE w:val="false"/>
              <w:autoSpaceDN w:val="false"/>
              <w:adjustRightInd w:val="false"/>
              <w:spacing w:after="0" w:lineRule="atLeast" w:line="32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Penalties for absenteeism are effectively enforced in your school.</w:t>
            </w:r>
          </w:p>
        </w:tc>
        <w:tc>
          <w:tcPr>
            <w:tcW w:w="90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7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w:t>
            </w:r>
          </w:p>
        </w:tc>
        <w:tc>
          <w:tcPr>
            <w:tcW w:w="7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5</w:t>
            </w:r>
          </w:p>
        </w:tc>
        <w:tc>
          <w:tcPr>
            <w:tcW w:w="7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3.29</w:t>
            </w:r>
          </w:p>
        </w:tc>
        <w:tc>
          <w:tcPr>
            <w:tcW w:w="765"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1.261</w:t>
            </w:r>
          </w:p>
        </w:tc>
      </w:tr>
    </w:tbl>
    <w:p>
      <w:pPr>
        <w:pStyle w:val="style0"/>
        <w:rPr>
          <w:color w:val="000000"/>
        </w:rPr>
      </w:pPr>
    </w:p>
    <w:p>
      <w:pPr>
        <w:pStyle w:val="style0"/>
        <w:spacing w:before="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statement “Your school's policies on absenteeism (follow-up mechanism, counselling) are effective” recorded the highest mean of 3.57, indicating that teachers moderately agreed that school-level policies such as follow-up mechanisms and counselling interventions were effective in addressing absenteeism. The standard deviation of 1.289 shows moderate variability in responses, suggesting that while many teachers recognized the effectiveness of these policies, others perceived them as less impactful, possibly due to differences in how consistently such measures were implemented across schools.</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lowest mean of 3.12 was recorded in the statement that “Parents are adequately involved in addressing absenteeism” and this indicates that there was less agreement among the teachers that parental involvement was sufficient in addressing absenteeism. The standard deviation of 1.420 is relatively high, meaning that there is a large variation in the perceptions and therefore, some schools can perform well with high parental involvement; others have a problem with low level of parental cooperation thus making the absentees interventions ineffective.</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question statement “Penalties for absenteeism are practically imposed in your school” resulted in a mean of 3.29 indicating moderate agreement among the teachers that disciplinary action was used to contain absenteeism. The standard deviation of 1.261 implies that there was moderate variation, i.e. there was no uniformity in the imposition of penalties across schools. There can be well-defined and consistently implemented sanctions in some schools, whereas other schools may lack a well-developed enforcement system, which results in a different perception of teachers.</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The mean of 3.33 is the aggregate mean which means that the teachers were moderately in agreement that policy implementation affects absenteeism. The fact that the mean is slightly higher than the neutral point (3.00) indicates that although policies like follow-up mechanisms, counselling, parental involvement and penalties imposition are identified as applicable, they are not considered to be very effective in checking absenteeism. The total standard deviation of 1.32 indicates moderate to high range of variability in teacher responses. Such a high level of dispersion means that the experiences of policy implementation were not homogenous between schools. There are schools with good follow up systems, parental participation and use of punitive measures and those with no such systems, hence varied perceptions of efficacy. The results of the present study are consistent with those of Gitonga, Njoka, and Ndegwa (2018), who found out that the programs that are put in place to manage the absenteeism of students in the public day secondary schools in Kirinyaga. </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 Kenya, such measures as county, affordable levies, bursaries, frequent roll calls, and spot checks proved helpful in discouraging absenteeism. This reinforces the conclusion of the present study that policy implementation in schools, which involves follow up mechanism can impact attendance of learners. Likewise, the results align with Koros (2023), who found that the engagements of parents in the school management, counselling, and academic supervision in Kericho County, Kenya, led to better school discipline and control over the students thus minimizing absenteeism.</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thematic analysis of the interviews with seven headteachers indicated that there were serious discrepancies between the existence of policies and their successful implementation in the case of the attendance of learners in Bangal Sub-County, and four major themes were found that included: inappropriate monitoring and following systems, lack of parental engagement and cooperation, lack of enforcement and accountability, and lack of institutional capacity to intervene.</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thematic analysis of the interviews with seven headteachers indicated that there were serious discrepancies between the existence of policies and their successful implementation in the case of the attendance of learners in Bangal Sub-County, and four major themes were found that included: inappropriate monitoring and following systems, lack of parental engagement and cooperation, lack of enforcement and accountability, and lack of institutional capacity to intervene.  The most generalized result of all the interviews was that even though attendance registers were verified day in day out in most schools, the follow-up of absentees was not consistent, complete, or in some cases, not done at all. According to headteachers, the attendance recording was a bureaucratic ritual, not an element of an effective system to deal with absenteeism. The system of monitoring failed at several stages: the teachers could not keep track of individual students in the crowded classrooms, it was hard to keep the records when false contacts were given by the families and even when the absence was noted, systematic follow-up was not completed. One headteacher explained, "</w:t>
      </w:r>
      <w:r>
        <w:rPr>
          <w:rFonts w:ascii="Times New Roman" w:cs="Times New Roman" w:hAnsi="Times New Roman"/>
          <w:i/>
          <w:color w:val="000000"/>
          <w:sz w:val="24"/>
          <w:szCs w:val="24"/>
        </w:rPr>
        <w:t>As much as the teachers mark the attendance register, we have a large number of learners so the class teacher sometimes cannot keep record of all learners</w:t>
      </w:r>
      <w:r>
        <w:rPr>
          <w:rFonts w:ascii="Times New Roman" w:cs="Times New Roman" w:hAnsi="Times New Roman"/>
          <w:color w:val="000000"/>
          <w:sz w:val="24"/>
          <w:szCs w:val="24"/>
        </w:rPr>
        <w:t>" (HOI 3). This confession shows how even the fundamental policy execution is compromised by such structural issues as overcrowding, making the attendance policies mostly symbolic. The effort to visit homes as a follow-up mechanism was thwarted by transport and the fact that it was difficult to find the home of pupils especially where parents knowingly gave incorrect details so as to escape the responsibility. Another headteacher noted, "</w:t>
      </w:r>
      <w:r>
        <w:rPr>
          <w:rFonts w:ascii="Times New Roman" w:cs="Times New Roman" w:hAnsi="Times New Roman"/>
          <w:i/>
          <w:color w:val="000000"/>
          <w:sz w:val="24"/>
          <w:szCs w:val="24"/>
        </w:rPr>
        <w:t>Some of the learners are hard to keep record of as their parents give false contacts and the teachers do not know where the learner lives</w:t>
      </w:r>
      <w:r>
        <w:rPr>
          <w:rFonts w:ascii="Times New Roman" w:cs="Times New Roman" w:hAnsi="Times New Roman"/>
          <w:color w:val="000000"/>
          <w:sz w:val="24"/>
          <w:szCs w:val="24"/>
        </w:rPr>
        <w:t>" (HOI 2). This intentional avoidance by certain families indicates that they are actively opposing the monitoring attempts, and it is changing what is supposed to be a cooperative process into an antagonistic one where schools can barely find missing students.</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second key theme was the overall huge lack of direction between schools and parents concerning attendance regulations and norms. In all interviews, headteachers said that parents showed little engagement in attending school of their children except when called upon by teachers, and even then, majority of parents did not respond to the call. There were community sensitization meetings held to create awareness on the importance of attendance but the parents who should have attended most attended the meetings poorly. One headteacher observed, "</w:t>
      </w:r>
      <w:r>
        <w:rPr>
          <w:rFonts w:ascii="Times New Roman" w:cs="Times New Roman" w:hAnsi="Times New Roman"/>
          <w:i/>
          <w:color w:val="000000"/>
          <w:sz w:val="24"/>
          <w:szCs w:val="24"/>
        </w:rPr>
        <w:t>The school organizes community sensitization meetings to raise awareness about attendance, but still most parents are not cooperative and do not attend those meetings</w:t>
      </w:r>
      <w:r>
        <w:rPr>
          <w:rFonts w:ascii="Times New Roman" w:cs="Times New Roman" w:hAnsi="Times New Roman"/>
          <w:color w:val="000000"/>
          <w:sz w:val="24"/>
          <w:szCs w:val="24"/>
        </w:rPr>
        <w:t>" (HOI 2). This non-cooperation behavior was also applied to phone calls, where parents sometimes fail to pick their phones when teachers call to inquire about their absenteeism thus protecting families against school-based accountability systems. The absence of parental knowledge concerning the attendance policy did not seem to be ignorance, but rather a discrepancy of priorities, with immediate economic and cultural interests of parents winning over the educational imperative of the school. Other parents perceived the follow-up in schools as invasive as opposed to supportive especially when their children were absent because of non-compliance by choice on the part of the parents to pursue an education as a result of the need to labor, cultural traditions, or even to survive economically. This inherent mismatch between what schools expect and what communities live in placed the two aspects at a gap whereby attendance policy was functioning in a vacuum, without connection to the lived experiences and decision-making structures of the families to which they were supposed to be applicable.</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third important theme was an overriding disjuncture between the existence of policy and its performance whereby the headteachers admitted that the policies on absenteeism were not implemented properly or strictly even when they were written. Schools used many disciplinary actions to absenteeism like manual labor such as sweeping classes, grass, chopping wood, toilet cleaning but these measures were not effective in curbing absenteeism. One headteacher candidly stated, "</w:t>
      </w:r>
      <w:r>
        <w:rPr>
          <w:rFonts w:ascii="Times New Roman" w:cs="Times New Roman" w:hAnsi="Times New Roman"/>
          <w:i/>
          <w:color w:val="000000"/>
          <w:sz w:val="24"/>
          <w:szCs w:val="24"/>
        </w:rPr>
        <w:t>Although the school has good policies on paper, they are not enforced properly. Weak monitoring and lack of accountability have made absenteeism a major issue that the school struggles with</w:t>
      </w:r>
      <w:r>
        <w:rPr>
          <w:rFonts w:ascii="Times New Roman" w:cs="Times New Roman" w:hAnsi="Times New Roman"/>
          <w:color w:val="000000"/>
          <w:sz w:val="24"/>
          <w:szCs w:val="24"/>
        </w:rPr>
        <w:t>" (HOI 5). This recognition of the failure in implementation refers to systemic and not personal failures, in which even well-intended policies are unable to push against structural obstacles. The disciplinary approach itself appeared counterproductive, as another headteacher noted that "</w:t>
      </w:r>
      <w:r>
        <w:rPr>
          <w:rFonts w:ascii="Times New Roman" w:cs="Times New Roman" w:hAnsi="Times New Roman"/>
          <w:i/>
          <w:color w:val="000000"/>
          <w:sz w:val="24"/>
          <w:szCs w:val="24"/>
        </w:rPr>
        <w:t>When pupils skip school or break rules, they are given punishments such as cutting grass, sweeping, or cleaning toilets. These measures are meant to discourage absenteeism, but most pupils dislike them and do not see them as corrective</w:t>
      </w:r>
      <w:r>
        <w:rPr>
          <w:rFonts w:ascii="Times New Roman" w:cs="Times New Roman" w:hAnsi="Times New Roman"/>
          <w:color w:val="000000"/>
          <w:sz w:val="24"/>
          <w:szCs w:val="24"/>
        </w:rPr>
        <w:t>" (HOI 7). Instead of solving the causes of absenteeism poverty such as cultural demands, bad school environments, punitive actions would only serve to further drive away already marginalized students which would only serve to strengthen their non-attachment to school instead of weakening it.</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fourth theme was the lack of ability of schools to have comprehensive interventions in areas of absenteeism. Insufficient guidance and counseling services became a major gap because there are not many teachers who work in this field in comparison with the number of pupils, and the counselors who do work in this field are poorly trained to address complicated situations related to poverty, traumas, cultural pressures, or family dysfunction. Lack of support program to the economically disadvantaged families implied that the schools were able to detect the absenceeeism but could not treat the causes of the absenceeeism. There existed several limitations at once; teachers had poor access to homes because of transportation limitations, excessive classroom size to meet with individual students, failed to receive training on how to engage with the community and resolve conflicts, and they had no materials to support the struggling families. Schools were isolated institutions that were trying to impose attendance requirements when that ecosystem of social services, economic assistance, and community relations needed to mitigate the multifarious reasons of absenteeism seen in the previous themes.</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One of the vital lessons that came out in the cross-section of themes was the inherent incompatibility of the assumptions in attendance policy with the realities of the contexts of implementation. The policies were presented as being geared towards situations when families were education-oriented, their livelihoods were stable, regular without problems with attending school, and their communication with schools was working, and they obeyed the institutional authority. The Bangal Sub-County reality was the opposite: the family survival needs competed with education, population was highly mobile, contact information was not always true and the respect of school authority was scarce when it clashed with cultural or economic demands. One headteacher summarized this gap: "</w:t>
      </w:r>
      <w:r>
        <w:rPr>
          <w:rFonts w:ascii="Times New Roman" w:cs="Times New Roman" w:hAnsi="Times New Roman"/>
          <w:i/>
          <w:color w:val="000000"/>
          <w:sz w:val="24"/>
          <w:szCs w:val="24"/>
        </w:rPr>
        <w:t>Attendance registers are checked daily, and absentees' parents are contacted, though they still miss school despite the efforts. Although there are rules that are put in place for absenteeism, they are not fully enforced and attendance remains irregular</w:t>
      </w:r>
      <w:r>
        <w:rPr>
          <w:rFonts w:ascii="Times New Roman" w:cs="Times New Roman" w:hAnsi="Times New Roman"/>
          <w:color w:val="000000"/>
          <w:sz w:val="24"/>
          <w:szCs w:val="24"/>
        </w:rPr>
        <w:t>" (HOI 4). This quote describes how hopeless it is to impose mechanical policies without adapting them to the context, where adhering to prescriptions leads to no significant difference in the results.</w:t>
      </w:r>
    </w:p>
    <w:bookmarkStart w:id="150" w:name="_Toc216513830"/>
    <w:p>
      <w:pPr>
        <w:pStyle w:val="style1"/>
        <w:numPr>
          <w:ilvl w:val="1"/>
          <w:numId w:val="22"/>
        </w:numPr>
        <w:spacing w:before="240" w:after="240"/>
        <w:jc w:val="both"/>
        <w:rPr>
          <w:color w:val="000000"/>
        </w:rPr>
      </w:pPr>
      <w:r>
        <w:rPr>
          <w:color w:val="000000"/>
        </w:rPr>
        <w:t>Learners’ Absenteeism</w:t>
      </w:r>
      <w:bookmarkEnd w:id="150"/>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dependent variable of the study that defined the actual problem under investigation was the prevalence of learners’ absenteeism in Primary schools in Bangal sub-county.</w:t>
      </w:r>
      <w:r>
        <w:rPr>
          <w:rFonts w:ascii="Times New Roman" w:cs="Times New Roman" w:hAnsi="Times New Roman"/>
          <w:color w:val="000000"/>
          <w:sz w:val="24"/>
          <w:szCs w:val="24"/>
        </w:rPr>
        <w:t xml:space="preserve"> To measure this, teachers were asked to respond to a set of statements using a five-point Likert scale coded as 1 = Strongly Disagree, 2 = Disagree, 3 = Neutral, 4 = Agree, and 5 = Strongly Agree. Table </w:t>
      </w:r>
      <w:r>
        <w:rPr>
          <w:rFonts w:ascii="Times New Roman" w:cs="Times New Roman" w:hAnsi="Times New Roman"/>
          <w:color w:val="000000"/>
          <w:sz w:val="24"/>
          <w:szCs w:val="24"/>
        </w:rPr>
        <w:t>11</w:t>
      </w:r>
      <w:r>
        <w:rPr>
          <w:rFonts w:ascii="Times New Roman" w:cs="Times New Roman" w:hAnsi="Times New Roman"/>
          <w:color w:val="000000"/>
          <w:sz w:val="24"/>
          <w:szCs w:val="24"/>
        </w:rPr>
        <w:t xml:space="preserve"> presents the descriptive statistics including the mean scores and standard deviations for each statement.</w:t>
      </w:r>
    </w:p>
    <w:bookmarkStart w:id="151" w:name="_Toc216299149"/>
    <w:p>
      <w:pPr>
        <w:pStyle w:val="style4104"/>
        <w:rPr>
          <w:i w:val="false"/>
        </w:rPr>
      </w:pPr>
      <w:r>
        <w:rPr>
          <w:b/>
          <w:i w:val="false"/>
        </w:rPr>
        <w:t>Table 11</w:t>
      </w:r>
      <w:r>
        <w:rPr>
          <w:i w:val="false"/>
        </w:rPr>
        <w:t>:</w:t>
      </w:r>
      <w:bookmarkEnd w:id="151"/>
      <w:r>
        <w:rPr>
          <w:i w:val="false"/>
        </w:rPr>
        <w:t xml:space="preserve"> </w:t>
      </w:r>
    </w:p>
    <w:bookmarkStart w:id="152" w:name="_Toc216299150"/>
    <w:p>
      <w:pPr>
        <w:pStyle w:val="style4104"/>
        <w:rPr/>
      </w:pPr>
      <w:r>
        <w:t>Policy Implementation According to Teachers</w:t>
      </w:r>
      <w:bookmarkEnd w:id="152"/>
      <w:r>
        <w:t xml:space="preserve"> </w:t>
      </w:r>
    </w:p>
    <w:tbl>
      <w:tblPr>
        <w:tblW w:w="9360" w:type="dxa"/>
        <w:tblBorders>
          <w:top w:val="single" w:sz="12" w:space="0" w:color="auto"/>
          <w:bottom w:val="single" w:sz="12" w:space="0" w:color="auto"/>
        </w:tblBorders>
        <w:tblLayout w:type="fixed"/>
        <w:tblCellMar>
          <w:left w:w="0" w:type="dxa"/>
          <w:right w:w="0" w:type="dxa"/>
        </w:tblCellMar>
        <w:tblLook w:val="0000" w:firstRow="0" w:lastRow="0" w:firstColumn="0" w:lastColumn="0" w:noHBand="0" w:noVBand="0"/>
      </w:tblPr>
      <w:tblGrid>
        <w:gridCol w:w="5535"/>
        <w:gridCol w:w="900"/>
        <w:gridCol w:w="720"/>
        <w:gridCol w:w="720"/>
        <w:gridCol w:w="720"/>
        <w:gridCol w:w="765"/>
      </w:tblGrid>
      <w:tr>
        <w:trPr>
          <w:cantSplit/>
        </w:trPr>
        <w:tc>
          <w:tcPr>
            <w:tcW w:w="5535" w:type="dxa"/>
            <w:tcBorders>
              <w:bottom w:val="single" w:sz="12" w:space="0" w:color="auto"/>
            </w:tcBorders>
            <w:shd w:val="clear" w:color="auto" w:fill="ffffff"/>
          </w:tcPr>
          <w:p>
            <w:pPr>
              <w:pStyle w:val="style0"/>
              <w:autoSpaceDE w:val="false"/>
              <w:autoSpaceDN w:val="false"/>
              <w:adjustRightInd w:val="false"/>
              <w:spacing w:after="0" w:lineRule="auto" w:line="36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 xml:space="preserve">Statements on Policy Implementation   </w:t>
            </w:r>
          </w:p>
        </w:tc>
        <w:tc>
          <w:tcPr>
            <w:tcW w:w="900" w:type="dxa"/>
            <w:tcBorders>
              <w:bottom w:val="single" w:sz="12" w:space="0" w:color="auto"/>
            </w:tcBorders>
            <w:shd w:val="clear" w:color="auto" w:fill="ffffff"/>
          </w:tcPr>
          <w:p>
            <w:pPr>
              <w:pStyle w:val="style0"/>
              <w:autoSpaceDE w:val="false"/>
              <w:autoSpaceDN w:val="false"/>
              <w:adjustRightInd w:val="false"/>
              <w:spacing w:after="0" w:lineRule="auto" w:line="36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N</w:t>
            </w:r>
          </w:p>
        </w:tc>
        <w:tc>
          <w:tcPr>
            <w:tcW w:w="720" w:type="dxa"/>
            <w:tcBorders>
              <w:bottom w:val="single" w:sz="12" w:space="0" w:color="auto"/>
            </w:tcBorders>
            <w:shd w:val="clear" w:color="auto" w:fill="ffffff"/>
          </w:tcPr>
          <w:p>
            <w:pPr>
              <w:pStyle w:val="style0"/>
              <w:autoSpaceDE w:val="false"/>
              <w:autoSpaceDN w:val="false"/>
              <w:adjustRightInd w:val="false"/>
              <w:spacing w:after="0" w:lineRule="auto" w:line="36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Min.</w:t>
            </w:r>
          </w:p>
        </w:tc>
        <w:tc>
          <w:tcPr>
            <w:tcW w:w="720" w:type="dxa"/>
            <w:tcBorders>
              <w:bottom w:val="single" w:sz="12" w:space="0" w:color="auto"/>
            </w:tcBorders>
            <w:shd w:val="clear" w:color="auto" w:fill="ffffff"/>
          </w:tcPr>
          <w:p>
            <w:pPr>
              <w:pStyle w:val="style0"/>
              <w:autoSpaceDE w:val="false"/>
              <w:autoSpaceDN w:val="false"/>
              <w:adjustRightInd w:val="false"/>
              <w:spacing w:after="0" w:lineRule="auto" w:line="36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Max.</w:t>
            </w:r>
          </w:p>
        </w:tc>
        <w:tc>
          <w:tcPr>
            <w:tcW w:w="720" w:type="dxa"/>
            <w:tcBorders>
              <w:bottom w:val="single" w:sz="12" w:space="0" w:color="auto"/>
            </w:tcBorders>
            <w:shd w:val="clear" w:color="auto" w:fill="ffffff"/>
          </w:tcPr>
          <w:p>
            <w:pPr>
              <w:pStyle w:val="style0"/>
              <w:autoSpaceDE w:val="false"/>
              <w:autoSpaceDN w:val="false"/>
              <w:adjustRightInd w:val="false"/>
              <w:spacing w:after="0" w:lineRule="auto" w:line="36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Mean</w:t>
            </w:r>
          </w:p>
        </w:tc>
        <w:tc>
          <w:tcPr>
            <w:tcW w:w="765" w:type="dxa"/>
            <w:tcBorders>
              <w:bottom w:val="single" w:sz="12" w:space="0" w:color="auto"/>
            </w:tcBorders>
            <w:shd w:val="clear" w:color="auto" w:fill="ffffff"/>
          </w:tcPr>
          <w:p>
            <w:pPr>
              <w:pStyle w:val="style0"/>
              <w:autoSpaceDE w:val="false"/>
              <w:autoSpaceDN w:val="false"/>
              <w:adjustRightInd w:val="false"/>
              <w:spacing w:after="0" w:lineRule="auto" w:line="36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Std. Dev.</w:t>
            </w:r>
          </w:p>
        </w:tc>
      </w:tr>
      <w:tr>
        <w:tblPrEx/>
        <w:trPr>
          <w:cantSplit/>
        </w:trPr>
        <w:tc>
          <w:tcPr>
            <w:tcW w:w="5535" w:type="dxa"/>
            <w:tcBorders>
              <w:top w:val="single" w:sz="12" w:space="0" w:color="auto"/>
              <w:bottom w:val="nil"/>
            </w:tcBorders>
            <w:shd w:val="clear" w:color="auto" w:fill="ffffff"/>
            <w:vAlign w:val="center"/>
          </w:tcPr>
          <w:p>
            <w:pPr>
              <w:pStyle w:val="style0"/>
              <w:autoSpaceDE w:val="false"/>
              <w:autoSpaceDN w:val="false"/>
              <w:adjustRightInd w:val="false"/>
              <w:spacing w:after="0" w:lineRule="auto" w:line="36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Learners with positive attitude towards school are less likely to be absent.</w:t>
            </w:r>
          </w:p>
        </w:tc>
        <w:tc>
          <w:tcPr>
            <w:tcW w:w="900" w:type="dxa"/>
            <w:tcBorders>
              <w:top w:val="single" w:sz="12" w:space="0" w:color="auto"/>
              <w:bottom w:val="nil"/>
            </w:tcBorders>
            <w:shd w:val="clear" w:color="auto" w:fill="ffffff"/>
            <w:vAlign w:val="center"/>
          </w:tcPr>
          <w:p>
            <w:pPr>
              <w:pStyle w:val="style0"/>
              <w:autoSpaceDE w:val="false"/>
              <w:autoSpaceDN w:val="false"/>
              <w:adjustRightInd w:val="false"/>
              <w:spacing w:after="0" w:lineRule="auto" w:line="36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69</w:t>
            </w:r>
          </w:p>
        </w:tc>
        <w:tc>
          <w:tcPr>
            <w:tcW w:w="720" w:type="dxa"/>
            <w:tcBorders>
              <w:top w:val="single" w:sz="12" w:space="0" w:color="auto"/>
              <w:bottom w:val="nil"/>
            </w:tcBorders>
            <w:shd w:val="clear" w:color="auto" w:fill="ffffff"/>
            <w:vAlign w:val="center"/>
          </w:tcPr>
          <w:p>
            <w:pPr>
              <w:pStyle w:val="style0"/>
              <w:autoSpaceDE w:val="false"/>
              <w:autoSpaceDN w:val="false"/>
              <w:adjustRightInd w:val="false"/>
              <w:spacing w:after="0" w:lineRule="auto" w:line="36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w:t>
            </w:r>
          </w:p>
        </w:tc>
        <w:tc>
          <w:tcPr>
            <w:tcW w:w="720" w:type="dxa"/>
            <w:tcBorders>
              <w:top w:val="single" w:sz="12" w:space="0" w:color="auto"/>
              <w:bottom w:val="nil"/>
            </w:tcBorders>
            <w:shd w:val="clear" w:color="auto" w:fill="ffffff"/>
            <w:vAlign w:val="center"/>
          </w:tcPr>
          <w:p>
            <w:pPr>
              <w:pStyle w:val="style0"/>
              <w:autoSpaceDE w:val="false"/>
              <w:autoSpaceDN w:val="false"/>
              <w:adjustRightInd w:val="false"/>
              <w:spacing w:after="0" w:lineRule="auto" w:line="36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5</w:t>
            </w:r>
          </w:p>
        </w:tc>
        <w:tc>
          <w:tcPr>
            <w:tcW w:w="720" w:type="dxa"/>
            <w:tcBorders>
              <w:top w:val="single" w:sz="12" w:space="0" w:color="auto"/>
              <w:bottom w:val="nil"/>
            </w:tcBorders>
            <w:shd w:val="clear" w:color="auto" w:fill="ffffff"/>
            <w:vAlign w:val="center"/>
          </w:tcPr>
          <w:p>
            <w:pPr>
              <w:pStyle w:val="style0"/>
              <w:autoSpaceDE w:val="false"/>
              <w:autoSpaceDN w:val="false"/>
              <w:adjustRightInd w:val="false"/>
              <w:spacing w:after="0" w:lineRule="auto" w:line="36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4.48</w:t>
            </w:r>
          </w:p>
        </w:tc>
        <w:tc>
          <w:tcPr>
            <w:tcW w:w="765" w:type="dxa"/>
            <w:tcBorders>
              <w:top w:val="single" w:sz="12" w:space="0" w:color="auto"/>
              <w:bottom w:val="nil"/>
            </w:tcBorders>
            <w:shd w:val="clear" w:color="auto" w:fill="ffffff"/>
            <w:vAlign w:val="center"/>
          </w:tcPr>
          <w:p>
            <w:pPr>
              <w:pStyle w:val="style0"/>
              <w:autoSpaceDE w:val="false"/>
              <w:autoSpaceDN w:val="false"/>
              <w:adjustRightInd w:val="false"/>
              <w:spacing w:after="0" w:lineRule="auto" w:line="36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.885</w:t>
            </w:r>
          </w:p>
        </w:tc>
      </w:tr>
      <w:tr>
        <w:tblPrEx/>
        <w:trPr>
          <w:cantSplit/>
        </w:trPr>
        <w:tc>
          <w:tcPr>
            <w:tcW w:w="5535" w:type="dxa"/>
            <w:tcBorders>
              <w:top w:val="nil"/>
            </w:tcBorders>
            <w:shd w:val="clear" w:color="auto" w:fill="ffffff"/>
            <w:vAlign w:val="center"/>
          </w:tcPr>
          <w:p>
            <w:pPr>
              <w:pStyle w:val="style0"/>
              <w:autoSpaceDE w:val="false"/>
              <w:autoSpaceDN w:val="false"/>
              <w:adjustRightInd w:val="false"/>
              <w:spacing w:after="0" w:lineRule="auto" w:line="36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Frequent absenteeism is often linked to pupils' negative perception of their school.</w:t>
            </w:r>
          </w:p>
        </w:tc>
        <w:tc>
          <w:tcPr>
            <w:tcW w:w="900" w:type="dxa"/>
            <w:tcBorders>
              <w:top w:val="nil"/>
            </w:tcBorders>
            <w:shd w:val="clear" w:color="auto" w:fill="ffffff"/>
            <w:vAlign w:val="center"/>
          </w:tcPr>
          <w:p>
            <w:pPr>
              <w:pStyle w:val="style0"/>
              <w:autoSpaceDE w:val="false"/>
              <w:autoSpaceDN w:val="false"/>
              <w:adjustRightInd w:val="false"/>
              <w:spacing w:after="0" w:lineRule="auto" w:line="36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69</w:t>
            </w:r>
          </w:p>
        </w:tc>
        <w:tc>
          <w:tcPr>
            <w:tcW w:w="720" w:type="dxa"/>
            <w:tcBorders>
              <w:top w:val="nil"/>
            </w:tcBorders>
            <w:shd w:val="clear" w:color="auto" w:fill="ffffff"/>
            <w:vAlign w:val="center"/>
          </w:tcPr>
          <w:p>
            <w:pPr>
              <w:pStyle w:val="style0"/>
              <w:autoSpaceDE w:val="false"/>
              <w:autoSpaceDN w:val="false"/>
              <w:adjustRightInd w:val="false"/>
              <w:spacing w:after="0" w:lineRule="auto" w:line="36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2</w:t>
            </w:r>
          </w:p>
        </w:tc>
        <w:tc>
          <w:tcPr>
            <w:tcW w:w="720" w:type="dxa"/>
            <w:tcBorders>
              <w:top w:val="nil"/>
            </w:tcBorders>
            <w:shd w:val="clear" w:color="auto" w:fill="ffffff"/>
            <w:vAlign w:val="center"/>
          </w:tcPr>
          <w:p>
            <w:pPr>
              <w:pStyle w:val="style0"/>
              <w:autoSpaceDE w:val="false"/>
              <w:autoSpaceDN w:val="false"/>
              <w:adjustRightInd w:val="false"/>
              <w:spacing w:after="0" w:lineRule="auto" w:line="36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5</w:t>
            </w:r>
          </w:p>
        </w:tc>
        <w:tc>
          <w:tcPr>
            <w:tcW w:w="720" w:type="dxa"/>
            <w:tcBorders>
              <w:top w:val="nil"/>
            </w:tcBorders>
            <w:shd w:val="clear" w:color="auto" w:fill="ffffff"/>
            <w:vAlign w:val="center"/>
          </w:tcPr>
          <w:p>
            <w:pPr>
              <w:pStyle w:val="style0"/>
              <w:autoSpaceDE w:val="false"/>
              <w:autoSpaceDN w:val="false"/>
              <w:adjustRightInd w:val="false"/>
              <w:spacing w:after="0" w:lineRule="auto" w:line="36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4.12</w:t>
            </w:r>
          </w:p>
        </w:tc>
        <w:tc>
          <w:tcPr>
            <w:tcW w:w="765" w:type="dxa"/>
            <w:tcBorders>
              <w:top w:val="nil"/>
            </w:tcBorders>
            <w:shd w:val="clear" w:color="auto" w:fill="ffffff"/>
            <w:vAlign w:val="center"/>
          </w:tcPr>
          <w:p>
            <w:pPr>
              <w:pStyle w:val="style0"/>
              <w:autoSpaceDE w:val="false"/>
              <w:autoSpaceDN w:val="false"/>
              <w:adjustRightInd w:val="false"/>
              <w:spacing w:after="0" w:lineRule="auto" w:line="36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.948</w:t>
            </w:r>
          </w:p>
        </w:tc>
      </w:tr>
      <w:tr>
        <w:tblPrEx/>
        <w:trPr>
          <w:cantSplit/>
        </w:trPr>
        <w:tc>
          <w:tcPr>
            <w:tcW w:w="5535" w:type="dxa"/>
            <w:tcBorders/>
            <w:shd w:val="clear" w:color="auto" w:fill="ffffff"/>
            <w:vAlign w:val="center"/>
          </w:tcPr>
          <w:p>
            <w:pPr>
              <w:pStyle w:val="style0"/>
              <w:autoSpaceDE w:val="false"/>
              <w:autoSpaceDN w:val="false"/>
              <w:adjustRightInd w:val="false"/>
              <w:spacing w:after="0" w:lineRule="auto" w:line="36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Effective communication between teachers and pupils can reduce absenteeism</w:t>
            </w:r>
          </w:p>
        </w:tc>
        <w:tc>
          <w:tcPr>
            <w:tcW w:w="900" w:type="dxa"/>
            <w:tcBorders/>
            <w:shd w:val="clear" w:color="auto" w:fill="ffffff"/>
            <w:vAlign w:val="center"/>
          </w:tcPr>
          <w:p>
            <w:pPr>
              <w:pStyle w:val="style0"/>
              <w:autoSpaceDE w:val="false"/>
              <w:autoSpaceDN w:val="false"/>
              <w:adjustRightInd w:val="false"/>
              <w:spacing w:after="0" w:lineRule="auto" w:line="36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69</w:t>
            </w:r>
          </w:p>
        </w:tc>
        <w:tc>
          <w:tcPr>
            <w:tcW w:w="720" w:type="dxa"/>
            <w:tcBorders/>
            <w:shd w:val="clear" w:color="auto" w:fill="ffffff"/>
            <w:vAlign w:val="center"/>
          </w:tcPr>
          <w:p>
            <w:pPr>
              <w:pStyle w:val="style0"/>
              <w:autoSpaceDE w:val="false"/>
              <w:autoSpaceDN w:val="false"/>
              <w:adjustRightInd w:val="false"/>
              <w:spacing w:after="0" w:lineRule="auto" w:line="36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w:t>
            </w:r>
          </w:p>
        </w:tc>
        <w:tc>
          <w:tcPr>
            <w:tcW w:w="720" w:type="dxa"/>
            <w:tcBorders/>
            <w:shd w:val="clear" w:color="auto" w:fill="ffffff"/>
            <w:vAlign w:val="center"/>
          </w:tcPr>
          <w:p>
            <w:pPr>
              <w:pStyle w:val="style0"/>
              <w:autoSpaceDE w:val="false"/>
              <w:autoSpaceDN w:val="false"/>
              <w:adjustRightInd w:val="false"/>
              <w:spacing w:after="0" w:lineRule="auto" w:line="36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5</w:t>
            </w:r>
          </w:p>
        </w:tc>
        <w:tc>
          <w:tcPr>
            <w:tcW w:w="720" w:type="dxa"/>
            <w:tcBorders/>
            <w:shd w:val="clear" w:color="auto" w:fill="ffffff"/>
            <w:vAlign w:val="center"/>
          </w:tcPr>
          <w:p>
            <w:pPr>
              <w:pStyle w:val="style0"/>
              <w:autoSpaceDE w:val="false"/>
              <w:autoSpaceDN w:val="false"/>
              <w:adjustRightInd w:val="false"/>
              <w:spacing w:after="0" w:lineRule="auto" w:line="36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4.32</w:t>
            </w:r>
          </w:p>
        </w:tc>
        <w:tc>
          <w:tcPr>
            <w:tcW w:w="765" w:type="dxa"/>
            <w:tcBorders/>
            <w:shd w:val="clear" w:color="auto" w:fill="ffffff"/>
            <w:vAlign w:val="center"/>
          </w:tcPr>
          <w:p>
            <w:pPr>
              <w:pStyle w:val="style0"/>
              <w:autoSpaceDE w:val="false"/>
              <w:autoSpaceDN w:val="false"/>
              <w:adjustRightInd w:val="false"/>
              <w:spacing w:after="0" w:lineRule="auto" w:line="36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.757</w:t>
            </w:r>
          </w:p>
        </w:tc>
      </w:tr>
      <w:tr>
        <w:tblPrEx/>
        <w:trPr>
          <w:cantSplit/>
        </w:trPr>
        <w:tc>
          <w:tcPr>
            <w:tcW w:w="5535" w:type="dxa"/>
            <w:tcBorders/>
            <w:shd w:val="clear" w:color="auto" w:fill="ffffff"/>
            <w:vAlign w:val="center"/>
          </w:tcPr>
          <w:p>
            <w:pPr>
              <w:pStyle w:val="style0"/>
              <w:autoSpaceDE w:val="false"/>
              <w:autoSpaceDN w:val="false"/>
              <w:adjustRightInd w:val="false"/>
              <w:spacing w:after="0" w:lineRule="auto" w:line="36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Students who actively participate in class are less likely to have frequent absences.</w:t>
            </w:r>
          </w:p>
        </w:tc>
        <w:tc>
          <w:tcPr>
            <w:tcW w:w="900" w:type="dxa"/>
            <w:tcBorders/>
            <w:shd w:val="clear" w:color="auto" w:fill="ffffff"/>
            <w:vAlign w:val="center"/>
          </w:tcPr>
          <w:p>
            <w:pPr>
              <w:pStyle w:val="style0"/>
              <w:autoSpaceDE w:val="false"/>
              <w:autoSpaceDN w:val="false"/>
              <w:adjustRightInd w:val="false"/>
              <w:spacing w:after="0" w:lineRule="auto" w:line="36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69</w:t>
            </w:r>
          </w:p>
        </w:tc>
        <w:tc>
          <w:tcPr>
            <w:tcW w:w="720" w:type="dxa"/>
            <w:tcBorders/>
            <w:shd w:val="clear" w:color="auto" w:fill="ffffff"/>
            <w:vAlign w:val="center"/>
          </w:tcPr>
          <w:p>
            <w:pPr>
              <w:pStyle w:val="style0"/>
              <w:autoSpaceDE w:val="false"/>
              <w:autoSpaceDN w:val="false"/>
              <w:adjustRightInd w:val="false"/>
              <w:spacing w:after="0" w:lineRule="auto" w:line="36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w:t>
            </w:r>
          </w:p>
        </w:tc>
        <w:tc>
          <w:tcPr>
            <w:tcW w:w="720" w:type="dxa"/>
            <w:tcBorders/>
            <w:shd w:val="clear" w:color="auto" w:fill="ffffff"/>
            <w:vAlign w:val="center"/>
          </w:tcPr>
          <w:p>
            <w:pPr>
              <w:pStyle w:val="style0"/>
              <w:autoSpaceDE w:val="false"/>
              <w:autoSpaceDN w:val="false"/>
              <w:adjustRightInd w:val="false"/>
              <w:spacing w:after="0" w:lineRule="auto" w:line="36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5</w:t>
            </w:r>
          </w:p>
        </w:tc>
        <w:tc>
          <w:tcPr>
            <w:tcW w:w="720" w:type="dxa"/>
            <w:tcBorders/>
            <w:shd w:val="clear" w:color="auto" w:fill="ffffff"/>
            <w:vAlign w:val="center"/>
          </w:tcPr>
          <w:p>
            <w:pPr>
              <w:pStyle w:val="style0"/>
              <w:autoSpaceDE w:val="false"/>
              <w:autoSpaceDN w:val="false"/>
              <w:adjustRightInd w:val="false"/>
              <w:spacing w:after="0" w:lineRule="auto" w:line="36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4.46</w:t>
            </w:r>
          </w:p>
        </w:tc>
        <w:tc>
          <w:tcPr>
            <w:tcW w:w="765" w:type="dxa"/>
            <w:tcBorders/>
            <w:shd w:val="clear" w:color="auto" w:fill="ffffff"/>
            <w:vAlign w:val="center"/>
          </w:tcPr>
          <w:p>
            <w:pPr>
              <w:pStyle w:val="style0"/>
              <w:autoSpaceDE w:val="false"/>
              <w:autoSpaceDN w:val="false"/>
              <w:adjustRightInd w:val="false"/>
              <w:spacing w:after="0" w:lineRule="auto" w:line="36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.719</w:t>
            </w:r>
          </w:p>
        </w:tc>
      </w:tr>
    </w:tbl>
    <w:p>
      <w:pPr>
        <w:pStyle w:val="style0"/>
        <w:rPr>
          <w:color w:val="000000"/>
        </w:rPr>
      </w:pPr>
    </w:p>
    <w:p>
      <w:pPr>
        <w:pStyle w:val="style94"/>
        <w:spacing w:before="240" w:beforeAutospacing="false" w:after="240" w:afterAutospacing="false" w:lineRule="auto" w:line="480"/>
        <w:jc w:val="both"/>
        <w:rPr>
          <w:rFonts w:eastAsia="Calibri"/>
          <w:color w:val="000000"/>
        </w:rPr>
      </w:pPr>
      <w:r>
        <w:rPr>
          <w:rFonts w:eastAsia="Calibri"/>
          <w:color w:val="000000"/>
        </w:rPr>
        <w:t xml:space="preserve">The </w:t>
      </w:r>
      <w:r>
        <w:rPr>
          <w:rFonts w:eastAsia="Calibri"/>
          <w:color w:val="000000"/>
        </w:rPr>
        <w:t>statement “</w:t>
      </w:r>
      <w:r>
        <w:rPr>
          <w:rFonts w:eastAsia="Calibri"/>
          <w:color w:val="000000"/>
        </w:rPr>
        <w:t>Learners with positive attitude towards school are less likely to be absent</w:t>
      </w:r>
      <w:r>
        <w:rPr>
          <w:rFonts w:eastAsia="Calibri"/>
          <w:color w:val="000000"/>
        </w:rPr>
        <w:t>”</w:t>
      </w:r>
      <w:r>
        <w:rPr>
          <w:rFonts w:eastAsia="Calibri"/>
          <w:color w:val="000000"/>
        </w:rPr>
        <w:t xml:space="preserve"> had the highest mean of 4.48 which stated that there is great agreement among teachers that learners who appreciate schooling and have positive attitude towards school are less likely to skip classes. The standard deviation is not very large and is 0.885, which implies that there is high consistency in teacher perceptions and there is a high level of agreement on the significance of learner attitude in alleviating absenteeism.</w:t>
      </w:r>
    </w:p>
    <w:p>
      <w:pPr>
        <w:pStyle w:val="style94"/>
        <w:spacing w:before="240" w:beforeAutospacing="false" w:after="240" w:afterAutospacing="false" w:lineRule="auto" w:line="480"/>
        <w:jc w:val="both"/>
        <w:rPr>
          <w:rFonts w:eastAsia="Calibri"/>
          <w:color w:val="000000"/>
        </w:rPr>
      </w:pPr>
      <w:r>
        <w:rPr>
          <w:rFonts w:eastAsia="Calibri"/>
          <w:color w:val="000000"/>
        </w:rPr>
        <w:t>Frequent absenteeism is often associated with the negative perception of the school by the pupils, and thus the mean of the statement was 4.12, which indicated that the respondents agreed that absenteeism is correlated with negative attitudes of the learners towards the school. Standard deviation 0.948 suggests that variability was moderate, that is, most teachers agreed though some found the relationship between negative perceptions and absenteeism different and this may be due to school climate or experiences of learners.</w:t>
      </w:r>
    </w:p>
    <w:p>
      <w:pPr>
        <w:pStyle w:val="style94"/>
        <w:spacing w:before="240" w:beforeAutospacing="false" w:after="240" w:afterAutospacing="false" w:lineRule="auto" w:line="480"/>
        <w:jc w:val="both"/>
        <w:rPr>
          <w:rFonts w:eastAsia="Calibri"/>
          <w:color w:val="000000"/>
        </w:rPr>
      </w:pPr>
      <w:r>
        <w:rPr>
          <w:rFonts w:eastAsia="Calibri"/>
          <w:color w:val="000000"/>
        </w:rPr>
        <w:t>The mean of the statement “Effective communication between teachers and pupils can reduce absenteeism</w:t>
      </w:r>
      <w:r>
        <w:rPr>
          <w:rFonts w:eastAsia="Calibri"/>
          <w:color w:val="000000"/>
        </w:rPr>
        <w:t>”</w:t>
      </w:r>
      <w:r>
        <w:rPr>
          <w:rFonts w:eastAsia="Calibri"/>
          <w:color w:val="000000"/>
        </w:rPr>
        <w:t xml:space="preserve"> was 4.32 which indicated that there was a high level of agreement that positive communication will lead to increased learner engagement and reduced absenteeism. The standard deviation of 0.757 was one of the lowest, which meant that there was a high consistency in the answers given by the teachers, which supports the role of teacher-pupil interaction to encourage attendance.</w:t>
      </w:r>
    </w:p>
    <w:p>
      <w:pPr>
        <w:pStyle w:val="style94"/>
        <w:spacing w:before="240" w:beforeAutospacing="false" w:after="240" w:afterAutospacing="false" w:lineRule="auto" w:line="480"/>
        <w:jc w:val="both"/>
        <w:rPr>
          <w:rFonts w:eastAsia="Calibri"/>
          <w:color w:val="000000"/>
        </w:rPr>
      </w:pPr>
      <w:r>
        <w:rPr>
          <w:rFonts w:eastAsia="Calibri"/>
          <w:color w:val="000000"/>
        </w:rPr>
        <w:t xml:space="preserve">The </w:t>
      </w:r>
      <w:r>
        <w:rPr>
          <w:rFonts w:eastAsia="Calibri"/>
          <w:color w:val="000000"/>
        </w:rPr>
        <w:t>statement that “</w:t>
      </w:r>
      <w:r>
        <w:rPr>
          <w:rFonts w:eastAsia="Calibri"/>
          <w:color w:val="000000"/>
        </w:rPr>
        <w:t>Students who are active in the classroom have lower chances of recording frequent absences</w:t>
      </w:r>
      <w:r>
        <w:rPr>
          <w:rFonts w:eastAsia="Calibri"/>
          <w:color w:val="000000"/>
        </w:rPr>
        <w:t>”</w:t>
      </w:r>
      <w:r>
        <w:rPr>
          <w:rFonts w:eastAsia="Calibri"/>
          <w:color w:val="000000"/>
        </w:rPr>
        <w:t xml:space="preserve"> had a mean of 4.46 which was also a strong agreement among teachers. The lowest standard deviation of 0.719 was among the items indicating that there was a high degree of consensus that active classroom participation is strongly correlated with lower rates of absenteeism.</w:t>
      </w:r>
    </w:p>
    <w:p>
      <w:pPr>
        <w:pStyle w:val="style94"/>
        <w:spacing w:before="240" w:beforeAutospacing="false" w:after="240" w:afterAutospacing="false" w:lineRule="auto" w:line="480"/>
        <w:jc w:val="both"/>
        <w:rPr>
          <w:rFonts w:eastAsia="Calibri"/>
          <w:color w:val="000000"/>
        </w:rPr>
      </w:pPr>
      <w:r>
        <w:rPr>
          <w:rFonts w:eastAsia="Calibri"/>
          <w:color w:val="000000"/>
        </w:rPr>
        <w:t>The overall average of about 4.35 in the four items shows that the teachers are quite convinced with the statements on policy implementation and its effect on absenteeism. This large mean indicates that teachers believe that effective school policies especially those that encourage positive attitudes, communication, and participation are very important in eliminating absenteeism. The reason why these high ratings have been consistent is that teachers recognize collectively the relevance of policy-based strategies in determining the behavior and attendance patterns of students. Simply put, the evidence shows that teachers do not consider policy implementation a marginal concern but a major process that can enhance school attendance and general involvement of the students. The standard deviation of about 0.83 indicates a relatively small degree of dispersion in the responses, i.e. that the views of teachers are very similar. Such consistency helps enhance the validity of the results since it indicates that most teachers have common views on the impact of policy implementation in lowering the level of absenteeism. This kind of uniformity implies that the trends that we are observing are not individual views of the educators, but a general agreement of a larger number of educators. This underlines the point that the policies which encourage favorable school climate, effective communication and participation are generally known to be effective measures in dealing with absenteeism.</w:t>
      </w:r>
    </w:p>
    <w:p>
      <w:pPr>
        <w:pStyle w:val="style94"/>
        <w:spacing w:before="240" w:beforeAutospacing="false" w:after="240" w:afterAutospacing="false" w:lineRule="auto" w:line="480"/>
        <w:jc w:val="both"/>
        <w:rPr>
          <w:rFonts w:eastAsia="Calibri"/>
          <w:color w:val="000000"/>
        </w:rPr>
      </w:pPr>
      <w:r>
        <w:rPr>
          <w:rFonts w:eastAsia="Calibri"/>
          <w:color w:val="000000"/>
        </w:rPr>
        <w:t>T</w:t>
      </w:r>
      <w:r>
        <w:rPr>
          <w:rFonts w:eastAsia="Calibri"/>
          <w:color w:val="000000"/>
        </w:rPr>
        <w:t>he results indicate that absenteeism interventions are not supposed to be punitive but should be supportive, aimed at providing the environment in which students feel important, interested, and enthusiastic to attend school on a regular basis. Recent research in the case of Kenya (UNICEF, 2020) and Sub-Saharan Africa (Obieri et al., 2017), as well as in the case of the international context (Kearney et al., 2023; Kreitz-Sandberg and Fredriksson, 2023) continues to provide the consistent finding that positive school mutuality, teacher-student interaction, and participatory policy mitigate absenteeism. These results align with the results of the current study, which supports the significance of communication and engagement-oriented policy implementation.</w:t>
      </w:r>
    </w:p>
    <w:p>
      <w:pPr>
        <w:pStyle w:val="style94"/>
        <w:spacing w:before="240" w:beforeAutospacing="false" w:after="240" w:afterAutospacing="false" w:lineRule="auto" w:line="480"/>
        <w:jc w:val="both"/>
        <w:rPr>
          <w:color w:val="000000"/>
        </w:rPr>
      </w:pPr>
      <w:r>
        <w:rPr>
          <w:rFonts w:eastAsia="Calibri"/>
          <w:color w:val="000000"/>
        </w:rPr>
        <w:t>Finally, the researcher requested the teachers to provide ideas on how absenteeism among learners in their schools could be minimized. Teachers also stressed that there should be regular checkups on the attendance of the learners. Cases of absenteeism can be detected at a very early stage and dealt with effectively by making sure that all teachers check up on the daily attendance register. Closely observing can enable the teacher to identify the trends of absenteeism and interact with the learners and the parents involved to know the real reasons. Follow-up is also a good measure of letting the learners know that their attendance is important and this creates a sense of accountability and minimizes the chances of them being truant. Breakfast and lunch provision was mentioned as an effective strategy to retain learners in school. A large number of learners are the ones who belong to families with food insecurity and the guarantee of food at school encourages the learners to come to school regularly. According to the teachers, government-funded feeding programs can positively affect the attendance rates of learners because they are guaranteed of something to eat throughout the day. In addition to attendance, feeding programs can also improve concentration and performance and hence are an important intervention to help reduce absenteeism.</w:t>
      </w:r>
    </w:p>
    <w:p>
      <w:pPr>
        <w:pStyle w:val="style94"/>
        <w:spacing w:before="240" w:beforeAutospacing="false" w:after="240" w:afterAutospacing="false" w:lineRule="auto" w:line="480"/>
        <w:jc w:val="both"/>
        <w:rPr>
          <w:color w:val="000000"/>
        </w:rPr>
      </w:pPr>
      <w:r>
        <w:rPr>
          <w:color w:val="000000"/>
        </w:rPr>
        <w:t>There was a consistent theme of the need to engage parents more in the educational issues. Teachers offered to hold meetings with parents to sensitize them about the importance of schooling and their contribution in attending school. Parents ought to be sensitized about the consequences of absenteeism to the future of their children and be advised to value education more than cultural practices or household chores. Effective communication between parents and teachers will ensure that absenteeism is tackled on a common ground, where both the parents and teachers will be held accountable in ensuring that the learners do not skip their classes. Teachers suggested the use of community leaders, like the area chiefs, in dealing with absenteeism. Chiefs are able to act in response to those learners who drop out and they can keep parents responsible in terms of their negligence in educating their children. Through the participation of local leadership, absenteeism becomes not only a school problem, but a community problem. Educating the general population on the value of education will assist in changing cultural orientations and also provide the learner with a conducive environment whereby he or she will be motivated to stay in school. When school environment is favorable and conducive to learning, learners will attend school regularly. Educators proposed establishing positive rapport between educators and students and establishing a feeling of trust and sense of belonging. Fear of punishment and alienation are some of the reasons that cause absenteeism, and a friendly environment eliminates them. Schools are also expected to offer sufficient amenities, secure classrooms and an effective learning environment so as to encourage learners to attend on a regular basis.</w:t>
      </w:r>
    </w:p>
    <w:p>
      <w:pPr>
        <w:pStyle w:val="style94"/>
        <w:spacing w:before="240" w:beforeAutospacing="false" w:after="240" w:afterAutospacing="false" w:lineRule="auto" w:line="480"/>
        <w:jc w:val="both"/>
        <w:rPr>
          <w:color w:val="000000"/>
        </w:rPr>
      </w:pPr>
      <w:r>
        <w:rPr>
          <w:color w:val="000000"/>
        </w:rPr>
        <w:t>Rewarding those learners who attend regularly was perceived as a good method of motivating others. The appreciation, in form of certificates, praise or even small gifts, boosts morale and makes learners work harder to focus on school. Another notable point made by teachers was encouraging students to be motivated in their education and extracurricular life to make them feel appreciated and involved. Motivation leads to the attitude towards education that is positive, which eliminates absenteeism. The idea of enabling learners to engage in extracurricular activities like sports, trips, and clubs was mentioned as the method of making school more interesting. Incorporating learners into the co-curricular activities and even in the process of making school rules make them feel like they own and belong to the school. When students perceive school as a place of fun and self-development, they will not skip classes. These activities also assist in balancing the study with recreation making school attendance more attractive. Educators indicated that deficiency of learning materials makes learners unwilling to go to school. Availing proper resources including books, pens, and laboratory equipments will make the learners feel ready and able to learn. Schools are also expected to sponsor the needy learners by catering to their basic needs so that the parents are not left with the burden. The recognition of poor-based learners and providing specialized support is a way of closing the gaps and retaining at-risk children in school.</w:t>
      </w:r>
    </w:p>
    <w:p>
      <w:pPr>
        <w:pStyle w:val="style94"/>
        <w:spacing w:before="240" w:beforeAutospacing="false" w:after="240" w:afterAutospacing="false" w:lineRule="auto" w:line="480"/>
        <w:jc w:val="both"/>
        <w:rPr>
          <w:color w:val="000000"/>
        </w:rPr>
      </w:pPr>
      <w:r>
        <w:rPr>
          <w:rFonts w:eastAsia="Calibri"/>
          <w:color w:val="000000"/>
        </w:rPr>
        <w:t>The teachers emphasized the importance of the government to assist schools by providing proper staffing, development of infrastructures, and feeding schemes. The creation of favorable learning conditions and availability of sufficient teachers will minimize absenteeism by enhancing the standards of education. Education policies that are free, guidance and counseling services, and school security were also perceived as crucial. The intervention of the government is to make sure that systemic obstacles to attendance are tackled. There were teachers who proposed that absenteeism might be eliminated by being more severe such as having habitual truants severely punished. However, this perception is rather controversial, but it demonstrates the idea that disciplines and responsibility are needed to make people serious about education. Nevertheless, this was offset by a number of teachers who focused more on guidance and counseling as a more supportive method which would make learners realize the repercussions of absenteeism without being scared.</w:t>
      </w:r>
    </w:p>
    <w:p>
      <w:pPr>
        <w:pStyle w:val="style0"/>
        <w:spacing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thematic analysis of the interview with seven headteachers had pivotal information on prevalence of absenteeism of learners in Primary schools in Bangal sub-county with four main themes of hunger and food insecurity as the main demotivating factor, external distractions and competing interests, peer influence and indiscipline and low motivation as the main result of poverty and lack of support. The most shocking and immediate conclusion of several interviews was the overwhelming influence of hunger on the feelings of the pupils to school and their attendance habits. In schools, the headteachers had continuously reported that the motivation of the pupils to attend school was directly linked to the presence of meals, and attendance decreased drastically when the feeding programs did not exist or were stopped. This formed some predictable daily trends in which the attendance in the morning was comparatively stable but afternoon classes experienced steep drops as hungry students ran home to have lunch and could not resume. One headteacher observed, "</w:t>
      </w:r>
      <w:r>
        <w:rPr>
          <w:rFonts w:ascii="Times New Roman" w:cs="Times New Roman" w:hAnsi="Times New Roman"/>
          <w:i/>
          <w:color w:val="000000"/>
          <w:sz w:val="24"/>
          <w:szCs w:val="24"/>
        </w:rPr>
        <w:t>The head teacher noted that pupils' attitude toward learning is declining. Many learners attend school mainly when meals are provided, showing that hunger greatly influences attendance</w:t>
      </w:r>
      <w:r>
        <w:rPr>
          <w:rFonts w:ascii="Times New Roman" w:cs="Times New Roman" w:hAnsi="Times New Roman"/>
          <w:color w:val="000000"/>
          <w:sz w:val="24"/>
          <w:szCs w:val="24"/>
        </w:rPr>
        <w:t>" (HOI 6). This quote shows that to a lot of students attending school has become a transactional experience based on the ability to satisfy the basic survival needs as opposed to an intrinsically motivated education experience or future goals. Physiological necessity of hunger was overwhelming all other educational factors, making the academic content, the quality of teachers and learning materials irrelevant when the pupils were in urgent need of food. Another headteacher noted the systematic nature of this pattern: "</w:t>
      </w:r>
      <w:r>
        <w:rPr>
          <w:rFonts w:ascii="Times New Roman" w:cs="Times New Roman" w:hAnsi="Times New Roman"/>
          <w:i/>
          <w:color w:val="000000"/>
          <w:sz w:val="24"/>
          <w:szCs w:val="24"/>
        </w:rPr>
        <w:t>Attendance is fairly good in the morning but drops drastically in the afternoon when pupils go home for lunch and fail to return. Teachers understand the reason—it is mostly due to lack of food at home</w:t>
      </w:r>
      <w:r>
        <w:rPr>
          <w:rFonts w:ascii="Times New Roman" w:cs="Times New Roman" w:hAnsi="Times New Roman"/>
          <w:color w:val="000000"/>
          <w:sz w:val="24"/>
          <w:szCs w:val="24"/>
        </w:rPr>
        <w:t>" (HOI 7). This realization on the part of teachers that they realize the hunger-motivated character of afternoon absenteeism implies institutional acknowledgement of a problem with which they have no ability to intervene, and this places the educators in the position of witnessing day after day the subversion of their educational mission by the unmet basic needs.</w:t>
      </w:r>
    </w:p>
    <w:p>
      <w:pPr>
        <w:pStyle w:val="style0"/>
        <w:spacing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second most significant theme was the vulnerability of pupils to extraneous factors and their interest in non-school activities. Community events such as weddings, funerals, political rallies and promotional convoys were said to easily distract learners out of school implying that they are less attached to schooling and internalize its significance less. This distractability seemed to be associated with the absence of strong incentives to focus on school at the time when the learning environment was not much comfortable, featured food, and any promise of getting better. Pupils in the pastoral society actually favored herding or family life over education and this was a sign of good socialization into the traditional livelihood systems that were incompatible with formal education. One headteacher explained, "</w:t>
      </w:r>
      <w:r>
        <w:rPr>
          <w:rFonts w:ascii="Times New Roman" w:cs="Times New Roman" w:hAnsi="Times New Roman"/>
          <w:i/>
          <w:color w:val="000000"/>
          <w:sz w:val="24"/>
          <w:szCs w:val="24"/>
        </w:rPr>
        <w:t>Some pupils prefer herding or family duties over schoolwork. Lack of food reduces motivation and causes frequent absenteeism</w:t>
      </w:r>
      <w:r>
        <w:rPr>
          <w:rFonts w:ascii="Times New Roman" w:cs="Times New Roman" w:hAnsi="Times New Roman"/>
          <w:color w:val="000000"/>
          <w:sz w:val="24"/>
          <w:szCs w:val="24"/>
        </w:rPr>
        <w:t>" (HOI 3). This preference indicates that for certain pupils, particularly those from pastoral backgrounds, herding and family responsibilities offered more immediate meaning, tangible contribution to family welfare, and alignment with cultural identity than abstract academic learning disconnected from their lived realities. The combination of hunger, cultural pull toward traditional activities, and absence of visible pathways from education to improved livelihoods created conditions where competing interests consistently won out over school attendance.</w:t>
      </w:r>
    </w:p>
    <w:p>
      <w:pPr>
        <w:pStyle w:val="style0"/>
        <w:spacing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third significant theme revealed the role of negative peer influence, particularly among older boys and teenagers, in normalizing absenteeism and indiscipline. Peer groups seemed to establish new sets of values in which school dropouts were a show of independence, rebellion or social status as opposed to educational failure. There are also pupils who intentionally hit teachers and then ceased to attend school to find out what the teacher can do, which hints at confrontational attitudes according to which absenteeism was a kind of resistance or assertion of power. One headteacher noted, "</w:t>
      </w:r>
      <w:r>
        <w:rPr>
          <w:rFonts w:ascii="Times New Roman" w:cs="Times New Roman" w:hAnsi="Times New Roman"/>
          <w:i/>
          <w:color w:val="000000"/>
          <w:sz w:val="24"/>
          <w:szCs w:val="24"/>
        </w:rPr>
        <w:t>Peer influence leads some pupils, especially older boys, to skip school. Indiscipline and lack of focus are common among teenagers. So they collide with the teachers a lot and some decide to not attend school to see what the teacher can do</w:t>
      </w:r>
      <w:r>
        <w:rPr>
          <w:rFonts w:ascii="Times New Roman" w:cs="Times New Roman" w:hAnsi="Times New Roman"/>
          <w:color w:val="000000"/>
          <w:sz w:val="24"/>
          <w:szCs w:val="24"/>
        </w:rPr>
        <w:t>" (HOI 4). This habit of intentional absenteeism as rebellion is a qualitatively new phenomenon compared to the absence, which occurs due to poverty or cultural constraints- it is a conscious resistance to the authority and norms of school. The specified reference to older boys implies genderized patterns of opposition, possibly, the construction of masculine identities based on resistance to institutional authority, especially when school provides few opportunities to gain esteemed adult male positions in their localities.</w:t>
      </w:r>
    </w:p>
    <w:p>
      <w:pPr>
        <w:pStyle w:val="style0"/>
        <w:spacing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fourth theme was the presence of low motivation among the pupils mostly the poor ones who felt that they were not supported in the process of learning. Headteachers reported that pupils were not interested in school and learning, but lacked concentration, showed little engagement and their commitment declined with time. The lack of motivation seemed to be based on logical evaluation of their situation: students of poor backgrounds rightly thought that they did not have the material means, family support, and social capital that would allow them to make their way through the education system and turn academic success into better life conditions. One headteacher explained, "</w:t>
      </w:r>
      <w:r>
        <w:rPr>
          <w:rFonts w:ascii="Times New Roman" w:cs="Times New Roman" w:hAnsi="Times New Roman"/>
          <w:i/>
          <w:color w:val="000000"/>
          <w:sz w:val="24"/>
          <w:szCs w:val="24"/>
        </w:rPr>
        <w:t>Low motivation among pupils from poor background as they feel they have no support through their journey</w:t>
      </w:r>
      <w:r>
        <w:rPr>
          <w:rFonts w:ascii="Times New Roman" w:cs="Times New Roman" w:hAnsi="Times New Roman"/>
          <w:color w:val="000000"/>
          <w:sz w:val="24"/>
          <w:szCs w:val="24"/>
        </w:rPr>
        <w:t>" (HOI 1). This sense of being alone in their academic life led to self-fulfilling prophecy because students uninterested in school would stop attending school because they believed they would fail, and their failure would lead them to believe they failed. The stress and poverty were intergenerational because the children inherited the problems and despair of their parents and they expressed them through lack of discipline and negative attitudes to learning. Psychological disturbances such as floods which resulted in extended school shutdowns further undermined motivation since the pupils lacked continuity in their school work and were unable to resume their school work after a long period.</w:t>
      </w:r>
    </w:p>
    <w:p>
      <w:pPr>
        <w:pStyle w:val="style0"/>
        <w:spacing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Significantly, some of the headteachers observed that in spite of all the heavy odds, there is a group of pupils who continued to attend school regularly, showing resilience to the adversity. These students seemed to be supported by internal drive or family or teacher that cushioned them against the deteriorating elements of other students. One headteacher observed, "</w:t>
      </w:r>
      <w:r>
        <w:rPr>
          <w:rFonts w:ascii="Times New Roman" w:cs="Times New Roman" w:hAnsi="Times New Roman"/>
          <w:i/>
          <w:color w:val="000000"/>
          <w:sz w:val="24"/>
          <w:szCs w:val="24"/>
        </w:rPr>
        <w:t>A few pupils remain dedicated and attend regularly despite these hardships</w:t>
      </w:r>
      <w:r>
        <w:rPr>
          <w:rFonts w:ascii="Times New Roman" w:cs="Times New Roman" w:hAnsi="Times New Roman"/>
          <w:color w:val="000000"/>
          <w:sz w:val="24"/>
          <w:szCs w:val="24"/>
        </w:rPr>
        <w:t>" (HOI 3), while another noted, "A few pupils remain focused when teachers provide guidance and encouragement" (HOI 5). This difference in the responses of the pupils indicates that structural factors can induce omnipresent impediments to attendance, but individual and relational factors, especially positive teacher-pupil bonds and familial investment in learning, can lessen the impediments in some learners. The discovery of teacher guidance, teacher counseling, and teacher encouragement as the protective factors suggests possible intervention directions, but the headteachers admitted that the sphere of counseling activities was limited and insufficient in terms of coverage and efficiency due to the high number of pupils and the scale of the challenges that pupils had to overcome.</w:t>
      </w:r>
    </w:p>
    <w:p>
      <w:pPr>
        <w:pStyle w:val="style0"/>
        <w:spacing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Headteachers recounted several efforts by the teachers to keep the pupils engaged and to attend school such as counseling sessions, urging hungry pupils to stay in school premises regardless of whether they ate or not and offering moral support to the struggling learners. Nevertheless, these attempts were carried out on the periphery of much greater structural issues, which teachers were not able to work with. Educators were in the awkward role of attempting to advise students not to leave school because they were hungry, and to not ignore education because basic survival necessities were not taken care of an inherently unsustainable stance that probably weakened the effectiveness and credibility of the teachers. The imbalance in the opportunities provided by teachers (motivation, guidance) and the demands of pupils (food, material provision, a sense of safety in the learning environment, a chance to get ahead in life) was a source of constant frustration on both sides. A number of headteachers, in particular, observed that the attitude of pupils towards school was not only bad, but actually getting worse with time, and indicating a progressive decline as opposed to levels of disengagement. This downward trend suggests that existing situations cannot be maintained indefinitely without any action, performance trends are bound to further worsen as students begin to increasingly believe that school does not provide enough value compared to its demands and opportunity costs.</w:t>
      </w:r>
    </w:p>
    <w:bookmarkStart w:id="153" w:name="_Toc216513831"/>
    <w:p>
      <w:pPr>
        <w:pStyle w:val="style1"/>
        <w:numPr>
          <w:ilvl w:val="1"/>
          <w:numId w:val="22"/>
        </w:numPr>
        <w:spacing w:before="240" w:after="240"/>
        <w:jc w:val="both"/>
        <w:rPr>
          <w:color w:val="000000"/>
        </w:rPr>
      </w:pPr>
      <w:r>
        <w:rPr>
          <w:color w:val="000000"/>
        </w:rPr>
        <w:t>Reliability Results</w:t>
      </w:r>
      <w:bookmarkEnd w:id="153"/>
      <w:r>
        <w:rPr>
          <w:color w:val="000000"/>
        </w:rPr>
        <w:t xml:space="preserve"> </w:t>
      </w:r>
    </w:p>
    <w:p>
      <w:pPr>
        <w:pStyle w:val="style0"/>
        <w:spacing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To test the reliability of the research instrument, Cronbach’s Alpha was used as the measure of internal consistency. </w:t>
      </w:r>
      <w:r>
        <w:rPr>
          <w:rFonts w:ascii="Times New Roman" w:cs="Times New Roman" w:hAnsi="Times New Roman"/>
          <w:color w:val="000000"/>
          <w:sz w:val="24"/>
          <w:szCs w:val="24"/>
        </w:rPr>
        <w:t>The results were displayed on table 12.</w:t>
      </w:r>
      <w:r>
        <w:rPr>
          <w:rFonts w:ascii="Times New Roman" w:cs="Times New Roman" w:hAnsi="Times New Roman"/>
          <w:color w:val="000000"/>
          <w:sz w:val="24"/>
          <w:szCs w:val="24"/>
        </w:rPr>
        <w:t xml:space="preserve"> </w:t>
      </w:r>
    </w:p>
    <w:bookmarkStart w:id="154" w:name="_Toc216299151"/>
    <w:p>
      <w:pPr>
        <w:pStyle w:val="style4104"/>
        <w:rPr>
          <w:i w:val="false"/>
        </w:rPr>
      </w:pPr>
      <w:r>
        <w:rPr>
          <w:b/>
          <w:i w:val="false"/>
        </w:rPr>
        <w:t>Table 12</w:t>
      </w:r>
      <w:r>
        <w:rPr>
          <w:i w:val="false"/>
        </w:rPr>
        <w:t>:</w:t>
      </w:r>
      <w:bookmarkEnd w:id="154"/>
      <w:r>
        <w:rPr>
          <w:i w:val="false"/>
        </w:rPr>
        <w:t xml:space="preserve"> </w:t>
      </w:r>
    </w:p>
    <w:bookmarkStart w:id="155" w:name="_Toc216299152"/>
    <w:p>
      <w:pPr>
        <w:pStyle w:val="style4104"/>
        <w:rPr>
          <w:i w:val="false"/>
        </w:rPr>
      </w:pPr>
      <w:r>
        <w:t>Reliability Results</w:t>
      </w:r>
      <w:bookmarkEnd w:id="155"/>
    </w:p>
    <w:tbl>
      <w:tblPr>
        <w:tblW w:w="9200" w:type="dxa"/>
        <w:tblBorders>
          <w:top w:val="single" w:sz="12" w:space="0" w:color="auto"/>
          <w:bottom w:val="single" w:sz="12" w:space="0" w:color="auto"/>
        </w:tblBorders>
        <w:tblLayout w:type="fixed"/>
        <w:tblCellMar>
          <w:left w:w="0" w:type="dxa"/>
          <w:right w:w="0" w:type="dxa"/>
        </w:tblCellMar>
        <w:tblLook w:val="0000" w:firstRow="0" w:lastRow="0" w:firstColumn="0" w:lastColumn="0" w:noHBand="0" w:noVBand="0"/>
      </w:tblPr>
      <w:tblGrid>
        <w:gridCol w:w="5640"/>
        <w:gridCol w:w="3560"/>
      </w:tblGrid>
      <w:tr>
        <w:trPr>
          <w:cantSplit/>
        </w:trPr>
        <w:tc>
          <w:tcPr>
            <w:tcW w:w="5640" w:type="dxa"/>
            <w:tcBorders>
              <w:top w:val="single" w:sz="12" w:space="0" w:color="auto"/>
              <w:bottom w:val="single" w:sz="12" w:space="0" w:color="auto"/>
            </w:tcBorders>
            <w:shd w:val="clear" w:color="auto" w:fill="ffffff"/>
          </w:tcPr>
          <w:p>
            <w:pPr>
              <w:pStyle w:val="style0"/>
              <w:spacing w:lineRule="auto" w:line="360"/>
              <w:rPr>
                <w:rFonts w:ascii="Times New Roman" w:cs="Times New Roman" w:hAnsi="Times New Roman"/>
                <w:color w:val="000000"/>
                <w:sz w:val="24"/>
                <w:szCs w:val="24"/>
              </w:rPr>
            </w:pPr>
            <w:r>
              <w:rPr>
                <w:rFonts w:ascii="Times New Roman" w:cs="Times New Roman" w:hAnsi="Times New Roman"/>
                <w:color w:val="000000"/>
                <w:sz w:val="24"/>
                <w:szCs w:val="24"/>
              </w:rPr>
              <w:t>Cronbach's Alpha</w:t>
            </w:r>
          </w:p>
        </w:tc>
        <w:tc>
          <w:tcPr>
            <w:tcW w:w="3560" w:type="dxa"/>
            <w:tcBorders>
              <w:top w:val="single" w:sz="12" w:space="0" w:color="auto"/>
              <w:bottom w:val="single" w:sz="12" w:space="0" w:color="auto"/>
            </w:tcBorders>
            <w:shd w:val="clear" w:color="auto" w:fill="ffffff"/>
          </w:tcPr>
          <w:p>
            <w:pPr>
              <w:pStyle w:val="style0"/>
              <w:spacing w:lineRule="auto" w:line="360"/>
              <w:rPr>
                <w:rFonts w:ascii="Times New Roman" w:cs="Times New Roman" w:hAnsi="Times New Roman"/>
                <w:color w:val="000000"/>
                <w:sz w:val="24"/>
                <w:szCs w:val="24"/>
              </w:rPr>
            </w:pPr>
            <w:r>
              <w:rPr>
                <w:rFonts w:ascii="Times New Roman" w:cs="Times New Roman" w:hAnsi="Times New Roman"/>
                <w:color w:val="000000"/>
                <w:sz w:val="24"/>
                <w:szCs w:val="24"/>
              </w:rPr>
              <w:t>N of Items</w:t>
            </w:r>
          </w:p>
        </w:tc>
      </w:tr>
      <w:tr>
        <w:tblPrEx/>
        <w:trPr>
          <w:cantSplit/>
        </w:trPr>
        <w:tc>
          <w:tcPr>
            <w:tcW w:w="5640" w:type="dxa"/>
            <w:tcBorders>
              <w:top w:val="single" w:sz="12" w:space="0" w:color="auto"/>
            </w:tcBorders>
            <w:shd w:val="clear" w:color="auto" w:fill="ffffff"/>
            <w:vAlign w:val="center"/>
          </w:tcPr>
          <w:p>
            <w:pPr>
              <w:pStyle w:val="style0"/>
              <w:spacing w:lineRule="auto" w:line="360"/>
              <w:rPr>
                <w:rFonts w:ascii="Times New Roman" w:cs="Times New Roman" w:hAnsi="Times New Roman"/>
                <w:color w:val="000000"/>
                <w:sz w:val="24"/>
                <w:szCs w:val="24"/>
              </w:rPr>
            </w:pPr>
            <w:r>
              <w:rPr>
                <w:rFonts w:ascii="Times New Roman" w:cs="Times New Roman" w:hAnsi="Times New Roman"/>
                <w:color w:val="000000"/>
                <w:sz w:val="24"/>
                <w:szCs w:val="24"/>
              </w:rPr>
              <w:t>.768</w:t>
            </w:r>
          </w:p>
        </w:tc>
        <w:tc>
          <w:tcPr>
            <w:tcW w:w="3560" w:type="dxa"/>
            <w:tcBorders>
              <w:top w:val="single" w:sz="12" w:space="0" w:color="auto"/>
            </w:tcBorders>
            <w:shd w:val="clear" w:color="auto" w:fill="ffffff"/>
            <w:vAlign w:val="center"/>
          </w:tcPr>
          <w:p>
            <w:pPr>
              <w:pStyle w:val="style0"/>
              <w:spacing w:lineRule="auto" w:line="360"/>
              <w:rPr>
                <w:rFonts w:ascii="Times New Roman" w:cs="Times New Roman" w:hAnsi="Times New Roman"/>
                <w:color w:val="000000"/>
                <w:sz w:val="24"/>
                <w:szCs w:val="24"/>
              </w:rPr>
            </w:pPr>
            <w:r>
              <w:rPr>
                <w:rFonts w:ascii="Times New Roman" w:cs="Times New Roman" w:hAnsi="Times New Roman"/>
                <w:color w:val="000000"/>
                <w:sz w:val="24"/>
                <w:szCs w:val="24"/>
              </w:rPr>
              <w:t>5</w:t>
            </w:r>
          </w:p>
        </w:tc>
      </w:tr>
    </w:tbl>
    <w:p>
      <w:pPr>
        <w:pStyle w:val="style34"/>
        <w:rPr>
          <w:color w:val="000000"/>
        </w:rPr>
      </w:pPr>
    </w:p>
    <w:p>
      <w:pPr>
        <w:pStyle w:val="style0"/>
        <w:spacing w:before="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results revealed a coefficient of 0.768 for the five items, which indicates that the instrument achieved an acceptable level of reliability. This implies that the items used in the study were consistent in measuring the intended constructs and can therefore be considered dependable for data analysis. According to Cohen, Manion and Morrison (2012), a reliability coefficient of 0.70 and above is sufficient for research instruments in the social sciences, hence the instrument employed in this study was deemed reliable</w:t>
      </w:r>
    </w:p>
    <w:p>
      <w:pPr>
        <w:pStyle w:val="style0"/>
        <w:spacing w:after="200" w:lineRule="auto" w:line="276"/>
        <w:rPr>
          <w:rFonts w:ascii="Times New Roman" w:cs="Times New Roman" w:hAnsi="Times New Roman"/>
          <w:b/>
          <w:color w:val="000000"/>
          <w:sz w:val="24"/>
          <w:szCs w:val="24"/>
        </w:rPr>
      </w:pPr>
      <w:r>
        <w:rPr>
          <w:color w:val="000000"/>
        </w:rPr>
        <w:br w:type="page"/>
      </w:r>
    </w:p>
    <w:bookmarkStart w:id="156" w:name="_Toc216513832"/>
    <w:p>
      <w:pPr>
        <w:pStyle w:val="style1"/>
        <w:numPr>
          <w:ilvl w:val="1"/>
          <w:numId w:val="22"/>
        </w:numPr>
        <w:spacing w:before="240" w:after="240"/>
        <w:jc w:val="both"/>
        <w:rPr>
          <w:color w:val="000000"/>
        </w:rPr>
      </w:pPr>
      <w:r>
        <w:rPr>
          <w:color w:val="000000"/>
        </w:rPr>
        <w:t>Test of Hypotheses</w:t>
      </w:r>
      <w:bookmarkEnd w:id="156"/>
      <w:r>
        <w:rPr>
          <w:color w:val="000000"/>
        </w:rPr>
        <w:t xml:space="preserve"> </w:t>
      </w:r>
    </w:p>
    <w:p>
      <w:pPr>
        <w:pStyle w:val="style0"/>
        <w:spacing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To establish the relationships between the independent variables (socio</w:t>
      </w:r>
      <w:r>
        <w:rPr>
          <w:rFonts w:ascii="Times New Roman" w:cs="Times New Roman" w:hAnsi="Times New Roman"/>
          <w:color w:val="000000"/>
          <w:sz w:val="24"/>
          <w:szCs w:val="24"/>
        </w:rPr>
        <w:noBreakHyphen/>
      </w:r>
      <w:r>
        <w:rPr>
          <w:rFonts w:ascii="Times New Roman" w:cs="Times New Roman" w:hAnsi="Times New Roman"/>
          <w:color w:val="000000"/>
          <w:sz w:val="24"/>
          <w:szCs w:val="24"/>
        </w:rPr>
        <w:t>economic factors, cultural practices, school environment and policy implementation) and learners’ absenteeism (dependent variable) in primary schools within Bangal sub</w:t>
      </w:r>
      <w:r>
        <w:rPr>
          <w:rFonts w:ascii="Times New Roman" w:cs="Times New Roman" w:hAnsi="Times New Roman"/>
          <w:color w:val="000000"/>
          <w:sz w:val="24"/>
          <w:szCs w:val="24"/>
        </w:rPr>
        <w:noBreakHyphen/>
      </w:r>
      <w:r>
        <w:rPr>
          <w:rFonts w:ascii="Times New Roman" w:cs="Times New Roman" w:hAnsi="Times New Roman"/>
          <w:color w:val="000000"/>
          <w:sz w:val="24"/>
          <w:szCs w:val="24"/>
        </w:rPr>
        <w:t>county, Pearson’s correlation analysis was conducted. The test was guided by four null hypotheses (H01–H04). The correlation coefficients and significance values were examined to determine whether the hypothesized relationships were statistically significant at the 0.05 level. The analysis focused on the strength and direction of the relationships between the independent constructs and learners’ attendance. The results were presented in table 13.</w:t>
      </w:r>
    </w:p>
    <w:p>
      <w:pPr>
        <w:pStyle w:val="style0"/>
        <w:spacing w:lineRule="auto" w:line="480"/>
        <w:jc w:val="both"/>
        <w:rPr>
          <w:rFonts w:ascii="Times New Roman" w:cs="Times New Roman" w:hAnsi="Times New Roman"/>
          <w:color w:val="000000"/>
          <w:sz w:val="24"/>
          <w:szCs w:val="24"/>
        </w:rPr>
        <w:sectPr>
          <w:pgSz w:w="12240" w:h="15840" w:orient="portrait"/>
          <w:pgMar w:top="1134" w:right="1134" w:bottom="1134" w:left="1134" w:header="720" w:footer="720" w:gutter="0"/>
          <w:pgNumType w:start="1"/>
          <w:cols w:space="720"/>
          <w:docGrid w:linePitch="360"/>
        </w:sectPr>
      </w:pPr>
    </w:p>
    <w:bookmarkStart w:id="157" w:name="_Toc216299153"/>
    <w:p>
      <w:pPr>
        <w:pStyle w:val="style4104"/>
        <w:rPr>
          <w:i w:val="false"/>
        </w:rPr>
      </w:pPr>
      <w:r>
        <w:rPr>
          <w:b/>
          <w:i w:val="false"/>
        </w:rPr>
        <w:t>Table 13</w:t>
      </w:r>
      <w:r>
        <w:rPr>
          <w:i w:val="false"/>
        </w:rPr>
        <w:t>:</w:t>
      </w:r>
      <w:bookmarkEnd w:id="157"/>
      <w:r>
        <w:rPr>
          <w:i w:val="false"/>
        </w:rPr>
        <w:t xml:space="preserve"> </w:t>
      </w:r>
    </w:p>
    <w:bookmarkStart w:id="158" w:name="_Toc216299154"/>
    <w:p>
      <w:pPr>
        <w:pStyle w:val="style4104"/>
        <w:rPr>
          <w:i w:val="false"/>
        </w:rPr>
      </w:pPr>
      <w:r>
        <w:t>Correlation</w:t>
      </w:r>
      <w:bookmarkEnd w:id="158"/>
      <w:r>
        <w:t xml:space="preserve"> </w:t>
      </w:r>
    </w:p>
    <w:tbl>
      <w:tblPr>
        <w:tblW w:w="12960" w:type="dxa"/>
        <w:tblInd w:w="20" w:type="dxa"/>
        <w:tblBorders>
          <w:top w:val="single" w:sz="12" w:space="0" w:color="auto"/>
          <w:bottom w:val="single" w:sz="12" w:space="0" w:color="auto"/>
        </w:tblBorders>
        <w:tblLayout w:type="fixed"/>
        <w:tblCellMar>
          <w:left w:w="0" w:type="dxa"/>
          <w:right w:w="0" w:type="dxa"/>
        </w:tblCellMar>
        <w:tblLook w:val="0000" w:firstRow="0" w:lastRow="0" w:firstColumn="0" w:lastColumn="0" w:noHBand="0" w:noVBand="0"/>
      </w:tblPr>
      <w:tblGrid>
        <w:gridCol w:w="2602"/>
        <w:gridCol w:w="2098"/>
        <w:gridCol w:w="1560"/>
        <w:gridCol w:w="1560"/>
        <w:gridCol w:w="1720"/>
        <w:gridCol w:w="1800"/>
        <w:gridCol w:w="1620"/>
      </w:tblGrid>
      <w:tr>
        <w:trPr>
          <w:cantSplit/>
        </w:trPr>
        <w:tc>
          <w:tcPr>
            <w:tcW w:w="4700" w:type="dxa"/>
            <w:gridSpan w:val="2"/>
            <w:tcBorders>
              <w:top w:val="single" w:sz="12" w:space="0" w:color="auto"/>
              <w:bottom w:val="single" w:sz="12" w:space="0" w:color="auto"/>
            </w:tcBorders>
            <w:shd w:val="clear" w:color="auto" w:fill="ffffff"/>
          </w:tcPr>
          <w:p>
            <w:pPr>
              <w:pStyle w:val="style0"/>
              <w:autoSpaceDE w:val="false"/>
              <w:autoSpaceDN w:val="false"/>
              <w:adjustRightInd w:val="false"/>
              <w:spacing w:after="0" w:lineRule="atLeast" w:line="320"/>
              <w:ind w:left="60" w:right="60"/>
              <w:rPr>
                <w:rFonts w:ascii="Times New Roman" w:cs="Times New Roman" w:hAnsi="Times New Roman"/>
                <w:color w:val="000000"/>
                <w:sz w:val="24"/>
                <w:szCs w:val="24"/>
              </w:rPr>
            </w:pPr>
          </w:p>
        </w:tc>
        <w:tc>
          <w:tcPr>
            <w:tcW w:w="1560" w:type="dxa"/>
            <w:tcBorders>
              <w:top w:val="single" w:sz="12" w:space="0" w:color="auto"/>
              <w:bottom w:val="single" w:sz="12" w:space="0" w:color="auto"/>
            </w:tcBorders>
            <w:shd w:val="clear" w:color="auto" w:fill="ffffff"/>
          </w:tcPr>
          <w:p>
            <w:pPr>
              <w:pStyle w:val="style0"/>
              <w:autoSpaceDE w:val="false"/>
              <w:autoSpaceDN w:val="false"/>
              <w:adjustRightInd w:val="false"/>
              <w:spacing w:after="0" w:lineRule="atLeast" w:line="32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Economic factors</w:t>
            </w:r>
          </w:p>
        </w:tc>
        <w:tc>
          <w:tcPr>
            <w:tcW w:w="1560" w:type="dxa"/>
            <w:tcBorders>
              <w:top w:val="single" w:sz="12" w:space="0" w:color="auto"/>
              <w:bottom w:val="single" w:sz="12" w:space="0" w:color="auto"/>
            </w:tcBorders>
            <w:shd w:val="clear" w:color="auto" w:fill="ffffff"/>
          </w:tcPr>
          <w:p>
            <w:pPr>
              <w:pStyle w:val="style0"/>
              <w:autoSpaceDE w:val="false"/>
              <w:autoSpaceDN w:val="false"/>
              <w:adjustRightInd w:val="false"/>
              <w:spacing w:after="0" w:lineRule="atLeast" w:line="32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Cultural factors</w:t>
            </w:r>
          </w:p>
        </w:tc>
        <w:tc>
          <w:tcPr>
            <w:tcW w:w="1720" w:type="dxa"/>
            <w:tcBorders>
              <w:top w:val="single" w:sz="12" w:space="0" w:color="auto"/>
              <w:bottom w:val="single" w:sz="12" w:space="0" w:color="auto"/>
            </w:tcBorders>
            <w:shd w:val="clear" w:color="auto" w:fill="ffffff"/>
          </w:tcPr>
          <w:p>
            <w:pPr>
              <w:pStyle w:val="style0"/>
              <w:autoSpaceDE w:val="false"/>
              <w:autoSpaceDN w:val="false"/>
              <w:adjustRightInd w:val="false"/>
              <w:spacing w:after="0" w:lineRule="atLeast" w:line="32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School environment</w:t>
            </w:r>
          </w:p>
        </w:tc>
        <w:tc>
          <w:tcPr>
            <w:tcW w:w="1800" w:type="dxa"/>
            <w:tcBorders>
              <w:top w:val="single" w:sz="12" w:space="0" w:color="auto"/>
              <w:bottom w:val="single" w:sz="12" w:space="0" w:color="auto"/>
            </w:tcBorders>
            <w:shd w:val="clear" w:color="auto" w:fill="ffffff"/>
          </w:tcPr>
          <w:p>
            <w:pPr>
              <w:pStyle w:val="style0"/>
              <w:autoSpaceDE w:val="false"/>
              <w:autoSpaceDN w:val="false"/>
              <w:adjustRightInd w:val="false"/>
              <w:spacing w:after="0" w:lineRule="atLeast" w:line="32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Policy implementation</w:t>
            </w:r>
          </w:p>
        </w:tc>
        <w:tc>
          <w:tcPr>
            <w:tcW w:w="1620" w:type="dxa"/>
            <w:tcBorders>
              <w:top w:val="single" w:sz="12" w:space="0" w:color="auto"/>
              <w:bottom w:val="single" w:sz="12" w:space="0" w:color="auto"/>
            </w:tcBorders>
            <w:shd w:val="clear" w:color="auto" w:fill="ffffff"/>
          </w:tcPr>
          <w:p>
            <w:pPr>
              <w:pStyle w:val="style0"/>
              <w:autoSpaceDE w:val="false"/>
              <w:autoSpaceDN w:val="false"/>
              <w:adjustRightInd w:val="false"/>
              <w:spacing w:after="0" w:lineRule="atLeast" w:line="320"/>
              <w:ind w:left="60" w:right="60"/>
              <w:jc w:val="center"/>
              <w:rPr>
                <w:rFonts w:ascii="Times New Roman" w:cs="Times New Roman" w:hAnsi="Times New Roman"/>
                <w:color w:val="000000"/>
                <w:sz w:val="24"/>
                <w:szCs w:val="24"/>
              </w:rPr>
            </w:pPr>
            <w:r>
              <w:rPr>
                <w:rFonts w:ascii="Times New Roman" w:cs="Times New Roman" w:hAnsi="Times New Roman"/>
                <w:color w:val="000000"/>
                <w:sz w:val="24"/>
                <w:szCs w:val="24"/>
              </w:rPr>
              <w:t>Learners attendance</w:t>
            </w:r>
          </w:p>
        </w:tc>
      </w:tr>
      <w:tr>
        <w:tblPrEx/>
        <w:trPr>
          <w:cantSplit/>
        </w:trPr>
        <w:tc>
          <w:tcPr>
            <w:tcW w:w="2602" w:type="dxa"/>
            <w:vMerge w:val="restart"/>
            <w:tcBorders>
              <w:top w:val="single" w:sz="12" w:space="0" w:color="auto"/>
            </w:tcBorders>
            <w:shd w:val="clear" w:color="auto" w:fill="ffffff"/>
            <w:vAlign w:val="center"/>
          </w:tcPr>
          <w:p>
            <w:pPr>
              <w:pStyle w:val="style0"/>
              <w:autoSpaceDE w:val="false"/>
              <w:autoSpaceDN w:val="false"/>
              <w:adjustRightInd w:val="false"/>
              <w:spacing w:after="0" w:lineRule="atLeast" w:line="32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Economic factors</w:t>
            </w:r>
          </w:p>
        </w:tc>
        <w:tc>
          <w:tcPr>
            <w:tcW w:w="2098" w:type="dxa"/>
            <w:tcBorders>
              <w:top w:val="single" w:sz="12" w:space="0" w:color="auto"/>
            </w:tcBorders>
            <w:shd w:val="clear" w:color="auto" w:fill="ffffff"/>
            <w:vAlign w:val="center"/>
          </w:tcPr>
          <w:p>
            <w:pPr>
              <w:pStyle w:val="style0"/>
              <w:autoSpaceDE w:val="false"/>
              <w:autoSpaceDN w:val="false"/>
              <w:adjustRightInd w:val="false"/>
              <w:spacing w:after="0" w:lineRule="atLeast" w:line="32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Pearson Correlation</w:t>
            </w:r>
          </w:p>
        </w:tc>
        <w:tc>
          <w:tcPr>
            <w:tcW w:w="1560" w:type="dxa"/>
            <w:tcBorders>
              <w:top w:val="single" w:sz="12" w:space="0" w:color="auto"/>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w:t>
            </w:r>
          </w:p>
        </w:tc>
        <w:tc>
          <w:tcPr>
            <w:tcW w:w="1560" w:type="dxa"/>
            <w:tcBorders>
              <w:top w:val="single" w:sz="12" w:space="0" w:color="auto"/>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.119</w:t>
            </w:r>
          </w:p>
        </w:tc>
        <w:tc>
          <w:tcPr>
            <w:tcW w:w="1720" w:type="dxa"/>
            <w:tcBorders>
              <w:top w:val="single" w:sz="12" w:space="0" w:color="auto"/>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.543</w:t>
            </w:r>
            <w:r>
              <w:rPr>
                <w:rFonts w:ascii="Times New Roman" w:cs="Times New Roman" w:hAnsi="Times New Roman"/>
                <w:color w:val="000000"/>
                <w:sz w:val="24"/>
                <w:szCs w:val="24"/>
                <w:vertAlign w:val="superscript"/>
              </w:rPr>
              <w:t>*</w:t>
            </w:r>
          </w:p>
        </w:tc>
        <w:tc>
          <w:tcPr>
            <w:tcW w:w="1800" w:type="dxa"/>
            <w:tcBorders>
              <w:top w:val="single" w:sz="12" w:space="0" w:color="auto"/>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.488</w:t>
            </w:r>
          </w:p>
        </w:tc>
        <w:tc>
          <w:tcPr>
            <w:tcW w:w="1620" w:type="dxa"/>
            <w:tcBorders>
              <w:top w:val="single" w:sz="12" w:space="0" w:color="auto"/>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vertAlign w:val="superscript"/>
              </w:rPr>
            </w:pPr>
            <w:r>
              <w:rPr>
                <w:rFonts w:ascii="Times New Roman" w:cs="Times New Roman" w:hAnsi="Times New Roman"/>
                <w:color w:val="000000"/>
                <w:sz w:val="24"/>
                <w:szCs w:val="24"/>
              </w:rPr>
              <w:t>-.701</w:t>
            </w:r>
            <w:r>
              <w:rPr>
                <w:rFonts w:ascii="Times New Roman" w:cs="Times New Roman" w:hAnsi="Times New Roman"/>
                <w:color w:val="000000"/>
                <w:sz w:val="24"/>
                <w:szCs w:val="24"/>
                <w:vertAlign w:val="superscript"/>
              </w:rPr>
              <w:t>*</w:t>
            </w:r>
          </w:p>
        </w:tc>
      </w:tr>
      <w:tr>
        <w:tblPrEx/>
        <w:trPr>
          <w:cantSplit/>
        </w:trPr>
        <w:tc>
          <w:tcPr>
            <w:tcW w:w="2602" w:type="dxa"/>
            <w:vMerge w:val="continue"/>
            <w:tcBorders/>
            <w:shd w:val="clear" w:color="auto" w:fill="ffffff"/>
            <w:vAlign w:val="center"/>
          </w:tcPr>
          <w:p>
            <w:pPr>
              <w:pStyle w:val="style0"/>
              <w:autoSpaceDE w:val="false"/>
              <w:autoSpaceDN w:val="false"/>
              <w:adjustRightInd w:val="false"/>
              <w:spacing w:after="0" w:lineRule="auto" w:line="240"/>
              <w:rPr>
                <w:rFonts w:ascii="Times New Roman" w:cs="Times New Roman" w:hAnsi="Times New Roman"/>
                <w:color w:val="000000"/>
                <w:sz w:val="24"/>
                <w:szCs w:val="24"/>
              </w:rPr>
            </w:pPr>
          </w:p>
        </w:tc>
        <w:tc>
          <w:tcPr>
            <w:tcW w:w="2098" w:type="dxa"/>
            <w:tcBorders/>
            <w:shd w:val="clear" w:color="auto" w:fill="ffffff"/>
            <w:vAlign w:val="center"/>
          </w:tcPr>
          <w:p>
            <w:pPr>
              <w:pStyle w:val="style0"/>
              <w:autoSpaceDE w:val="false"/>
              <w:autoSpaceDN w:val="false"/>
              <w:adjustRightInd w:val="false"/>
              <w:spacing w:after="0" w:lineRule="atLeast" w:line="32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Sig. (2-tailed)</w:t>
            </w:r>
          </w:p>
        </w:tc>
        <w:tc>
          <w:tcPr>
            <w:tcW w:w="1560" w:type="dxa"/>
            <w:tcBorders/>
            <w:shd w:val="clear" w:color="auto" w:fill="ffffff"/>
          </w:tcPr>
          <w:p>
            <w:pPr>
              <w:pStyle w:val="style0"/>
              <w:autoSpaceDE w:val="false"/>
              <w:autoSpaceDN w:val="false"/>
              <w:adjustRightInd w:val="false"/>
              <w:spacing w:after="0" w:lineRule="auto" w:line="240"/>
              <w:rPr>
                <w:rFonts w:ascii="Times New Roman" w:cs="Times New Roman" w:hAnsi="Times New Roman"/>
                <w:color w:val="000000"/>
                <w:sz w:val="24"/>
                <w:szCs w:val="24"/>
              </w:rPr>
            </w:pPr>
          </w:p>
        </w:tc>
        <w:tc>
          <w:tcPr>
            <w:tcW w:w="156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.000</w:t>
            </w:r>
          </w:p>
        </w:tc>
        <w:tc>
          <w:tcPr>
            <w:tcW w:w="17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.000</w:t>
            </w:r>
          </w:p>
        </w:tc>
        <w:tc>
          <w:tcPr>
            <w:tcW w:w="180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.000</w:t>
            </w:r>
          </w:p>
        </w:tc>
        <w:tc>
          <w:tcPr>
            <w:tcW w:w="16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.000</w:t>
            </w:r>
          </w:p>
        </w:tc>
      </w:tr>
      <w:tr>
        <w:tblPrEx/>
        <w:trPr>
          <w:cantSplit/>
        </w:trPr>
        <w:tc>
          <w:tcPr>
            <w:tcW w:w="2602" w:type="dxa"/>
            <w:vMerge w:val="continue"/>
            <w:tcBorders/>
            <w:shd w:val="clear" w:color="auto" w:fill="ffffff"/>
            <w:vAlign w:val="center"/>
          </w:tcPr>
          <w:p>
            <w:pPr>
              <w:pStyle w:val="style0"/>
              <w:autoSpaceDE w:val="false"/>
              <w:autoSpaceDN w:val="false"/>
              <w:adjustRightInd w:val="false"/>
              <w:spacing w:after="0" w:lineRule="auto" w:line="240"/>
              <w:rPr>
                <w:rFonts w:ascii="Times New Roman" w:cs="Times New Roman" w:hAnsi="Times New Roman"/>
                <w:color w:val="000000"/>
                <w:sz w:val="24"/>
                <w:szCs w:val="24"/>
              </w:rPr>
            </w:pPr>
          </w:p>
        </w:tc>
        <w:tc>
          <w:tcPr>
            <w:tcW w:w="2098" w:type="dxa"/>
            <w:tcBorders/>
            <w:shd w:val="clear" w:color="auto" w:fill="ffffff"/>
            <w:vAlign w:val="center"/>
          </w:tcPr>
          <w:p>
            <w:pPr>
              <w:pStyle w:val="style0"/>
              <w:autoSpaceDE w:val="false"/>
              <w:autoSpaceDN w:val="false"/>
              <w:adjustRightInd w:val="false"/>
              <w:spacing w:after="0" w:lineRule="atLeast" w:line="32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N</w:t>
            </w:r>
          </w:p>
        </w:tc>
        <w:tc>
          <w:tcPr>
            <w:tcW w:w="156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156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17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180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16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r>
      <w:tr>
        <w:tblPrEx/>
        <w:trPr>
          <w:cantSplit/>
        </w:trPr>
        <w:tc>
          <w:tcPr>
            <w:tcW w:w="2602" w:type="dxa"/>
            <w:vMerge w:val="restart"/>
            <w:tcBorders/>
            <w:shd w:val="clear" w:color="auto" w:fill="ffffff"/>
            <w:vAlign w:val="center"/>
          </w:tcPr>
          <w:p>
            <w:pPr>
              <w:pStyle w:val="style0"/>
              <w:autoSpaceDE w:val="false"/>
              <w:autoSpaceDN w:val="false"/>
              <w:adjustRightInd w:val="false"/>
              <w:spacing w:after="0" w:lineRule="atLeast" w:line="32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Cultural factors</w:t>
            </w:r>
          </w:p>
        </w:tc>
        <w:tc>
          <w:tcPr>
            <w:tcW w:w="2098" w:type="dxa"/>
            <w:tcBorders/>
            <w:shd w:val="clear" w:color="auto" w:fill="ffffff"/>
            <w:vAlign w:val="center"/>
          </w:tcPr>
          <w:p>
            <w:pPr>
              <w:pStyle w:val="style0"/>
              <w:autoSpaceDE w:val="false"/>
              <w:autoSpaceDN w:val="false"/>
              <w:adjustRightInd w:val="false"/>
              <w:spacing w:after="0" w:lineRule="atLeast" w:line="32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Pearson Correlation</w:t>
            </w:r>
          </w:p>
        </w:tc>
        <w:tc>
          <w:tcPr>
            <w:tcW w:w="156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.119</w:t>
            </w:r>
          </w:p>
        </w:tc>
        <w:tc>
          <w:tcPr>
            <w:tcW w:w="156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w:t>
            </w:r>
          </w:p>
        </w:tc>
        <w:tc>
          <w:tcPr>
            <w:tcW w:w="17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.523</w:t>
            </w:r>
            <w:r>
              <w:rPr>
                <w:rFonts w:ascii="Times New Roman" w:cs="Times New Roman" w:hAnsi="Times New Roman"/>
                <w:color w:val="000000"/>
                <w:sz w:val="24"/>
                <w:szCs w:val="24"/>
                <w:vertAlign w:val="superscript"/>
              </w:rPr>
              <w:t>*</w:t>
            </w:r>
          </w:p>
        </w:tc>
        <w:tc>
          <w:tcPr>
            <w:tcW w:w="180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.437</w:t>
            </w:r>
            <w:r>
              <w:rPr>
                <w:rFonts w:ascii="Times New Roman" w:cs="Times New Roman" w:hAnsi="Times New Roman"/>
                <w:color w:val="000000"/>
                <w:sz w:val="24"/>
                <w:szCs w:val="24"/>
                <w:vertAlign w:val="superscript"/>
              </w:rPr>
              <w:t>*</w:t>
            </w:r>
          </w:p>
        </w:tc>
        <w:tc>
          <w:tcPr>
            <w:tcW w:w="16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-.477</w:t>
            </w:r>
            <w:r>
              <w:rPr>
                <w:rFonts w:ascii="Times New Roman" w:cs="Times New Roman" w:hAnsi="Times New Roman"/>
                <w:color w:val="000000"/>
                <w:sz w:val="24"/>
                <w:szCs w:val="24"/>
                <w:vertAlign w:val="superscript"/>
              </w:rPr>
              <w:t>*</w:t>
            </w:r>
          </w:p>
        </w:tc>
      </w:tr>
      <w:tr>
        <w:tblPrEx/>
        <w:trPr>
          <w:cantSplit/>
        </w:trPr>
        <w:tc>
          <w:tcPr>
            <w:tcW w:w="2602" w:type="dxa"/>
            <w:vMerge w:val="continue"/>
            <w:tcBorders/>
            <w:shd w:val="clear" w:color="auto" w:fill="ffffff"/>
            <w:vAlign w:val="center"/>
          </w:tcPr>
          <w:p>
            <w:pPr>
              <w:pStyle w:val="style0"/>
              <w:autoSpaceDE w:val="false"/>
              <w:autoSpaceDN w:val="false"/>
              <w:adjustRightInd w:val="false"/>
              <w:spacing w:after="0" w:lineRule="auto" w:line="240"/>
              <w:rPr>
                <w:rFonts w:ascii="Times New Roman" w:cs="Times New Roman" w:hAnsi="Times New Roman"/>
                <w:color w:val="000000"/>
                <w:sz w:val="24"/>
                <w:szCs w:val="24"/>
              </w:rPr>
            </w:pPr>
          </w:p>
        </w:tc>
        <w:tc>
          <w:tcPr>
            <w:tcW w:w="2098" w:type="dxa"/>
            <w:tcBorders/>
            <w:shd w:val="clear" w:color="auto" w:fill="ffffff"/>
            <w:vAlign w:val="center"/>
          </w:tcPr>
          <w:p>
            <w:pPr>
              <w:pStyle w:val="style0"/>
              <w:autoSpaceDE w:val="false"/>
              <w:autoSpaceDN w:val="false"/>
              <w:adjustRightInd w:val="false"/>
              <w:spacing w:after="0" w:lineRule="atLeast" w:line="32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Sig. (2-tailed)</w:t>
            </w:r>
          </w:p>
        </w:tc>
        <w:tc>
          <w:tcPr>
            <w:tcW w:w="156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.000</w:t>
            </w:r>
          </w:p>
        </w:tc>
        <w:tc>
          <w:tcPr>
            <w:tcW w:w="1560" w:type="dxa"/>
            <w:tcBorders/>
            <w:shd w:val="clear" w:color="auto" w:fill="ffffff"/>
          </w:tcPr>
          <w:p>
            <w:pPr>
              <w:pStyle w:val="style0"/>
              <w:autoSpaceDE w:val="false"/>
              <w:autoSpaceDN w:val="false"/>
              <w:adjustRightInd w:val="false"/>
              <w:spacing w:after="0" w:lineRule="auto" w:line="240"/>
              <w:rPr>
                <w:rFonts w:ascii="Times New Roman" w:cs="Times New Roman" w:hAnsi="Times New Roman"/>
                <w:color w:val="000000"/>
                <w:sz w:val="24"/>
                <w:szCs w:val="24"/>
              </w:rPr>
            </w:pPr>
          </w:p>
        </w:tc>
        <w:tc>
          <w:tcPr>
            <w:tcW w:w="17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.000</w:t>
            </w:r>
          </w:p>
        </w:tc>
        <w:tc>
          <w:tcPr>
            <w:tcW w:w="180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.000</w:t>
            </w:r>
          </w:p>
        </w:tc>
        <w:tc>
          <w:tcPr>
            <w:tcW w:w="16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.000</w:t>
            </w:r>
          </w:p>
        </w:tc>
      </w:tr>
      <w:tr>
        <w:tblPrEx/>
        <w:trPr>
          <w:cantSplit/>
        </w:trPr>
        <w:tc>
          <w:tcPr>
            <w:tcW w:w="2602" w:type="dxa"/>
            <w:vMerge w:val="continue"/>
            <w:tcBorders/>
            <w:shd w:val="clear" w:color="auto" w:fill="ffffff"/>
            <w:vAlign w:val="center"/>
          </w:tcPr>
          <w:p>
            <w:pPr>
              <w:pStyle w:val="style0"/>
              <w:autoSpaceDE w:val="false"/>
              <w:autoSpaceDN w:val="false"/>
              <w:adjustRightInd w:val="false"/>
              <w:spacing w:after="0" w:lineRule="auto" w:line="240"/>
              <w:rPr>
                <w:rFonts w:ascii="Times New Roman" w:cs="Times New Roman" w:hAnsi="Times New Roman"/>
                <w:color w:val="000000"/>
                <w:sz w:val="24"/>
                <w:szCs w:val="24"/>
              </w:rPr>
            </w:pPr>
          </w:p>
        </w:tc>
        <w:tc>
          <w:tcPr>
            <w:tcW w:w="2098" w:type="dxa"/>
            <w:tcBorders/>
            <w:shd w:val="clear" w:color="auto" w:fill="ffffff"/>
            <w:vAlign w:val="center"/>
          </w:tcPr>
          <w:p>
            <w:pPr>
              <w:pStyle w:val="style0"/>
              <w:autoSpaceDE w:val="false"/>
              <w:autoSpaceDN w:val="false"/>
              <w:adjustRightInd w:val="false"/>
              <w:spacing w:after="0" w:lineRule="atLeast" w:line="32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N</w:t>
            </w:r>
          </w:p>
        </w:tc>
        <w:tc>
          <w:tcPr>
            <w:tcW w:w="156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156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17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180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16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r>
      <w:tr>
        <w:tblPrEx/>
        <w:trPr>
          <w:cantSplit/>
        </w:trPr>
        <w:tc>
          <w:tcPr>
            <w:tcW w:w="2602" w:type="dxa"/>
            <w:vMerge w:val="restart"/>
            <w:tcBorders/>
            <w:shd w:val="clear" w:color="auto" w:fill="ffffff"/>
            <w:vAlign w:val="center"/>
          </w:tcPr>
          <w:p>
            <w:pPr>
              <w:pStyle w:val="style0"/>
              <w:autoSpaceDE w:val="false"/>
              <w:autoSpaceDN w:val="false"/>
              <w:adjustRightInd w:val="false"/>
              <w:spacing w:after="0" w:lineRule="atLeast" w:line="32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School environment</w:t>
            </w:r>
          </w:p>
        </w:tc>
        <w:tc>
          <w:tcPr>
            <w:tcW w:w="2098" w:type="dxa"/>
            <w:tcBorders/>
            <w:shd w:val="clear" w:color="auto" w:fill="ffffff"/>
            <w:vAlign w:val="center"/>
          </w:tcPr>
          <w:p>
            <w:pPr>
              <w:pStyle w:val="style0"/>
              <w:autoSpaceDE w:val="false"/>
              <w:autoSpaceDN w:val="false"/>
              <w:adjustRightInd w:val="false"/>
              <w:spacing w:after="0" w:lineRule="atLeast" w:line="32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Pearson Correlation</w:t>
            </w:r>
          </w:p>
        </w:tc>
        <w:tc>
          <w:tcPr>
            <w:tcW w:w="156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.543</w:t>
            </w:r>
            <w:r>
              <w:rPr>
                <w:rFonts w:ascii="Times New Roman" w:cs="Times New Roman" w:hAnsi="Times New Roman"/>
                <w:color w:val="000000"/>
                <w:sz w:val="24"/>
                <w:szCs w:val="24"/>
                <w:vertAlign w:val="superscript"/>
              </w:rPr>
              <w:t>*</w:t>
            </w:r>
          </w:p>
        </w:tc>
        <w:tc>
          <w:tcPr>
            <w:tcW w:w="156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.523</w:t>
            </w:r>
            <w:r>
              <w:rPr>
                <w:rFonts w:ascii="Times New Roman" w:cs="Times New Roman" w:hAnsi="Times New Roman"/>
                <w:color w:val="000000"/>
                <w:sz w:val="24"/>
                <w:szCs w:val="24"/>
                <w:vertAlign w:val="superscript"/>
              </w:rPr>
              <w:t>*</w:t>
            </w:r>
          </w:p>
        </w:tc>
        <w:tc>
          <w:tcPr>
            <w:tcW w:w="17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w:t>
            </w:r>
          </w:p>
        </w:tc>
        <w:tc>
          <w:tcPr>
            <w:tcW w:w="180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.407</w:t>
            </w:r>
            <w:r>
              <w:rPr>
                <w:rFonts w:ascii="Times New Roman" w:cs="Times New Roman" w:hAnsi="Times New Roman"/>
                <w:color w:val="000000"/>
                <w:sz w:val="24"/>
                <w:szCs w:val="24"/>
                <w:vertAlign w:val="superscript"/>
              </w:rPr>
              <w:t>*</w:t>
            </w:r>
          </w:p>
        </w:tc>
        <w:tc>
          <w:tcPr>
            <w:tcW w:w="16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-.870</w:t>
            </w:r>
            <w:r>
              <w:rPr>
                <w:rFonts w:ascii="Times New Roman" w:cs="Times New Roman" w:hAnsi="Times New Roman"/>
                <w:color w:val="000000"/>
                <w:sz w:val="24"/>
                <w:szCs w:val="24"/>
                <w:vertAlign w:val="superscript"/>
              </w:rPr>
              <w:t>*</w:t>
            </w:r>
          </w:p>
        </w:tc>
      </w:tr>
      <w:tr>
        <w:tblPrEx/>
        <w:trPr>
          <w:cantSplit/>
        </w:trPr>
        <w:tc>
          <w:tcPr>
            <w:tcW w:w="2602" w:type="dxa"/>
            <w:vMerge w:val="continue"/>
            <w:tcBorders/>
            <w:shd w:val="clear" w:color="auto" w:fill="ffffff"/>
            <w:vAlign w:val="center"/>
          </w:tcPr>
          <w:p>
            <w:pPr>
              <w:pStyle w:val="style0"/>
              <w:autoSpaceDE w:val="false"/>
              <w:autoSpaceDN w:val="false"/>
              <w:adjustRightInd w:val="false"/>
              <w:spacing w:after="0" w:lineRule="auto" w:line="240"/>
              <w:rPr>
                <w:rFonts w:ascii="Times New Roman" w:cs="Times New Roman" w:hAnsi="Times New Roman"/>
                <w:color w:val="000000"/>
                <w:sz w:val="24"/>
                <w:szCs w:val="24"/>
              </w:rPr>
            </w:pPr>
          </w:p>
        </w:tc>
        <w:tc>
          <w:tcPr>
            <w:tcW w:w="2098" w:type="dxa"/>
            <w:tcBorders/>
            <w:shd w:val="clear" w:color="auto" w:fill="ffffff"/>
            <w:vAlign w:val="center"/>
          </w:tcPr>
          <w:p>
            <w:pPr>
              <w:pStyle w:val="style0"/>
              <w:autoSpaceDE w:val="false"/>
              <w:autoSpaceDN w:val="false"/>
              <w:adjustRightInd w:val="false"/>
              <w:spacing w:after="0" w:lineRule="atLeast" w:line="32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Sig. (2-tailed)</w:t>
            </w:r>
          </w:p>
        </w:tc>
        <w:tc>
          <w:tcPr>
            <w:tcW w:w="156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.000</w:t>
            </w:r>
          </w:p>
        </w:tc>
        <w:tc>
          <w:tcPr>
            <w:tcW w:w="156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.000</w:t>
            </w:r>
          </w:p>
        </w:tc>
        <w:tc>
          <w:tcPr>
            <w:tcW w:w="1720" w:type="dxa"/>
            <w:tcBorders/>
            <w:shd w:val="clear" w:color="auto" w:fill="ffffff"/>
          </w:tcPr>
          <w:p>
            <w:pPr>
              <w:pStyle w:val="style0"/>
              <w:autoSpaceDE w:val="false"/>
              <w:autoSpaceDN w:val="false"/>
              <w:adjustRightInd w:val="false"/>
              <w:spacing w:after="0" w:lineRule="auto" w:line="240"/>
              <w:rPr>
                <w:rFonts w:ascii="Times New Roman" w:cs="Times New Roman" w:hAnsi="Times New Roman"/>
                <w:color w:val="000000"/>
                <w:sz w:val="24"/>
                <w:szCs w:val="24"/>
              </w:rPr>
            </w:pPr>
          </w:p>
        </w:tc>
        <w:tc>
          <w:tcPr>
            <w:tcW w:w="180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.000</w:t>
            </w:r>
          </w:p>
        </w:tc>
        <w:tc>
          <w:tcPr>
            <w:tcW w:w="16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.000</w:t>
            </w:r>
          </w:p>
        </w:tc>
      </w:tr>
      <w:tr>
        <w:tblPrEx/>
        <w:trPr>
          <w:cantSplit/>
        </w:trPr>
        <w:tc>
          <w:tcPr>
            <w:tcW w:w="2602" w:type="dxa"/>
            <w:vMerge w:val="continue"/>
            <w:tcBorders/>
            <w:shd w:val="clear" w:color="auto" w:fill="ffffff"/>
            <w:vAlign w:val="center"/>
          </w:tcPr>
          <w:p>
            <w:pPr>
              <w:pStyle w:val="style0"/>
              <w:autoSpaceDE w:val="false"/>
              <w:autoSpaceDN w:val="false"/>
              <w:adjustRightInd w:val="false"/>
              <w:spacing w:after="0" w:lineRule="auto" w:line="240"/>
              <w:rPr>
                <w:rFonts w:ascii="Times New Roman" w:cs="Times New Roman" w:hAnsi="Times New Roman"/>
                <w:color w:val="000000"/>
                <w:sz w:val="24"/>
                <w:szCs w:val="24"/>
              </w:rPr>
            </w:pPr>
          </w:p>
        </w:tc>
        <w:tc>
          <w:tcPr>
            <w:tcW w:w="2098" w:type="dxa"/>
            <w:tcBorders/>
            <w:shd w:val="clear" w:color="auto" w:fill="ffffff"/>
            <w:vAlign w:val="center"/>
          </w:tcPr>
          <w:p>
            <w:pPr>
              <w:pStyle w:val="style0"/>
              <w:autoSpaceDE w:val="false"/>
              <w:autoSpaceDN w:val="false"/>
              <w:adjustRightInd w:val="false"/>
              <w:spacing w:after="0" w:lineRule="atLeast" w:line="32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N</w:t>
            </w:r>
          </w:p>
        </w:tc>
        <w:tc>
          <w:tcPr>
            <w:tcW w:w="156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156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17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180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16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r>
      <w:tr>
        <w:tblPrEx/>
        <w:trPr>
          <w:cantSplit/>
        </w:trPr>
        <w:tc>
          <w:tcPr>
            <w:tcW w:w="2602" w:type="dxa"/>
            <w:vMerge w:val="restart"/>
            <w:tcBorders/>
            <w:shd w:val="clear" w:color="auto" w:fill="ffffff"/>
            <w:vAlign w:val="center"/>
          </w:tcPr>
          <w:p>
            <w:pPr>
              <w:pStyle w:val="style0"/>
              <w:autoSpaceDE w:val="false"/>
              <w:autoSpaceDN w:val="false"/>
              <w:adjustRightInd w:val="false"/>
              <w:spacing w:after="0" w:lineRule="atLeast" w:line="32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Policy implementation</w:t>
            </w:r>
          </w:p>
        </w:tc>
        <w:tc>
          <w:tcPr>
            <w:tcW w:w="2098" w:type="dxa"/>
            <w:tcBorders/>
            <w:shd w:val="clear" w:color="auto" w:fill="ffffff"/>
            <w:vAlign w:val="center"/>
          </w:tcPr>
          <w:p>
            <w:pPr>
              <w:pStyle w:val="style0"/>
              <w:autoSpaceDE w:val="false"/>
              <w:autoSpaceDN w:val="false"/>
              <w:adjustRightInd w:val="false"/>
              <w:spacing w:after="0" w:lineRule="atLeast" w:line="32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Pearson Correlation</w:t>
            </w:r>
          </w:p>
        </w:tc>
        <w:tc>
          <w:tcPr>
            <w:tcW w:w="156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.488</w:t>
            </w:r>
          </w:p>
        </w:tc>
        <w:tc>
          <w:tcPr>
            <w:tcW w:w="156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.437</w:t>
            </w:r>
            <w:r>
              <w:rPr>
                <w:rFonts w:ascii="Times New Roman" w:cs="Times New Roman" w:hAnsi="Times New Roman"/>
                <w:color w:val="000000"/>
                <w:sz w:val="24"/>
                <w:szCs w:val="24"/>
                <w:vertAlign w:val="superscript"/>
              </w:rPr>
              <w:t>*</w:t>
            </w:r>
          </w:p>
        </w:tc>
        <w:tc>
          <w:tcPr>
            <w:tcW w:w="17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.407</w:t>
            </w:r>
            <w:r>
              <w:rPr>
                <w:rFonts w:ascii="Times New Roman" w:cs="Times New Roman" w:hAnsi="Times New Roman"/>
                <w:color w:val="000000"/>
                <w:sz w:val="24"/>
                <w:szCs w:val="24"/>
                <w:vertAlign w:val="superscript"/>
              </w:rPr>
              <w:t>*</w:t>
            </w:r>
          </w:p>
        </w:tc>
        <w:tc>
          <w:tcPr>
            <w:tcW w:w="180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w:t>
            </w:r>
          </w:p>
        </w:tc>
        <w:tc>
          <w:tcPr>
            <w:tcW w:w="16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vertAlign w:val="superscript"/>
              </w:rPr>
            </w:pPr>
            <w:r>
              <w:rPr>
                <w:rFonts w:ascii="Times New Roman" w:cs="Times New Roman" w:hAnsi="Times New Roman"/>
                <w:color w:val="000000"/>
                <w:sz w:val="24"/>
                <w:szCs w:val="24"/>
              </w:rPr>
              <w:t>-.513</w:t>
            </w:r>
            <w:r>
              <w:rPr>
                <w:rFonts w:ascii="Times New Roman" w:cs="Times New Roman" w:hAnsi="Times New Roman"/>
                <w:color w:val="000000"/>
                <w:sz w:val="24"/>
                <w:szCs w:val="24"/>
                <w:vertAlign w:val="superscript"/>
              </w:rPr>
              <w:t>*</w:t>
            </w:r>
          </w:p>
        </w:tc>
      </w:tr>
      <w:tr>
        <w:tblPrEx/>
        <w:trPr>
          <w:cantSplit/>
        </w:trPr>
        <w:tc>
          <w:tcPr>
            <w:tcW w:w="2602" w:type="dxa"/>
            <w:vMerge w:val="continue"/>
            <w:tcBorders/>
            <w:shd w:val="clear" w:color="auto" w:fill="ffffff"/>
            <w:vAlign w:val="center"/>
          </w:tcPr>
          <w:p>
            <w:pPr>
              <w:pStyle w:val="style0"/>
              <w:autoSpaceDE w:val="false"/>
              <w:autoSpaceDN w:val="false"/>
              <w:adjustRightInd w:val="false"/>
              <w:spacing w:after="0" w:lineRule="auto" w:line="240"/>
              <w:rPr>
                <w:rFonts w:ascii="Times New Roman" w:cs="Times New Roman" w:hAnsi="Times New Roman"/>
                <w:color w:val="000000"/>
                <w:sz w:val="24"/>
                <w:szCs w:val="24"/>
              </w:rPr>
            </w:pPr>
          </w:p>
        </w:tc>
        <w:tc>
          <w:tcPr>
            <w:tcW w:w="2098" w:type="dxa"/>
            <w:tcBorders/>
            <w:shd w:val="clear" w:color="auto" w:fill="ffffff"/>
            <w:vAlign w:val="center"/>
          </w:tcPr>
          <w:p>
            <w:pPr>
              <w:pStyle w:val="style0"/>
              <w:autoSpaceDE w:val="false"/>
              <w:autoSpaceDN w:val="false"/>
              <w:adjustRightInd w:val="false"/>
              <w:spacing w:after="0" w:lineRule="atLeast" w:line="32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Sig. (2-tailed)</w:t>
            </w:r>
          </w:p>
        </w:tc>
        <w:tc>
          <w:tcPr>
            <w:tcW w:w="156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.000</w:t>
            </w:r>
          </w:p>
        </w:tc>
        <w:tc>
          <w:tcPr>
            <w:tcW w:w="156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.000</w:t>
            </w:r>
          </w:p>
        </w:tc>
        <w:tc>
          <w:tcPr>
            <w:tcW w:w="17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.000</w:t>
            </w:r>
          </w:p>
        </w:tc>
        <w:tc>
          <w:tcPr>
            <w:tcW w:w="1800" w:type="dxa"/>
            <w:tcBorders/>
            <w:shd w:val="clear" w:color="auto" w:fill="ffffff"/>
          </w:tcPr>
          <w:p>
            <w:pPr>
              <w:pStyle w:val="style0"/>
              <w:autoSpaceDE w:val="false"/>
              <w:autoSpaceDN w:val="false"/>
              <w:adjustRightInd w:val="false"/>
              <w:spacing w:after="0" w:lineRule="auto" w:line="240"/>
              <w:rPr>
                <w:rFonts w:ascii="Times New Roman" w:cs="Times New Roman" w:hAnsi="Times New Roman"/>
                <w:color w:val="000000"/>
                <w:sz w:val="24"/>
                <w:szCs w:val="24"/>
              </w:rPr>
            </w:pPr>
          </w:p>
        </w:tc>
        <w:tc>
          <w:tcPr>
            <w:tcW w:w="16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.000</w:t>
            </w:r>
          </w:p>
        </w:tc>
      </w:tr>
      <w:tr>
        <w:tblPrEx/>
        <w:trPr>
          <w:cantSplit/>
        </w:trPr>
        <w:tc>
          <w:tcPr>
            <w:tcW w:w="2602" w:type="dxa"/>
            <w:vMerge w:val="continue"/>
            <w:tcBorders/>
            <w:shd w:val="clear" w:color="auto" w:fill="ffffff"/>
            <w:vAlign w:val="center"/>
          </w:tcPr>
          <w:p>
            <w:pPr>
              <w:pStyle w:val="style0"/>
              <w:autoSpaceDE w:val="false"/>
              <w:autoSpaceDN w:val="false"/>
              <w:adjustRightInd w:val="false"/>
              <w:spacing w:after="0" w:lineRule="auto" w:line="240"/>
              <w:rPr>
                <w:rFonts w:ascii="Times New Roman" w:cs="Times New Roman" w:hAnsi="Times New Roman"/>
                <w:color w:val="000000"/>
                <w:sz w:val="24"/>
                <w:szCs w:val="24"/>
              </w:rPr>
            </w:pPr>
          </w:p>
        </w:tc>
        <w:tc>
          <w:tcPr>
            <w:tcW w:w="2098" w:type="dxa"/>
            <w:tcBorders/>
            <w:shd w:val="clear" w:color="auto" w:fill="ffffff"/>
            <w:vAlign w:val="center"/>
          </w:tcPr>
          <w:p>
            <w:pPr>
              <w:pStyle w:val="style0"/>
              <w:autoSpaceDE w:val="false"/>
              <w:autoSpaceDN w:val="false"/>
              <w:adjustRightInd w:val="false"/>
              <w:spacing w:after="0" w:lineRule="atLeast" w:line="32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N</w:t>
            </w:r>
          </w:p>
        </w:tc>
        <w:tc>
          <w:tcPr>
            <w:tcW w:w="156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156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17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180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16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r>
      <w:tr>
        <w:tblPrEx/>
        <w:trPr>
          <w:cantSplit/>
        </w:trPr>
        <w:tc>
          <w:tcPr>
            <w:tcW w:w="2602" w:type="dxa"/>
            <w:vMerge w:val="restart"/>
            <w:tcBorders/>
            <w:shd w:val="clear" w:color="auto" w:fill="ffffff"/>
            <w:vAlign w:val="center"/>
          </w:tcPr>
          <w:p>
            <w:pPr>
              <w:pStyle w:val="style0"/>
              <w:autoSpaceDE w:val="false"/>
              <w:autoSpaceDN w:val="false"/>
              <w:adjustRightInd w:val="false"/>
              <w:spacing w:after="0" w:lineRule="atLeast" w:line="32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Learners attendance</w:t>
            </w:r>
          </w:p>
        </w:tc>
        <w:tc>
          <w:tcPr>
            <w:tcW w:w="2098" w:type="dxa"/>
            <w:tcBorders/>
            <w:shd w:val="clear" w:color="auto" w:fill="ffffff"/>
            <w:vAlign w:val="center"/>
          </w:tcPr>
          <w:p>
            <w:pPr>
              <w:pStyle w:val="style0"/>
              <w:autoSpaceDE w:val="false"/>
              <w:autoSpaceDN w:val="false"/>
              <w:adjustRightInd w:val="false"/>
              <w:spacing w:after="0" w:lineRule="atLeast" w:line="32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Pearson Correlation</w:t>
            </w:r>
          </w:p>
        </w:tc>
        <w:tc>
          <w:tcPr>
            <w:tcW w:w="156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vertAlign w:val="superscript"/>
              </w:rPr>
            </w:pPr>
            <w:r>
              <w:rPr>
                <w:rFonts w:ascii="Times New Roman" w:cs="Times New Roman" w:hAnsi="Times New Roman"/>
                <w:color w:val="000000"/>
                <w:sz w:val="24"/>
                <w:szCs w:val="24"/>
              </w:rPr>
              <w:t>-.701</w:t>
            </w:r>
            <w:r>
              <w:rPr>
                <w:rFonts w:ascii="Times New Roman" w:cs="Times New Roman" w:hAnsi="Times New Roman"/>
                <w:color w:val="000000"/>
                <w:sz w:val="24"/>
                <w:szCs w:val="24"/>
                <w:vertAlign w:val="superscript"/>
              </w:rPr>
              <w:t>*</w:t>
            </w:r>
          </w:p>
        </w:tc>
        <w:tc>
          <w:tcPr>
            <w:tcW w:w="156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-.477</w:t>
            </w:r>
            <w:r>
              <w:rPr>
                <w:rFonts w:ascii="Times New Roman" w:cs="Times New Roman" w:hAnsi="Times New Roman"/>
                <w:color w:val="000000"/>
                <w:sz w:val="24"/>
                <w:szCs w:val="24"/>
                <w:vertAlign w:val="superscript"/>
              </w:rPr>
              <w:t>*</w:t>
            </w:r>
          </w:p>
        </w:tc>
        <w:tc>
          <w:tcPr>
            <w:tcW w:w="17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-.870</w:t>
            </w:r>
            <w:r>
              <w:rPr>
                <w:rFonts w:ascii="Times New Roman" w:cs="Times New Roman" w:hAnsi="Times New Roman"/>
                <w:color w:val="000000"/>
                <w:sz w:val="24"/>
                <w:szCs w:val="24"/>
                <w:vertAlign w:val="superscript"/>
              </w:rPr>
              <w:t>*</w:t>
            </w:r>
          </w:p>
        </w:tc>
        <w:tc>
          <w:tcPr>
            <w:tcW w:w="180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vertAlign w:val="superscript"/>
              </w:rPr>
            </w:pPr>
            <w:r>
              <w:rPr>
                <w:rFonts w:ascii="Times New Roman" w:cs="Times New Roman" w:hAnsi="Times New Roman"/>
                <w:color w:val="000000"/>
                <w:sz w:val="24"/>
                <w:szCs w:val="24"/>
              </w:rPr>
              <w:t>-.513</w:t>
            </w:r>
            <w:r>
              <w:rPr>
                <w:rFonts w:ascii="Times New Roman" w:cs="Times New Roman" w:hAnsi="Times New Roman"/>
                <w:color w:val="000000"/>
                <w:sz w:val="24"/>
                <w:szCs w:val="24"/>
                <w:vertAlign w:val="superscript"/>
              </w:rPr>
              <w:t>*</w:t>
            </w:r>
          </w:p>
        </w:tc>
        <w:tc>
          <w:tcPr>
            <w:tcW w:w="16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1</w:t>
            </w:r>
          </w:p>
        </w:tc>
      </w:tr>
      <w:tr>
        <w:tblPrEx/>
        <w:trPr>
          <w:cantSplit/>
        </w:trPr>
        <w:tc>
          <w:tcPr>
            <w:tcW w:w="2602" w:type="dxa"/>
            <w:vMerge w:val="continue"/>
            <w:tcBorders/>
            <w:shd w:val="clear" w:color="auto" w:fill="ffffff"/>
            <w:vAlign w:val="center"/>
          </w:tcPr>
          <w:p>
            <w:pPr>
              <w:pStyle w:val="style0"/>
              <w:autoSpaceDE w:val="false"/>
              <w:autoSpaceDN w:val="false"/>
              <w:adjustRightInd w:val="false"/>
              <w:spacing w:after="0" w:lineRule="auto" w:line="240"/>
              <w:rPr>
                <w:rFonts w:ascii="Times New Roman" w:cs="Times New Roman" w:hAnsi="Times New Roman"/>
                <w:color w:val="000000"/>
                <w:sz w:val="24"/>
                <w:szCs w:val="24"/>
              </w:rPr>
            </w:pPr>
          </w:p>
        </w:tc>
        <w:tc>
          <w:tcPr>
            <w:tcW w:w="2098" w:type="dxa"/>
            <w:tcBorders/>
            <w:shd w:val="clear" w:color="auto" w:fill="ffffff"/>
            <w:vAlign w:val="center"/>
          </w:tcPr>
          <w:p>
            <w:pPr>
              <w:pStyle w:val="style0"/>
              <w:autoSpaceDE w:val="false"/>
              <w:autoSpaceDN w:val="false"/>
              <w:adjustRightInd w:val="false"/>
              <w:spacing w:after="0" w:lineRule="atLeast" w:line="32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Sig. (2-tailed)</w:t>
            </w:r>
          </w:p>
        </w:tc>
        <w:tc>
          <w:tcPr>
            <w:tcW w:w="156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.000</w:t>
            </w:r>
          </w:p>
        </w:tc>
        <w:tc>
          <w:tcPr>
            <w:tcW w:w="156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.000</w:t>
            </w:r>
          </w:p>
        </w:tc>
        <w:tc>
          <w:tcPr>
            <w:tcW w:w="172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.000</w:t>
            </w:r>
          </w:p>
        </w:tc>
        <w:tc>
          <w:tcPr>
            <w:tcW w:w="1800" w:type="dxa"/>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.000</w:t>
            </w:r>
          </w:p>
        </w:tc>
        <w:tc>
          <w:tcPr>
            <w:tcW w:w="1620" w:type="dxa"/>
            <w:tcBorders/>
            <w:shd w:val="clear" w:color="auto" w:fill="ffffff"/>
          </w:tcPr>
          <w:p>
            <w:pPr>
              <w:pStyle w:val="style0"/>
              <w:autoSpaceDE w:val="false"/>
              <w:autoSpaceDN w:val="false"/>
              <w:adjustRightInd w:val="false"/>
              <w:spacing w:after="0" w:lineRule="auto" w:line="240"/>
              <w:rPr>
                <w:rFonts w:ascii="Times New Roman" w:cs="Times New Roman" w:hAnsi="Times New Roman"/>
                <w:color w:val="000000"/>
                <w:sz w:val="24"/>
                <w:szCs w:val="24"/>
              </w:rPr>
            </w:pPr>
          </w:p>
        </w:tc>
      </w:tr>
      <w:tr>
        <w:tblPrEx/>
        <w:trPr>
          <w:cantSplit/>
        </w:trPr>
        <w:tc>
          <w:tcPr>
            <w:tcW w:w="2602" w:type="dxa"/>
            <w:vMerge w:val="continue"/>
            <w:tcBorders>
              <w:bottom w:val="single" w:sz="12" w:space="0" w:color="auto"/>
            </w:tcBorders>
            <w:shd w:val="clear" w:color="auto" w:fill="ffffff"/>
            <w:vAlign w:val="center"/>
          </w:tcPr>
          <w:p>
            <w:pPr>
              <w:pStyle w:val="style0"/>
              <w:autoSpaceDE w:val="false"/>
              <w:autoSpaceDN w:val="false"/>
              <w:adjustRightInd w:val="false"/>
              <w:spacing w:after="0" w:lineRule="auto" w:line="240"/>
              <w:rPr>
                <w:rFonts w:ascii="Times New Roman" w:cs="Times New Roman" w:hAnsi="Times New Roman"/>
                <w:color w:val="000000"/>
                <w:sz w:val="24"/>
                <w:szCs w:val="24"/>
              </w:rPr>
            </w:pPr>
          </w:p>
        </w:tc>
        <w:tc>
          <w:tcPr>
            <w:tcW w:w="2098" w:type="dxa"/>
            <w:tcBorders>
              <w:bottom w:val="single" w:sz="12" w:space="0" w:color="auto"/>
            </w:tcBorders>
            <w:shd w:val="clear" w:color="auto" w:fill="ffffff"/>
            <w:vAlign w:val="center"/>
          </w:tcPr>
          <w:p>
            <w:pPr>
              <w:pStyle w:val="style0"/>
              <w:autoSpaceDE w:val="false"/>
              <w:autoSpaceDN w:val="false"/>
              <w:adjustRightInd w:val="false"/>
              <w:spacing w:after="0" w:lineRule="atLeast" w:line="32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N</w:t>
            </w:r>
          </w:p>
        </w:tc>
        <w:tc>
          <w:tcPr>
            <w:tcW w:w="1560" w:type="dxa"/>
            <w:tcBorders>
              <w:bottom w:val="single" w:sz="12" w:space="0" w:color="auto"/>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1560" w:type="dxa"/>
            <w:tcBorders>
              <w:bottom w:val="single" w:sz="12" w:space="0" w:color="auto"/>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1720" w:type="dxa"/>
            <w:tcBorders>
              <w:bottom w:val="single" w:sz="12" w:space="0" w:color="auto"/>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1800" w:type="dxa"/>
            <w:tcBorders>
              <w:bottom w:val="single" w:sz="12" w:space="0" w:color="auto"/>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c>
          <w:tcPr>
            <w:tcW w:w="1620" w:type="dxa"/>
            <w:tcBorders>
              <w:bottom w:val="single" w:sz="12" w:space="0" w:color="auto"/>
            </w:tcBorders>
            <w:shd w:val="clear" w:color="auto" w:fill="ffffff"/>
            <w:vAlign w:val="center"/>
          </w:tcPr>
          <w:p>
            <w:pPr>
              <w:pStyle w:val="style0"/>
              <w:autoSpaceDE w:val="false"/>
              <w:autoSpaceDN w:val="false"/>
              <w:adjustRightInd w:val="false"/>
              <w:spacing w:after="0" w:lineRule="atLeast" w:line="320"/>
              <w:ind w:left="60" w:right="60"/>
              <w:jc w:val="right"/>
              <w:rPr>
                <w:rFonts w:ascii="Times New Roman" w:cs="Times New Roman" w:hAnsi="Times New Roman"/>
                <w:color w:val="000000"/>
                <w:sz w:val="24"/>
                <w:szCs w:val="24"/>
              </w:rPr>
            </w:pPr>
            <w:r>
              <w:rPr>
                <w:rFonts w:ascii="Times New Roman" w:cs="Times New Roman" w:hAnsi="Times New Roman"/>
                <w:color w:val="000000"/>
                <w:sz w:val="24"/>
                <w:szCs w:val="24"/>
              </w:rPr>
              <w:t>70</w:t>
            </w:r>
          </w:p>
        </w:tc>
      </w:tr>
      <w:tr>
        <w:tblPrEx/>
        <w:trPr>
          <w:cantSplit/>
        </w:trPr>
        <w:tc>
          <w:tcPr>
            <w:tcW w:w="12960" w:type="dxa"/>
            <w:gridSpan w:val="7"/>
            <w:tcBorders>
              <w:top w:val="single" w:sz="12" w:space="0" w:color="auto"/>
              <w:bottom w:val="nil"/>
            </w:tcBorders>
            <w:shd w:val="clear" w:color="auto" w:fill="ffffff"/>
          </w:tcPr>
          <w:p>
            <w:pPr>
              <w:pStyle w:val="style0"/>
              <w:autoSpaceDE w:val="false"/>
              <w:autoSpaceDN w:val="false"/>
              <w:adjustRightInd w:val="false"/>
              <w:spacing w:after="0" w:lineRule="atLeast" w:line="320"/>
              <w:ind w:left="60" w:right="60"/>
              <w:rPr>
                <w:rFonts w:ascii="Times New Roman" w:cs="Times New Roman" w:hAnsi="Times New Roman"/>
                <w:color w:val="000000"/>
                <w:sz w:val="24"/>
                <w:szCs w:val="24"/>
              </w:rPr>
            </w:pPr>
            <w:r>
              <w:rPr>
                <w:rFonts w:ascii="Times New Roman" w:cs="Times New Roman" w:hAnsi="Times New Roman"/>
                <w:color w:val="000000"/>
                <w:sz w:val="24"/>
                <w:szCs w:val="24"/>
              </w:rPr>
              <w:t>*. Correlation is significant at the 0.05 level (2-tailed).</w:t>
            </w:r>
          </w:p>
        </w:tc>
      </w:tr>
    </w:tbl>
    <w:p>
      <w:pPr>
        <w:pStyle w:val="style0"/>
        <w:spacing w:lineRule="auto" w:line="480"/>
        <w:jc w:val="both"/>
        <w:rPr>
          <w:rFonts w:ascii="Times New Roman" w:cs="Times New Roman" w:hAnsi="Times New Roman"/>
          <w:color w:val="000000"/>
          <w:sz w:val="24"/>
          <w:szCs w:val="24"/>
        </w:rPr>
      </w:pPr>
    </w:p>
    <w:p>
      <w:pPr>
        <w:pStyle w:val="style0"/>
        <w:spacing w:lineRule="auto" w:line="480"/>
        <w:jc w:val="both"/>
        <w:rPr>
          <w:rFonts w:ascii="Times New Roman" w:cs="Times New Roman" w:hAnsi="Times New Roman"/>
          <w:color w:val="000000"/>
          <w:sz w:val="24"/>
          <w:szCs w:val="24"/>
        </w:rPr>
      </w:pPr>
    </w:p>
    <w:p>
      <w:pPr>
        <w:pStyle w:val="style0"/>
        <w:spacing w:before="240" w:after="240" w:lineRule="auto" w:line="480"/>
        <w:jc w:val="both"/>
        <w:rPr>
          <w:rFonts w:ascii="Times New Roman" w:cs="Times New Roman" w:hAnsi="Times New Roman"/>
          <w:color w:val="000000"/>
          <w:sz w:val="24"/>
          <w:szCs w:val="24"/>
        </w:rPr>
        <w:sectPr>
          <w:pgSz w:w="15840" w:h="12240" w:orient="landscape"/>
          <w:pgMar w:top="1134" w:right="1134" w:bottom="1134" w:left="1134" w:header="720" w:footer="720" w:gutter="0"/>
          <w:cols w:space="720"/>
          <w:docGrid w:linePitch="360"/>
        </w:sectPr>
      </w:pP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H</w:t>
      </w:r>
      <w:r>
        <w:rPr>
          <w:rFonts w:ascii="Times New Roman" w:cs="Times New Roman" w:hAnsi="Times New Roman"/>
          <w:color w:val="000000"/>
          <w:sz w:val="24"/>
          <w:szCs w:val="24"/>
          <w:vertAlign w:val="subscript"/>
        </w:rPr>
        <w:t>0</w:t>
      </w:r>
      <w:r>
        <w:rPr>
          <w:rFonts w:ascii="Times New Roman" w:cs="Times New Roman" w:hAnsi="Times New Roman"/>
          <w:color w:val="000000"/>
          <w:sz w:val="24"/>
          <w:szCs w:val="24"/>
        </w:rPr>
        <w:t xml:space="preserve">1: </w:t>
      </w:r>
      <w:r>
        <w:rPr>
          <w:rFonts w:ascii="Times New Roman" w:cs="Times New Roman" w:hAnsi="Times New Roman"/>
          <w:i/>
          <w:color w:val="000000"/>
          <w:sz w:val="24"/>
          <w:szCs w:val="24"/>
        </w:rPr>
        <w:t>There is no significant relationship between socio-economic factors and learners’ absenteeism in primary schools in Bangal sub-county</w:t>
      </w:r>
      <w:r>
        <w:rPr>
          <w:rFonts w:ascii="Times New Roman" w:cs="Times New Roman" w:hAnsi="Times New Roman"/>
          <w:color w:val="000000"/>
          <w:sz w:val="24"/>
          <w:szCs w:val="24"/>
        </w:rPr>
        <w:t xml:space="preserve">. The correlation coefficient between socio-economic factors and learners’ attendance was r = –0.701, p &lt; 0.05, indicating a strong negative and statistically significant relationship. This means that as socio-economic challenges increase, absenteeism rises sharply, reducing regular attendance. Since the relationship is significant, </w:t>
      </w:r>
      <w:r>
        <w:rPr>
          <w:rFonts w:ascii="Times New Roman" w:cs="Times New Roman" w:hAnsi="Times New Roman"/>
          <w:color w:val="000000"/>
          <w:sz w:val="24"/>
          <w:szCs w:val="24"/>
        </w:rPr>
        <w:t>H</w:t>
      </w:r>
      <w:r>
        <w:rPr>
          <w:rFonts w:ascii="Times New Roman" w:cs="Times New Roman" w:hAnsi="Times New Roman"/>
          <w:color w:val="000000"/>
          <w:sz w:val="24"/>
          <w:szCs w:val="24"/>
          <w:vertAlign w:val="subscript"/>
        </w:rPr>
        <w:t>0</w:t>
      </w:r>
      <w:r>
        <w:rPr>
          <w:rFonts w:ascii="Times New Roman" w:cs="Times New Roman" w:hAnsi="Times New Roman"/>
          <w:color w:val="000000"/>
          <w:sz w:val="24"/>
          <w:szCs w:val="24"/>
        </w:rPr>
        <w:t>1 is rejected, confirming that absenteeism is strongly influenced by socio-economic conditions.</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H</w:t>
      </w:r>
      <w:r>
        <w:rPr>
          <w:rFonts w:ascii="Times New Roman" w:cs="Times New Roman" w:hAnsi="Times New Roman"/>
          <w:color w:val="000000"/>
          <w:sz w:val="24"/>
          <w:szCs w:val="24"/>
          <w:vertAlign w:val="subscript"/>
        </w:rPr>
        <w:t>0</w:t>
      </w:r>
      <w:r>
        <w:rPr>
          <w:rFonts w:ascii="Times New Roman" w:cs="Times New Roman" w:hAnsi="Times New Roman"/>
          <w:color w:val="000000"/>
          <w:sz w:val="24"/>
          <w:szCs w:val="24"/>
        </w:rPr>
        <w:t xml:space="preserve">2: </w:t>
      </w:r>
      <w:r>
        <w:rPr>
          <w:rFonts w:ascii="Times New Roman" w:cs="Times New Roman" w:hAnsi="Times New Roman"/>
          <w:i/>
          <w:color w:val="000000"/>
          <w:sz w:val="24"/>
          <w:szCs w:val="24"/>
        </w:rPr>
        <w:t>There is no significant relationship between cultural practices and learners’ absenteeism in primary schools in Bangal sub-county</w:t>
      </w:r>
      <w:r>
        <w:rPr>
          <w:rFonts w:ascii="Times New Roman" w:cs="Times New Roman" w:hAnsi="Times New Roman"/>
          <w:color w:val="000000"/>
          <w:sz w:val="24"/>
          <w:szCs w:val="24"/>
        </w:rPr>
        <w:t>. The correlation between cultural practices and learners’ attendance was r = –0.477, p &lt; 0.05, showing a moderate negative and significant relationship. This suggests that cultural influences contribute to absenteeism, with higher prevalence of such practices associated with reduced attendance. The null hypothesis is therefore rejected, demonstrating that absenteeism is significantly affected by cultural factors.</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H</w:t>
      </w:r>
      <w:r>
        <w:rPr>
          <w:rFonts w:ascii="Times New Roman" w:cs="Times New Roman" w:hAnsi="Times New Roman"/>
          <w:color w:val="000000"/>
          <w:sz w:val="24"/>
          <w:szCs w:val="24"/>
          <w:vertAlign w:val="subscript"/>
        </w:rPr>
        <w:t>0</w:t>
      </w:r>
      <w:r>
        <w:rPr>
          <w:rFonts w:ascii="Times New Roman" w:cs="Times New Roman" w:hAnsi="Times New Roman"/>
          <w:color w:val="000000"/>
          <w:sz w:val="24"/>
          <w:szCs w:val="24"/>
        </w:rPr>
        <w:t xml:space="preserve">3: </w:t>
      </w:r>
      <w:r>
        <w:rPr>
          <w:rFonts w:ascii="Times New Roman" w:cs="Times New Roman" w:hAnsi="Times New Roman"/>
          <w:i/>
          <w:color w:val="000000"/>
          <w:sz w:val="24"/>
          <w:szCs w:val="24"/>
        </w:rPr>
        <w:t>There is no significant relationship between school environment and learners’ absenteeism in public primary schools in Bangal sub-county</w:t>
      </w:r>
      <w:r>
        <w:rPr>
          <w:rFonts w:ascii="Times New Roman" w:cs="Times New Roman" w:hAnsi="Times New Roman"/>
          <w:color w:val="000000"/>
          <w:sz w:val="24"/>
          <w:szCs w:val="24"/>
        </w:rPr>
        <w:t>. The correlation between school environment and learners’ attendance was r = –0.870, p &lt; 0.05, which is a very strong negative and significant relationship. This result indicates that absenteeism is highly sensitive to the state of the school environment, with poor conditions strongly linked to irregular attendance. The null hypothesis is rejected, confirming that absenteeism is greatly determined by the school environment.</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H</w:t>
      </w:r>
      <w:r>
        <w:rPr>
          <w:rFonts w:ascii="Times New Roman" w:cs="Times New Roman" w:hAnsi="Times New Roman"/>
          <w:color w:val="000000"/>
          <w:sz w:val="24"/>
          <w:szCs w:val="24"/>
          <w:vertAlign w:val="subscript"/>
        </w:rPr>
        <w:t>0</w:t>
      </w:r>
      <w:r>
        <w:rPr>
          <w:rFonts w:ascii="Times New Roman" w:cs="Times New Roman" w:hAnsi="Times New Roman"/>
          <w:color w:val="000000"/>
          <w:sz w:val="24"/>
          <w:szCs w:val="24"/>
        </w:rPr>
        <w:t xml:space="preserve">4: </w:t>
      </w:r>
      <w:r>
        <w:rPr>
          <w:rFonts w:ascii="Times New Roman" w:cs="Times New Roman" w:hAnsi="Times New Roman"/>
          <w:i/>
          <w:color w:val="000000"/>
          <w:sz w:val="24"/>
          <w:szCs w:val="24"/>
        </w:rPr>
        <w:t>There is no significant relationship between policy implementation and learners’ absenteeism in primary schools in Bangal sub-county</w:t>
      </w:r>
      <w:r>
        <w:rPr>
          <w:rFonts w:ascii="Times New Roman" w:cs="Times New Roman" w:hAnsi="Times New Roman"/>
          <w:color w:val="000000"/>
          <w:sz w:val="24"/>
          <w:szCs w:val="24"/>
        </w:rPr>
        <w:t>. The correlation between policy implementation and learners’ attendance was r = –0.513, p &lt; 0.05, reflecting a moderate negative and significant relationship. This shows that absenteeism is influenced by the extent to which policies are effectively implemented, with weak implementation associated with higher absenteeism. The null hypothesis is rejected, establishing that absenteeism is significantly affected by policy implementation.</w:t>
      </w:r>
    </w:p>
    <w:p>
      <w:pPr>
        <w:pStyle w:val="style0"/>
        <w:spacing w:after="200" w:lineRule="auto" w:line="276"/>
        <w:rPr>
          <w:rFonts w:ascii="Times New Roman" w:cs="Times New Roman" w:hAnsi="Times New Roman"/>
          <w:b/>
          <w:color w:val="000000"/>
          <w:sz w:val="24"/>
          <w:szCs w:val="24"/>
        </w:rPr>
      </w:pPr>
      <w:r>
        <w:rPr>
          <w:color w:val="000000"/>
        </w:rPr>
        <w:br w:type="page"/>
      </w:r>
    </w:p>
    <w:bookmarkStart w:id="159" w:name="_Toc216513833"/>
    <w:p>
      <w:pPr>
        <w:pStyle w:val="style1"/>
        <w:spacing w:before="240" w:after="240"/>
        <w:rPr>
          <w:color w:val="000000"/>
        </w:rPr>
      </w:pPr>
      <w:r>
        <w:rPr>
          <w:color w:val="000000"/>
        </w:rPr>
        <w:t>CHAPTER FIVE</w:t>
      </w:r>
      <w:bookmarkEnd w:id="159"/>
    </w:p>
    <w:bookmarkStart w:id="160" w:name="_Toc216513834"/>
    <w:p>
      <w:pPr>
        <w:pStyle w:val="style1"/>
        <w:spacing w:before="240" w:after="240"/>
        <w:rPr>
          <w:color w:val="000000"/>
        </w:rPr>
      </w:pPr>
      <w:r>
        <w:rPr>
          <w:color w:val="000000"/>
        </w:rPr>
        <w:t>SUMMARY, CONCLUSIONS AND RECOMMENDATIONS</w:t>
      </w:r>
      <w:bookmarkEnd w:id="160"/>
    </w:p>
    <w:bookmarkStart w:id="161" w:name="_Toc216513835"/>
    <w:p>
      <w:pPr>
        <w:pStyle w:val="style1"/>
        <w:numPr>
          <w:ilvl w:val="1"/>
          <w:numId w:val="19"/>
        </w:numPr>
        <w:spacing w:before="240" w:after="240"/>
        <w:jc w:val="both"/>
        <w:rPr>
          <w:color w:val="000000"/>
        </w:rPr>
      </w:pPr>
      <w:r>
        <w:rPr>
          <w:color w:val="000000"/>
        </w:rPr>
        <w:t>Overview</w:t>
      </w:r>
      <w:bookmarkEnd w:id="161"/>
      <w:r>
        <w:rPr>
          <w:color w:val="000000"/>
        </w:rPr>
        <w:t xml:space="preserve"> </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This chapter presents a summary of the study </w:t>
      </w:r>
      <w:r>
        <w:rPr>
          <w:rFonts w:ascii="Times New Roman" w:cs="Times New Roman" w:hAnsi="Times New Roman"/>
          <w:color w:val="000000"/>
          <w:sz w:val="24"/>
          <w:szCs w:val="24"/>
        </w:rPr>
        <w:t xml:space="preserve">that aimed </w:t>
      </w:r>
      <w:r>
        <w:rPr>
          <w:rFonts w:ascii="Times New Roman" w:cs="Times New Roman" w:hAnsi="Times New Roman"/>
          <w:color w:val="000000"/>
          <w:sz w:val="24"/>
          <w:szCs w:val="24"/>
        </w:rPr>
        <w:t>to identify and analyze the determinants of learners’ absenteeism in primary schools in Bangal Sub-county, Tana River County, Kenya.</w:t>
      </w:r>
      <w:r>
        <w:rPr>
          <w:rFonts w:ascii="Times New Roman" w:cs="Times New Roman" w:hAnsi="Times New Roman"/>
          <w:color w:val="000000"/>
          <w:sz w:val="24"/>
          <w:szCs w:val="24"/>
        </w:rPr>
        <w:t xml:space="preserve"> The chapter also presents the conclusions, recommendations and suggestions for further research.</w:t>
      </w:r>
    </w:p>
    <w:bookmarkStart w:id="162" w:name="_Toc216513836"/>
    <w:p>
      <w:pPr>
        <w:pStyle w:val="style1"/>
        <w:numPr>
          <w:ilvl w:val="1"/>
          <w:numId w:val="19"/>
        </w:numPr>
        <w:jc w:val="both"/>
        <w:rPr>
          <w:color w:val="000000"/>
        </w:rPr>
      </w:pPr>
      <w:r>
        <w:rPr>
          <w:color w:val="000000"/>
        </w:rPr>
        <w:t>Summary of the Study Findings</w:t>
      </w:r>
      <w:bookmarkEnd w:id="162"/>
      <w:r>
        <w:rPr>
          <w:color w:val="000000"/>
        </w:rPr>
        <w:t xml:space="preserve"> </w:t>
      </w:r>
    </w:p>
    <w:p>
      <w:pPr>
        <w:pStyle w:val="style0"/>
        <w:spacing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This section presents a summary of the key findings of the study based on the four research objectives that guided the investigation into learners' absenteeism in Primary schools in Bangal Sub-County, Tana River County, Kenya.</w:t>
      </w:r>
    </w:p>
    <w:p>
      <w:pPr>
        <w:pStyle w:val="style0"/>
        <w:spacing w:lineRule="auto" w:line="480"/>
        <w:jc w:val="both"/>
        <w:rPr>
          <w:rFonts w:ascii="Times New Roman" w:cs="Times New Roman" w:hAnsi="Times New Roman"/>
          <w:b/>
          <w:color w:val="000000"/>
          <w:sz w:val="24"/>
          <w:szCs w:val="24"/>
        </w:rPr>
      </w:pPr>
      <w:r>
        <w:rPr>
          <w:rFonts w:ascii="Times New Roman" w:cs="Times New Roman" w:hAnsi="Times New Roman"/>
          <w:b/>
          <w:color w:val="000000"/>
          <w:sz w:val="24"/>
          <w:szCs w:val="24"/>
        </w:rPr>
        <w:t>5.2.1</w:t>
      </w:r>
      <w:r>
        <w:rPr>
          <w:rFonts w:ascii="Times New Roman" w:cs="Times New Roman" w:hAnsi="Times New Roman"/>
          <w:b/>
          <w:color w:val="000000"/>
          <w:sz w:val="24"/>
          <w:szCs w:val="24"/>
        </w:rPr>
        <w:t xml:space="preserve"> Socio-Economic Factors and Learners' Absenteeism</w:t>
      </w:r>
    </w:p>
    <w:p>
      <w:pPr>
        <w:pStyle w:val="style0"/>
        <w:spacing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first objective assessed the correlation between socio-economic factors and learners' absenteeism in Primary schools in Bangal sub-county. The findings revealed that socio-economic factors play a significant and pervasive role in influencing learner absenteeism. The aggregate mean score from teachers' responses was 3.97 (SD = 1.10), indicating strong agreement that economic hardships contribute substantially to irregular school attendance. Correlation analysis confirmed a strong negative relationship (r = -0.701, p &lt; 0.05) between socio-economic factors and learners' attendance, indicating that as economic challenges intensify, absenteeism increases sharply.</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Three dominant themes emerged from qualitative analysis</w:t>
      </w:r>
      <w:r>
        <w:rPr>
          <w:rFonts w:ascii="Times New Roman" w:cs="Times New Roman" w:hAnsi="Times New Roman"/>
          <w:color w:val="000000"/>
          <w:sz w:val="24"/>
          <w:szCs w:val="24"/>
        </w:rPr>
        <w:t xml:space="preserve"> were</w:t>
      </w:r>
      <w:r>
        <w:rPr>
          <w:rFonts w:ascii="Times New Roman" w:cs="Times New Roman" w:hAnsi="Times New Roman"/>
          <w:color w:val="000000"/>
          <w:sz w:val="24"/>
          <w:szCs w:val="24"/>
        </w:rPr>
        <w:t> poverty and inability to afford basic school needs, child labor and income-generating activities, and seasonal economic disruptions. Headteachers consistently reported that families struggle to provide essential items such as uniforms, pens, shoes, and food, creating both material barriers and psychological shame that prevent attendance. The absence of feeding programs was identified as particularly critical, with hunger directly affecting pupils' motivation and capacity to attend school. Children's involvement in income-generating activities</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including fishing, charcoal selling, casual</w:t>
      </w:r>
      <w:r>
        <w:rPr>
          <w:rFonts w:ascii="Times New Roman" w:cs="Times New Roman" w:hAnsi="Times New Roman"/>
          <w:color w:val="000000"/>
          <w:sz w:val="24"/>
          <w:szCs w:val="24"/>
        </w:rPr>
        <w:t xml:space="preserve"> labor, and pastoral activities </w:t>
      </w:r>
      <w:r>
        <w:rPr>
          <w:rFonts w:ascii="Times New Roman" w:cs="Times New Roman" w:hAnsi="Times New Roman"/>
          <w:color w:val="000000"/>
          <w:sz w:val="24"/>
          <w:szCs w:val="24"/>
        </w:rPr>
        <w:t>reflected families' prioritization of immediate survival over long-term educational investment. Seasonal patterns, including fishing seasons, agricultural cycles, drought periods requiring water fetching, and flooding that destroys homes and crops, created predictable fluctuations in attendance that remain deeply entrenched in the region's economic and ecological realities</w:t>
      </w:r>
      <w:r>
        <w:rPr>
          <w:rFonts w:ascii="Times New Roman" w:cs="Times New Roman" w:hAnsi="Times New Roman"/>
          <w:color w:val="000000"/>
          <w:sz w:val="24"/>
          <w:szCs w:val="24"/>
        </w:rPr>
        <w:t>The results showed that socio-economic factors have a considerable and widespread effect on the absenteeism of learners. The average response of teachers was 3.97 with a SD of 1.10 which portrays that teachers have a great agreement that economic hardships are one of the main factors that cause irregular school attendance. The correlation analysis showed that there is a strong negative association between socio-economic factors and attendance of the learners (r = -0.701, p &lt; 0.05) to the effect that absenteeism is sharp as economic hardships mount. Qualitative analysis showed three themes that were dominant: poverty and inability to afford basic school needs, child labor and income-generating activities and seasonal economic disruptions. Headteachers consistently cited the families not being able to afford basic things like uniforms, pens, shoes, and food which causes material barrier as well as psychological shame that prevents attendance. The lack of feeding programs was determined as especially serious, and hunger directly impacted the motivation and ability of pupils to attend school. Their participation in income-generating activities such as fishing, charcoal selling, casual labor and pastoral activities indicated that families placed the need to survive now more than educational investments in the long term. The seasons such as fishing seasons, agricultural seasons, drought seasons that necessitated the movement of water and the floods that swept away homes and crops resulted in predictable changes in attendance that is still ingrained in the economic and ecological realities of the area</w:t>
      </w:r>
      <w:r>
        <w:rPr>
          <w:rFonts w:ascii="Times New Roman" w:cs="Times New Roman" w:hAnsi="Times New Roman"/>
          <w:color w:val="000000"/>
          <w:sz w:val="24"/>
          <w:szCs w:val="24"/>
        </w:rPr>
        <w:t>.</w:t>
      </w:r>
    </w:p>
    <w:p>
      <w:pPr>
        <w:pStyle w:val="style0"/>
        <w:spacing w:lineRule="auto" w:line="480"/>
        <w:jc w:val="both"/>
        <w:rPr>
          <w:rFonts w:ascii="Times New Roman" w:cs="Times New Roman" w:hAnsi="Times New Roman"/>
          <w:b/>
          <w:color w:val="000000"/>
          <w:sz w:val="24"/>
          <w:szCs w:val="24"/>
        </w:rPr>
      </w:pPr>
      <w:r>
        <w:rPr>
          <w:rFonts w:ascii="Times New Roman" w:cs="Times New Roman" w:hAnsi="Times New Roman"/>
          <w:b/>
          <w:color w:val="000000"/>
          <w:sz w:val="24"/>
          <w:szCs w:val="24"/>
        </w:rPr>
        <w:t>5.2.2</w:t>
      </w:r>
      <w:r>
        <w:rPr>
          <w:rFonts w:ascii="Times New Roman" w:cs="Times New Roman" w:hAnsi="Times New Roman"/>
          <w:b/>
          <w:color w:val="000000"/>
          <w:sz w:val="24"/>
          <w:szCs w:val="24"/>
        </w:rPr>
        <w:t xml:space="preserve"> Cultural Practices and Learners' Absenteeism</w:t>
      </w:r>
    </w:p>
    <w:p>
      <w:pPr>
        <w:pStyle w:val="style0"/>
        <w:spacing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The second objective examined how cultural practices influence pupil attendance in Primary schools in Bangal sub-county. </w:t>
      </w:r>
      <w:r>
        <w:rPr>
          <w:rFonts w:ascii="Times New Roman" w:cs="Times New Roman" w:hAnsi="Times New Roman"/>
          <w:color w:val="000000"/>
          <w:sz w:val="24"/>
          <w:szCs w:val="24"/>
        </w:rPr>
        <w:t>The results revealed that cultural practices have been a major cause of absenteeism among learners, with the responses of teachers scoring a mean of 3.77 (SD = 1.13). The analysis of correlation showed moderate negative correlation between cultural practices and attendance of learners (r = -0.477, p &lt; 0.05) which supports that cultural factors have a systematic negative effect on regular school attendance. Four key themes were identified predominantly the negative nature of traditional practices on girls, cultural expectations and roles, religious demands and non attendance and undermining of formal education. Early marriage and Female Genital Mutilation (FGM) were found to be some of the practices that led to irreversible school dropout of girls, which are usually under wraps by families and the traditional authority. Boys were pressurized to get involved in pastoral work like herding and fishing among others resulting in extended absence and dropouts. During the working period, girls were given domestic duties such as childcare and housekeeping. The religious practices, especially the Islamic practices like Madrasa, Tabligh and Ramadan fasting caused scheduling problems at the school setting leading to learning deficits accruing with time. Other parents came out clearly to appreciate traditional systems of knowledge- herding, fishing and farming- as more useful than formal education and actually prevented regular school attendance and they also provided an atmosphere in which absenteeism was encouraged instead of discouraged</w:t>
      </w:r>
      <w:r>
        <w:rPr>
          <w:rFonts w:ascii="Times New Roman" w:cs="Times New Roman" w:hAnsi="Times New Roman"/>
          <w:color w:val="000000"/>
          <w:sz w:val="24"/>
          <w:szCs w:val="24"/>
        </w:rPr>
        <w:t>.</w:t>
      </w:r>
    </w:p>
    <w:p>
      <w:pPr>
        <w:pStyle w:val="style0"/>
        <w:spacing w:lineRule="auto" w:line="480"/>
        <w:jc w:val="both"/>
        <w:rPr>
          <w:rFonts w:ascii="Times New Roman" w:cs="Times New Roman" w:hAnsi="Times New Roman"/>
          <w:b/>
          <w:color w:val="000000"/>
          <w:sz w:val="24"/>
          <w:szCs w:val="24"/>
        </w:rPr>
      </w:pPr>
      <w:r>
        <w:rPr>
          <w:rFonts w:ascii="Times New Roman" w:cs="Times New Roman" w:hAnsi="Times New Roman"/>
          <w:b/>
          <w:color w:val="000000"/>
          <w:sz w:val="24"/>
          <w:szCs w:val="24"/>
        </w:rPr>
        <w:t>5.2.3 School</w:t>
      </w:r>
      <w:r>
        <w:rPr>
          <w:rFonts w:ascii="Times New Roman" w:cs="Times New Roman" w:hAnsi="Times New Roman"/>
          <w:b/>
          <w:color w:val="000000"/>
          <w:sz w:val="24"/>
          <w:szCs w:val="24"/>
        </w:rPr>
        <w:t xml:space="preserve"> Environment and Learners' Absenteeism</w:t>
      </w:r>
    </w:p>
    <w:p>
      <w:pPr>
        <w:pStyle w:val="style0"/>
        <w:spacing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The third objective evaluated the extent to which specific aspects of the school environment correlate with learners' absenteeism. </w:t>
      </w:r>
      <w:r>
        <w:rPr>
          <w:rFonts w:ascii="Times New Roman" w:cs="Times New Roman" w:hAnsi="Times New Roman"/>
          <w:color w:val="000000"/>
          <w:sz w:val="24"/>
          <w:szCs w:val="24"/>
        </w:rPr>
        <w:t>The results showed that school environment variables exert the most significant impact on absenteeism as compared to all other variables under investigation. The overall average of the responses of the teachers came to 3.06 (SD = 1.25), which means that there was moderate consensus that school-related factors influence attendance. Correlation analysis however revealed that school environment against attendance by learners showed an extremely strong negative relationship (r = -0.870, p &lt; 0.05) which is the highest correlation coefficient of all variables proving that absenteeism is very sensitive to school conditions.</w:t>
      </w:r>
    </w:p>
    <w:p>
      <w:pPr>
        <w:pStyle w:val="style0"/>
        <w:spacing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Four key themes were identified primarily inadequate physical infrastructure and facilities, environmental risks and safety issues, overcrowding and unfavorable learning environments, and distance and access issues. Extreme lack of toilets, especially in girls during menstrual periods, compelled students to remain at home because of long queues and privacy. The shortage of water complicated the hygiene problems, as schools either did not have water at all or had to buy it. Temporary classrooms with tents were too hot, and poor desks had to place many students on the floor, which directly influenced their self-esteem and morale. The environmental risks such as seasonal flooding wiped out infrastructure, developed stagnant water that promoted disease vectors and snakes and forced people to stay out of their homes. Oppressive over-crowding (some of the class-rooms fitted 100-150 pupils) rendered individual attention impossible, and effective attendance checks unachievable; and produced disorderly conditions that deterred attendance. The long distances to schools, especially in dry seasons, caused pupils to be exhausted and hungry on arrival with seasonal factors augmenting distance related sufferings by heat and competing demands on labor</w:t>
      </w:r>
      <w:r>
        <w:rPr>
          <w:rFonts w:ascii="Times New Roman" w:cs="Times New Roman" w:hAnsi="Times New Roman"/>
          <w:color w:val="000000"/>
          <w:sz w:val="24"/>
          <w:szCs w:val="24"/>
        </w:rPr>
        <w:t>.</w:t>
      </w:r>
    </w:p>
    <w:p>
      <w:pPr>
        <w:pStyle w:val="style0"/>
        <w:spacing w:lineRule="auto" w:line="480"/>
        <w:jc w:val="both"/>
        <w:rPr>
          <w:rFonts w:ascii="Times New Roman" w:cs="Times New Roman" w:hAnsi="Times New Roman"/>
          <w:b/>
          <w:color w:val="000000"/>
          <w:sz w:val="24"/>
          <w:szCs w:val="24"/>
        </w:rPr>
      </w:pPr>
      <w:r>
        <w:rPr>
          <w:rFonts w:ascii="Times New Roman" w:cs="Times New Roman" w:hAnsi="Times New Roman"/>
          <w:b/>
          <w:color w:val="000000"/>
          <w:sz w:val="24"/>
          <w:szCs w:val="24"/>
        </w:rPr>
        <w:t>5.2.</w:t>
      </w:r>
      <w:r>
        <w:rPr>
          <w:rFonts w:ascii="Times New Roman" w:cs="Times New Roman" w:hAnsi="Times New Roman"/>
          <w:b/>
          <w:color w:val="000000"/>
          <w:sz w:val="24"/>
          <w:szCs w:val="24"/>
        </w:rPr>
        <w:t>4</w:t>
      </w:r>
      <w:r>
        <w:rPr>
          <w:rFonts w:ascii="Times New Roman" w:cs="Times New Roman" w:hAnsi="Times New Roman"/>
          <w:b/>
          <w:color w:val="000000"/>
          <w:sz w:val="24"/>
          <w:szCs w:val="24"/>
        </w:rPr>
        <w:t xml:space="preserve"> Policy Implementation and Learners' Absenteeism</w:t>
      </w:r>
    </w:p>
    <w:p>
      <w:pPr>
        <w:pStyle w:val="style0"/>
        <w:spacing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fourth objective explored the correlation between policy implementation regarding learner attendance and observed rates of absenteeism. The findings revealed significant gaps between policy existence and effective implementation. The aggregate mean from teachers' responses was 3.33 (SD = 1.32), indicating moderate agreement that policy implementation influences absenteeism. Correlation analysis showed a moderate negative relationship (r = -0.513, p &lt; 0.05) between policy implementation and learners' attendance, confirming that weak implementation is associated with higher absenteeism.</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From qualitative analysis, main themes were</w:t>
      </w:r>
      <w:r>
        <w:rPr>
          <w:rFonts w:ascii="Times New Roman" w:cs="Times New Roman" w:hAnsi="Times New Roman"/>
          <w:color w:val="000000"/>
          <w:sz w:val="24"/>
          <w:szCs w:val="24"/>
        </w:rPr>
        <w:t> inadequate monitoring and follow-up mechanisms, weak parental engagement and cooperation, insufficient enforcement and accountability, and limited institutional capacity for intervention. While attendance registers were checked daily, follow-up on absentees was irregular or absent, with teachers struggling to track pupils in overcrowded classrooms and families providing false contact information to avoid accountability. Parents demonstrated minimal involvement unless summoned, rarely responded to communications, and poorly attended sensitization meetings, reflecting divergent priorities where immediate economic and cultural concerns superseded educational mandates. Schools employed disciplinary measures including manual labor for absentees, yet these punishments proved ineffective and potentially counterproductive, further alienating marginalized pupils rather than addressing root causes. Limited guidance and counseling services, inadequate transportation for home visits, overwhelming class sizes, and absence of material support programs meant schools could identify absenteeism but lacked capacity to address underlying causes, operating as isolated institutions without broader social services or community partnerships necessary for effective intervention.</w:t>
      </w:r>
    </w:p>
    <w:p>
      <w:pPr>
        <w:pStyle w:val="style0"/>
        <w:spacing w:lineRule="auto" w:line="480"/>
        <w:jc w:val="both"/>
        <w:rPr>
          <w:rFonts w:ascii="Times New Roman" w:cs="Times New Roman" w:hAnsi="Times New Roman"/>
          <w:b/>
          <w:color w:val="000000"/>
          <w:sz w:val="24"/>
          <w:szCs w:val="24"/>
        </w:rPr>
      </w:pPr>
      <w:r>
        <w:rPr>
          <w:rFonts w:ascii="Times New Roman" w:cs="Times New Roman" w:hAnsi="Times New Roman"/>
          <w:b/>
          <w:color w:val="000000"/>
          <w:sz w:val="24"/>
          <w:szCs w:val="24"/>
        </w:rPr>
        <w:t xml:space="preserve">5.2.4 </w:t>
      </w:r>
      <w:r>
        <w:rPr>
          <w:rFonts w:ascii="Times New Roman" w:cs="Times New Roman" w:hAnsi="Times New Roman"/>
          <w:b/>
          <w:color w:val="000000"/>
          <w:sz w:val="24"/>
          <w:szCs w:val="24"/>
        </w:rPr>
        <w:t>Learners' Absenteeism Prevalence</w:t>
      </w:r>
    </w:p>
    <w:p>
      <w:pPr>
        <w:pStyle w:val="style0"/>
        <w:spacing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R</w:t>
      </w:r>
      <w:r>
        <w:rPr>
          <w:rFonts w:ascii="Times New Roman" w:cs="Times New Roman" w:hAnsi="Times New Roman"/>
          <w:color w:val="000000"/>
          <w:sz w:val="24"/>
          <w:szCs w:val="24"/>
        </w:rPr>
        <w:t xml:space="preserve">egarding the dependent variable </w:t>
      </w:r>
      <w:r>
        <w:rPr>
          <w:rFonts w:ascii="Times New Roman" w:cs="Times New Roman" w:hAnsi="Times New Roman"/>
          <w:color w:val="000000"/>
          <w:sz w:val="24"/>
          <w:szCs w:val="24"/>
        </w:rPr>
        <w:t>prev</w:t>
      </w:r>
      <w:r>
        <w:rPr>
          <w:rFonts w:ascii="Times New Roman" w:cs="Times New Roman" w:hAnsi="Times New Roman"/>
          <w:color w:val="000000"/>
          <w:sz w:val="24"/>
          <w:szCs w:val="24"/>
        </w:rPr>
        <w:t xml:space="preserve">alence of learners' absenteeism </w:t>
      </w:r>
      <w:r>
        <w:rPr>
          <w:rFonts w:ascii="Times New Roman" w:cs="Times New Roman" w:hAnsi="Times New Roman"/>
          <w:color w:val="000000"/>
          <w:sz w:val="24"/>
          <w:szCs w:val="24"/>
        </w:rPr>
        <w:t>the findings demonstrated strong agreement among teachers that pupil attitudes significantly influence attendance patterns. The aggregate mean was 4.35 (SD = 0.83), with the statement "Learners with positive attitude towards school are less likely to be absent" recording the highest mean of 4.48. Four critical themes emerged from headteacher interviews: hunger and food insecurity as primary demotivators, external distractions and competing interests, peer influence and indiscipline, and low motivation linked to poverty and lack of support. Pupils' motivation was directly tied to meal availability, with morning attendance relatively stable but afternoon sessions experiencing sharp declines as hungry pupils went home and failed to return. Learners were easily drawn to community events and, in pastoral communities, explicitly preferred herding or family duties over schoolwork. Negative peer influence, particularly among older boys, normalized absenteeism as resistance or defiance of authority. Pervasive low motivation among pupils from poor backgrounds reflected rational assessment that they lacked resources, family support, and social capital necessary to translate academic achievement into improved circumstances. Several headteachers noted that pupils' attitudes were actively worsening over time, suggesting progressive deterioration requiring urgent intervention.</w:t>
      </w:r>
    </w:p>
    <w:bookmarkStart w:id="163" w:name="_Toc216513837"/>
    <w:p>
      <w:pPr>
        <w:pStyle w:val="style1"/>
        <w:numPr>
          <w:ilvl w:val="1"/>
          <w:numId w:val="19"/>
        </w:numPr>
        <w:spacing w:before="240" w:after="240"/>
        <w:jc w:val="both"/>
        <w:rPr>
          <w:color w:val="000000"/>
        </w:rPr>
      </w:pPr>
      <w:r>
        <w:rPr>
          <w:color w:val="000000"/>
        </w:rPr>
        <w:t>Conclusions</w:t>
      </w:r>
      <w:bookmarkEnd w:id="163"/>
      <w:r>
        <w:rPr>
          <w:color w:val="000000"/>
        </w:rPr>
        <w:t xml:space="preserve"> </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study concludes that socio-economic factors constitute a fundamental and pervasive barrier to consistent school attendance in Bangal Sub-County, operating through multiple interconnected mechanisms that systematically exclude economically disadvantaged learners from educational participation. The strong negative correlation (r = -0.701, p &lt; 0.05) between socio-economic factors and attendance confirms that poverty is not merely a contributing factor but a primary determinant of absenteeism in this context. The inability of families to afford basic school necessities such as uniforms, writing materials, and shoes creates both tangible barriers to attendance and psychological barriers rooted in shame and embarrassment that prevent pupils from presenting themselves at school. The absence of feeding programs transforms hunger from a distraction into an absolute impediment, as physiological deprivation supersedes all educational considerations and renders pupils physically and psychologically incapable of engaging with learning. Child labor and income-generating activities reflect rational family survival strategies where children's economic contributions, though modest, are essential for household functioning, creating structural tensions between immediate survival and long-term educational investment that families consistently resolve in favor of the former. Seasonal economic disruptions</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fishing seasons, agricultural cycles, droughts, and floods—create predictable yet intractable patterns of absenteeism deeply embedded in the region's economic and ecological realities. The study therefore concludes that addressing absenteeism in Bangal Sub-County requires comprehensive poverty alleviation measures, including feeding programs, provision of basic school materials, economic support for vulnerable families, and safety nets that cushion against seasonal shocks, as educational interventions alone cannot overcome the fundamental economic constraints that currently make regular school attendance economically unfeasible for many households.</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study concludes that cultural practices create systematic, gender-differentiated barriers to education that reflect deeply entrenched belief systems valuing traditional knowledge and roles over formal schooling, with particularly severe and often permanent consequences for girls' educational trajectories. The moderate negative correlation (r = -0.477, p &lt; 0.05) between cultural practices and attendance confirms that cultural factors operate as significant impediments to consistent school participation, though their impact varies geographically and by practice. Early marriage and Female Genital Mutilation emerge as the most damaging practices, effectively terminating girls' education through a combination of cultural readiness markers, economic motivations, and complicity between traditional authorities and families that enables these practices to continue with impunity despite their illegality. Gender-based cultural expectations create differentiated educational barriers wherein boys are pulled away by expectations to engage in pastoral and economic activities while girls are retained at home for domestic and childcare responsibilities, resulting in neither gender receiving consistent educational support despite nominal preferences that might favor one over the other. Religious obligations, particularly Islamic observances, create recurring scheduling conflicts that accumulate into significant learning deficits, representing forced choices between religious identity</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which families prioritize as fundamental to moral and spiritual development</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and secular education, which is viewed as less essential. The persistent devaluation of formal education relative to traditional knowledge systems, wherein parents view herding, fishing, and farming as more practical and immediately valuable than abstract academic learning, creates environments where absenteeism is actively facilitated rather than discouraged. The study concludes that reducing culturally-driven absenteeism requires culturally sensitive interventions that engage traditional and religious leaders, promote dialogue between educational and cultural authorities, provide alternative rites of passage that do not interrupt schooling, enforce legal protections against harmful practices like FGM and child marriage, and demonstrate tangible connections between education and improved livelihoods that can shift community perceptions about education's value relative to traditional knowledge transmission.</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study concludes that the school environment represents the most powerful and immediate determinant of learner absenteeism in Bangal Sub-County, with the exceptionally strong negative correlation (r = -0.870, p &lt; 0.05) indicating that poor physical conditions, inadequate facilities, and environmental hazards directly and powerfully discourage school attendance in ways that may be more amenable to intervention than deeply embedded economic and cultural factors. The severe inadequacy of basic infrastructure</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particularly sanitation facilities that disproportionately affect girls during menstruation, makeshift classrooms that become unbearably hot, shortage of desks forcing pupils to sit on floors, and water scarcity compromising hygiene</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creates conditions where attending school becomes an exercise in discomfort, indignity, and physical hardship that rationally discourages participation. Environmental hazards including seasonal flooding that destroys infrastructure and creates disease vectors, excessive heat in iron-sheet classrooms, and legitimate safety concerns regarding snakes and waterborne illnesses transform schools from safe havens for learning into spaces of physical danger and health risk. Extreme overcrowding, with some classrooms accommodating 100-150 pupils, fundamentally undermines the educational enterprise by making individual attention impossible, preventing effective attendance monitoring, and creating chaotic environments where pupils feel invisible and learning becomes impractical. Long distances between homes and schools, particularly in pastoral areas and during dry seasons, impose significant opportunity costs in time and energy that are not offset by adequate support or quality learning experiences upon arrival. The study concludes that improving school environments through infrastructure investment</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constructing adequate classrooms, providing sufficient toilets and water supply, ensuring proper desks and learning materials, implementing flood mitigation measures, addressing overcrowding through additional facilities and teacher deployment, and potentially establishing boarding facilities or transport systems to address distance barriers</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represents the most direct and potentially impactful intervention pathway for reducing absenteeism, as environmental improvements can produce immediate, tangible changes in attendance patterns while longer-term economic and cultural transformations unfold.</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The study concludes that attendance policies in Bangal Sub-County suffer from a fundamental implementation gap wherein formal policies exist on paper but fail to translate into effective practice due to systemic constraints, inadequate resources, weak accountability mechanisms, and fundamental misalignment between policy assumptions and contextual realities. The moderate negative correlation (r = -0.513, p &lt; 0.05) between policy implementation and attendance confirms that weak implementation is significantly associated with higher absenteeism, suggesting that more effective policy execution could meaningfully improve attendance patterns. The breakdown of monitoring and follow-up mechanisms</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wherein daily attendance recording exists as bureaucratic ritual divorced from systematic response to identified absences, teachers struggle to track pupils in overcrowded classrooms, families provide false information to evade accountability, and home visits are constrained by transportation and logistical challenges</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renders attendance policies largely symbolic rather than functional. Weak parental engagement reflects not ignorance of policies but divergent priorities wherein immediate economic survival and cultural obligations supersede educational mandates, transforming what policies envision as collaborative processes into adversarial relationships where families resist rather than cooperate with school-based accountability efforts. Punitive disciplinary approaches including manual labor for absentees prove counterproductive by further alienating already marginalized pupils rather than addressing root causes, while limited guidance and counseling services, absence of material support programs, and isolation of schools from broader social services mean institutions can identify but cannot address the underlying drivers of absenteeism. The study concludes that effective policy implementation requires fundamental redesign acknowledging contextual realities: policies must be supported by adequate resources including transportation for home visits, feeding programs addressing hunger, material support for needy families, and sufficient staffing for meaningful counseling; implementation approaches must shift from punitive to supportive frameworks recognizing absenteeism as symptom rather than cause; monitoring systems must be feasible within existing constraints of overcrowding and limited resources; and policies must be embedded within broader ecosystems of social services, community partnerships, and economic support mechanisms that can address the multifaceted causes of absenteeism that schools alone cannot resolve, with accountability mechanisms extending beyond schools to district and national levels responsible for creating enabling conditions for effective implementation.</w:t>
      </w:r>
    </w:p>
    <w:bookmarkStart w:id="164" w:name="_Toc216513838"/>
    <w:p>
      <w:pPr>
        <w:pStyle w:val="style1"/>
        <w:numPr>
          <w:ilvl w:val="1"/>
          <w:numId w:val="19"/>
        </w:numPr>
        <w:spacing w:before="240" w:after="240"/>
        <w:jc w:val="both"/>
        <w:rPr>
          <w:color w:val="000000"/>
        </w:rPr>
      </w:pPr>
      <w:r>
        <w:rPr>
          <w:color w:val="000000"/>
        </w:rPr>
        <w:t>Recommendations</w:t>
      </w:r>
      <w:bookmarkEnd w:id="164"/>
      <w:r>
        <w:rPr>
          <w:color w:val="000000"/>
        </w:rPr>
        <w:t xml:space="preserve"> </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Reducing absenteeism requires tackling poverty-driven constraints through sustained school feeding programs, provision of basic learning materials, and economic safety nets such as bursaries and scholarships. These measures alleviate hunger, shame, and financial stress that keep learners away from school, while community initiatives to reduce reliance on child labor ensure children’s time is protected for education.</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Culturally rooted absenteeism can be mitigated by engaging traditional and religious leaders to discourage harmful practices, promoting alternative rites of passage, and enforcing legal protections against child marriage and FGM. Shifting community perceptions by demonstrating the tangible value of education in improving livelihoods is essential to counter entrenched beliefs that prioritize cultural roles over schooling.</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Investment in infrastructure</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adequate classrooms, sanitation facilities, desks, and water supply</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creates safe and dignified learning spaces that encourage attendance. Addressing overcrowding, mitigating environmental hazards, and providing boarding or transport options for learners in remote areas are critical interventions that directly reduce absenteeism by making schools more accessible and comfortable.</w:t>
      </w:r>
    </w:p>
    <w:p>
      <w:pPr>
        <w:pStyle w:val="style0"/>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Attendance policies must move from punitive to supportive frameworks, emphasizing counseling, parental engagement and holistic monitoring systems. Adequate resources for follow-up, integration of schools into broader social service networks and accountability mechanisms at district and national levels are necessary to ensure policies are effectively enforced and responsive to contextual realities driving absenteeism.</w:t>
      </w:r>
    </w:p>
    <w:bookmarkStart w:id="165" w:name="_Toc216513839"/>
    <w:p>
      <w:pPr>
        <w:pStyle w:val="style1"/>
        <w:numPr>
          <w:ilvl w:val="1"/>
          <w:numId w:val="19"/>
        </w:numPr>
        <w:spacing w:before="240" w:after="240"/>
        <w:jc w:val="both"/>
        <w:rPr>
          <w:color w:val="000000"/>
        </w:rPr>
      </w:pPr>
      <w:r>
        <w:rPr>
          <w:color w:val="000000"/>
        </w:rPr>
        <w:t>Suggestions for Further Research</w:t>
      </w:r>
      <w:bookmarkEnd w:id="165"/>
      <w:r>
        <w:rPr>
          <w:color w:val="000000"/>
        </w:rPr>
        <w:t xml:space="preserve"> </w:t>
      </w:r>
    </w:p>
    <w:p>
      <w:pPr>
        <w:pStyle w:val="style179"/>
        <w:numPr>
          <w:ilvl w:val="0"/>
          <w:numId w:val="26"/>
        </w:numPr>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Investigate the effect of school feeding programs on learners' attendance and academic performance in primary schools in Tana River County. </w:t>
      </w:r>
    </w:p>
    <w:p>
      <w:pPr>
        <w:pStyle w:val="style179"/>
        <w:numPr>
          <w:ilvl w:val="0"/>
          <w:numId w:val="26"/>
        </w:numPr>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Examine the relationship between community sensitization programs involving traditional leaders and reduction of culturally-driven absenteeism in primary schools in Tana River County. </w:t>
      </w:r>
    </w:p>
    <w:p>
      <w:pPr>
        <w:pStyle w:val="style179"/>
        <w:numPr>
          <w:ilvl w:val="0"/>
          <w:numId w:val="26"/>
        </w:numPr>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Assess the correlation between toilet-to-pupil ratio and female learners' attendance rates in primary schools in Tana River County.</w:t>
      </w:r>
    </w:p>
    <w:p>
      <w:pPr>
        <w:pStyle w:val="style179"/>
        <w:numPr>
          <w:ilvl w:val="0"/>
          <w:numId w:val="26"/>
        </w:numPr>
        <w:spacing w:before="240" w:after="240" w:lineRule="auto" w:line="480"/>
        <w:jc w:val="both"/>
        <w:rPr>
          <w:rFonts w:ascii="Times New Roman" w:cs="Times New Roman" w:hAnsi="Times New Roman"/>
          <w:color w:val="000000"/>
          <w:sz w:val="24"/>
          <w:szCs w:val="24"/>
        </w:rPr>
      </w:pPr>
      <w:r>
        <w:rPr>
          <w:rFonts w:ascii="Times New Roman" w:cs="Times New Roman" w:hAnsi="Times New Roman"/>
          <w:color w:val="000000"/>
          <w:sz w:val="24"/>
          <w:szCs w:val="24"/>
        </w:rPr>
        <w:t>Evaluate the effectiveness of teacher-parent communication frequency on learners' absenteeism in primary schools in Tana River County</w:t>
      </w:r>
    </w:p>
    <w:p>
      <w:pPr>
        <w:pStyle w:val="style0"/>
        <w:spacing w:after="200" w:lineRule="auto" w:line="276"/>
        <w:rPr>
          <w:color w:val="000000"/>
        </w:rPr>
      </w:pPr>
      <w:r>
        <w:rPr>
          <w:color w:val="000000"/>
        </w:rPr>
        <w:br w:type="page"/>
      </w:r>
    </w:p>
    <w:bookmarkStart w:id="166" w:name="_Toc216513840"/>
    <w:p>
      <w:pPr>
        <w:pStyle w:val="style1"/>
        <w:spacing w:lineRule="auto" w:line="360"/>
        <w:ind w:left="0" w:firstLine="0"/>
        <w:rPr>
          <w:b w:val="false"/>
          <w:color w:val="000000"/>
        </w:rPr>
      </w:pPr>
      <w:r>
        <w:rPr>
          <w:color w:val="000000"/>
        </w:rPr>
        <w:t>REFERENCES</w:t>
      </w:r>
      <w:bookmarkEnd w:id="127"/>
      <w:bookmarkEnd w:id="166"/>
    </w:p>
    <w:bookmarkStart w:id="167" w:name="_Toc188281904"/>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Abasi, M. (2017). Impact of FGM on girl child education in Uganda. “</w:t>
      </w:r>
      <w:r>
        <w:rPr>
          <w:rFonts w:ascii="Times New Roman" w:cs="Times New Roman" w:hAnsi="Times New Roman"/>
          <w:i/>
          <w:color w:val="000000"/>
          <w:sz w:val="24"/>
          <w:szCs w:val="24"/>
        </w:rPr>
        <w:t>Journal of African Studies</w:t>
      </w:r>
      <w:r>
        <w:rPr>
          <w:rFonts w:ascii="Times New Roman" w:cs="Times New Roman" w:hAnsi="Times New Roman"/>
          <w:color w:val="000000"/>
          <w:sz w:val="24"/>
          <w:szCs w:val="24"/>
        </w:rPr>
        <w:t>”, 22(3), 55-67.</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African Development Bank. (2018). Africa's infrastructure: Great potential but little impact on inclusive growth. “</w:t>
      </w:r>
      <w:r>
        <w:rPr>
          <w:rFonts w:ascii="Times New Roman" w:cs="Times New Roman" w:hAnsi="Times New Roman"/>
          <w:i/>
          <w:color w:val="000000"/>
          <w:sz w:val="24"/>
          <w:szCs w:val="24"/>
        </w:rPr>
        <w:t>African Development Bank</w:t>
      </w:r>
      <w:r>
        <w:rPr>
          <w:rFonts w:ascii="Times New Roman" w:cs="Times New Roman" w:hAnsi="Times New Roman"/>
          <w:color w:val="000000"/>
          <w:sz w:val="24"/>
          <w:szCs w:val="24"/>
        </w:rPr>
        <w:t>”.</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Agyie, E. (2015). The impact of school punishment methods on student absenteeism in Ghana. “</w:t>
      </w:r>
      <w:r>
        <w:rPr>
          <w:rFonts w:ascii="Times New Roman" w:cs="Times New Roman" w:hAnsi="Times New Roman"/>
          <w:i/>
          <w:color w:val="000000"/>
          <w:sz w:val="24"/>
          <w:szCs w:val="24"/>
        </w:rPr>
        <w:t>International Journal of Education</w:t>
      </w:r>
      <w:r>
        <w:rPr>
          <w:rFonts w:ascii="Times New Roman" w:cs="Times New Roman" w:hAnsi="Times New Roman"/>
          <w:color w:val="000000"/>
          <w:sz w:val="24"/>
          <w:szCs w:val="24"/>
        </w:rPr>
        <w:t>”, 30(2), 203-215.</w:t>
      </w:r>
    </w:p>
    <w:p>
      <w:pPr>
        <w:pStyle w:val="style0"/>
        <w:spacing w:lineRule="auto" w:line="360"/>
        <w:ind w:left="709" w:hanging="709"/>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Akiru, P., Kibui, A., &amp; Kanyiri, J. (2023). </w:t>
      </w:r>
      <w:r>
        <w:rPr>
          <w:rFonts w:ascii="Times New Roman" w:cs="Times New Roman" w:eastAsia="Times New Roman" w:hAnsi="Times New Roman"/>
          <w:i/>
          <w:iCs/>
          <w:color w:val="000000"/>
          <w:sz w:val="24"/>
          <w:szCs w:val="24"/>
        </w:rPr>
        <w:t>Learner retention levels and trends in primary schools in Turkana County, Kenya</w:t>
      </w:r>
      <w:r>
        <w:rPr>
          <w:rFonts w:ascii="Times New Roman" w:cs="Times New Roman" w:eastAsia="Times New Roman" w:hAnsi="Times New Roman"/>
          <w:color w:val="000000"/>
          <w:sz w:val="24"/>
          <w:szCs w:val="24"/>
        </w:rPr>
        <w:t>. International Journal of Education and Research, 11(10), 1–15.</w:t>
      </w:r>
    </w:p>
    <w:p>
      <w:pPr>
        <w:pStyle w:val="style0"/>
        <w:spacing w:lineRule="auto" w:line="360"/>
        <w:ind w:left="709" w:hanging="709"/>
        <w:jc w:val="both"/>
        <w:rPr>
          <w:rFonts w:ascii="Times New Roman" w:cs="Times New Roman" w:eastAsia="Times New Roman" w:hAnsi="Times New Roman"/>
          <w:color w:val="000000"/>
          <w:sz w:val="24"/>
          <w:szCs w:val="24"/>
        </w:rPr>
      </w:pPr>
      <w:r>
        <w:rPr>
          <w:rFonts w:ascii="Times New Roman" w:cs="Times New Roman" w:hAnsi="Times New Roman"/>
          <w:color w:val="000000"/>
          <w:sz w:val="24"/>
          <w:szCs w:val="24"/>
        </w:rPr>
        <w:t xml:space="preserve">Andiema, N. C. (2021). </w:t>
      </w:r>
      <w:r>
        <w:rPr>
          <w:rStyle w:val="style88"/>
          <w:rFonts w:ascii="Times New Roman" w:cs="Times New Roman" w:hAnsi="Times New Roman"/>
          <w:color w:val="000000"/>
          <w:sz w:val="24"/>
          <w:szCs w:val="24"/>
        </w:rPr>
        <w:t>Influence of culture on girl child education in Central Pokot Sub-County, Kenya</w:t>
      </w:r>
      <w:r>
        <w:rPr>
          <w:rFonts w:ascii="Times New Roman" w:cs="Times New Roman" w:hAnsi="Times New Roman"/>
          <w:color w:val="000000"/>
          <w:sz w:val="24"/>
          <w:szCs w:val="24"/>
        </w:rPr>
        <w:t xml:space="preserve">. FGM Centre for Research and Intervention. </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Assefa, H. (2018). Impact of communication and counseling programs on student absenteeism in Ethiopian schools. “</w:t>
      </w:r>
      <w:r>
        <w:rPr>
          <w:rFonts w:ascii="Times New Roman" w:cs="Times New Roman" w:hAnsi="Times New Roman"/>
          <w:i/>
          <w:color w:val="000000"/>
          <w:sz w:val="24"/>
          <w:szCs w:val="24"/>
        </w:rPr>
        <w:t>Journal of Educational Research</w:t>
      </w:r>
      <w:r>
        <w:rPr>
          <w:rFonts w:ascii="Times New Roman" w:cs="Times New Roman" w:hAnsi="Times New Roman"/>
          <w:color w:val="000000"/>
          <w:sz w:val="24"/>
          <w:szCs w:val="24"/>
        </w:rPr>
        <w:t>”, 45(2), 123-138.</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Assefa, M. (2018). Cause and possible solution to the problem of absenteeism on students. “</w:t>
      </w:r>
      <w:r>
        <w:rPr>
          <w:rFonts w:ascii="Times New Roman" w:cs="Times New Roman" w:hAnsi="Times New Roman"/>
          <w:i/>
          <w:color w:val="000000"/>
          <w:sz w:val="24"/>
          <w:szCs w:val="24"/>
        </w:rPr>
        <w:t>African Journal of Educational Research</w:t>
      </w:r>
      <w:r>
        <w:rPr>
          <w:rFonts w:ascii="Times New Roman" w:cs="Times New Roman" w:hAnsi="Times New Roman"/>
          <w:color w:val="000000"/>
          <w:sz w:val="24"/>
          <w:szCs w:val="24"/>
        </w:rPr>
        <w:t>”, 34(2), 89-105.</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Atugi, G. (2018). Preparedness of learning institutions in handling emergencies. “</w:t>
      </w:r>
      <w:r>
        <w:rPr>
          <w:rFonts w:ascii="Times New Roman" w:cs="Times New Roman" w:hAnsi="Times New Roman"/>
          <w:i/>
          <w:color w:val="000000"/>
          <w:sz w:val="24"/>
          <w:szCs w:val="24"/>
        </w:rPr>
        <w:t>Journal of Emergency Education</w:t>
      </w:r>
      <w:r>
        <w:rPr>
          <w:rFonts w:ascii="Times New Roman" w:cs="Times New Roman" w:hAnsi="Times New Roman"/>
          <w:color w:val="000000"/>
          <w:sz w:val="24"/>
          <w:szCs w:val="24"/>
        </w:rPr>
        <w:t>”, 29(3), 188-200.</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Baker, D. P., &amp; LeTendre, G. K. (2005). “National differences, global connections: Conceptual frameworks for comparative education”. Stanford University Press.</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Balkıs, M. (2016). Academic procrastination, academic life satisfaction and academic achievement: The mediation role of rational beliefs about studying. “</w:t>
      </w:r>
      <w:r>
        <w:rPr>
          <w:rFonts w:ascii="Times New Roman" w:cs="Times New Roman" w:hAnsi="Times New Roman"/>
          <w:i/>
          <w:color w:val="000000"/>
          <w:sz w:val="24"/>
          <w:szCs w:val="24"/>
        </w:rPr>
        <w:t>Journal of Cognitive &amp; Behavioral Psychotherapies</w:t>
      </w:r>
      <w:r>
        <w:rPr>
          <w:rFonts w:ascii="Times New Roman" w:cs="Times New Roman" w:hAnsi="Times New Roman"/>
          <w:color w:val="000000"/>
          <w:sz w:val="24"/>
          <w:szCs w:val="24"/>
        </w:rPr>
        <w:t>, 16” (1), 51-63.</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eastAsia="Times New Roman" w:hAnsi="Times New Roman"/>
          <w:color w:val="000000"/>
          <w:sz w:val="24"/>
          <w:szCs w:val="24"/>
        </w:rPr>
        <w:t>Berman, J. D., McCormack, M. C., Koehler, K. A., Connolly, F., Clemons-Erby, D., Davis, M. F., … Curriero, F. C. (2018). School environmental conditions and links to academic performance and absenteeism in urban, mid</w:t>
      </w:r>
      <w:r>
        <w:rPr>
          <w:rFonts w:ascii="Times New Roman" w:cs="Times New Roman" w:eastAsia="Times New Roman" w:hAnsi="Times New Roman"/>
          <w:color w:val="000000"/>
          <w:sz w:val="24"/>
          <w:szCs w:val="24"/>
        </w:rPr>
        <w:noBreakHyphen/>
      </w:r>
      <w:r>
        <w:rPr>
          <w:rFonts w:ascii="Times New Roman" w:cs="Times New Roman" w:eastAsia="Times New Roman" w:hAnsi="Times New Roman"/>
          <w:color w:val="000000"/>
          <w:sz w:val="24"/>
          <w:szCs w:val="24"/>
        </w:rPr>
        <w:t xml:space="preserve">Atlantic public schools. </w:t>
      </w:r>
      <w:r>
        <w:rPr>
          <w:rFonts w:ascii="Times New Roman" w:cs="Times New Roman" w:eastAsia="Times New Roman" w:hAnsi="Times New Roman"/>
          <w:i/>
          <w:iCs/>
          <w:color w:val="000000"/>
          <w:sz w:val="24"/>
          <w:szCs w:val="24"/>
        </w:rPr>
        <w:t>International Journal of Hygiene and Environmental Health, 221</w:t>
      </w:r>
      <w:r>
        <w:rPr>
          <w:rFonts w:ascii="Times New Roman" w:cs="Times New Roman" w:eastAsia="Times New Roman" w:hAnsi="Times New Roman"/>
          <w:color w:val="000000"/>
          <w:sz w:val="24"/>
          <w:szCs w:val="24"/>
        </w:rPr>
        <w:t xml:space="preserve">(5), 800–808. </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Basu, K. (1998). Child labor: Cause, consequence, and cure, with remarks on international labor standards. “</w:t>
      </w:r>
      <w:r>
        <w:rPr>
          <w:rFonts w:ascii="Times New Roman" w:cs="Times New Roman" w:hAnsi="Times New Roman"/>
          <w:i/>
          <w:color w:val="000000"/>
          <w:sz w:val="24"/>
          <w:szCs w:val="24"/>
        </w:rPr>
        <w:t>Journal of Economic Literature</w:t>
      </w:r>
      <w:r>
        <w:rPr>
          <w:rFonts w:ascii="Times New Roman" w:cs="Times New Roman" w:hAnsi="Times New Roman"/>
          <w:color w:val="000000"/>
          <w:sz w:val="24"/>
          <w:szCs w:val="24"/>
        </w:rPr>
        <w:t>”, 37(3), 1083-1119.</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Basch, C. E. (2011). Healthier students are better learners: A missing link in school reforms to         close the achievement gap. “</w:t>
      </w:r>
      <w:r>
        <w:rPr>
          <w:rFonts w:ascii="Times New Roman" w:cs="Times New Roman" w:hAnsi="Times New Roman"/>
          <w:i/>
          <w:color w:val="000000"/>
          <w:sz w:val="24"/>
          <w:szCs w:val="24"/>
        </w:rPr>
        <w:t>The Equity Matters Research Review</w:t>
      </w:r>
      <w:r>
        <w:rPr>
          <w:rFonts w:ascii="Times New Roman" w:cs="Times New Roman" w:hAnsi="Times New Roman"/>
          <w:color w:val="000000"/>
          <w:sz w:val="24"/>
          <w:szCs w:val="24"/>
        </w:rPr>
        <w:t>, “ No .  6.  Columbia University</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Ben-David, S., Akwara, P., &amp; Aduda, B. (2018). Teacher teamwork and student absenteeism in Nigeria. “</w:t>
      </w:r>
      <w:r>
        <w:rPr>
          <w:rFonts w:ascii="Times New Roman" w:cs="Times New Roman" w:hAnsi="Times New Roman"/>
          <w:i/>
          <w:color w:val="000000"/>
          <w:sz w:val="24"/>
          <w:szCs w:val="24"/>
        </w:rPr>
        <w:t>Journal of Education Research</w:t>
      </w:r>
      <w:r>
        <w:rPr>
          <w:rFonts w:ascii="Times New Roman" w:cs="Times New Roman" w:hAnsi="Times New Roman"/>
          <w:color w:val="000000"/>
          <w:sz w:val="24"/>
          <w:szCs w:val="24"/>
        </w:rPr>
        <w:t>”, 29(2), 134-150.</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Berg, J. (2017). Teacher teamwork and its impact on student absenteeism in the Netherlands. “</w:t>
      </w:r>
      <w:r>
        <w:rPr>
          <w:rFonts w:ascii="Times New Roman" w:cs="Times New Roman" w:hAnsi="Times New Roman"/>
          <w:i/>
          <w:color w:val="000000"/>
          <w:sz w:val="24"/>
          <w:szCs w:val="24"/>
        </w:rPr>
        <w:t>Journal of School Psychology</w:t>
      </w:r>
      <w:r>
        <w:rPr>
          <w:rFonts w:ascii="Times New Roman" w:cs="Times New Roman" w:hAnsi="Times New Roman"/>
          <w:color w:val="000000"/>
          <w:sz w:val="24"/>
          <w:szCs w:val="24"/>
        </w:rPr>
        <w:t>”, 55(3), 210-225.</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Bronfenbrenner, U. (1979). “The ecology of human development: Experiments by nature and design”. Harvard University Press.</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CENTEGIX. (2024). Impact of school safety on absenteeism. “</w:t>
      </w:r>
      <w:r>
        <w:rPr>
          <w:rFonts w:ascii="Times New Roman" w:cs="Times New Roman" w:hAnsi="Times New Roman"/>
          <w:i/>
          <w:color w:val="000000"/>
          <w:sz w:val="24"/>
          <w:szCs w:val="24"/>
        </w:rPr>
        <w:t>School Safety Journal</w:t>
      </w:r>
      <w:r>
        <w:rPr>
          <w:rFonts w:ascii="Times New Roman" w:cs="Times New Roman" w:hAnsi="Times New Roman"/>
          <w:color w:val="000000"/>
          <w:sz w:val="24"/>
          <w:szCs w:val="24"/>
        </w:rPr>
        <w:t>”, 15(1), 56-72.</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Cepada, C. M. P., &amp; Grepon, B. G. S. (2021). Absenteeism and parental involvement in home and school among middle school students of public school in Northern Mindanao, Philippines: Basis for intervention. “</w:t>
      </w:r>
      <w:r>
        <w:rPr>
          <w:rFonts w:ascii="Times New Roman" w:cs="Times New Roman" w:hAnsi="Times New Roman"/>
          <w:i/>
          <w:color w:val="000000"/>
          <w:sz w:val="24"/>
          <w:szCs w:val="24"/>
        </w:rPr>
        <w:t>International Journal of Educational Development</w:t>
      </w:r>
      <w:r>
        <w:rPr>
          <w:rFonts w:ascii="Times New Roman" w:cs="Times New Roman" w:hAnsi="Times New Roman"/>
          <w:color w:val="000000"/>
          <w:sz w:val="24"/>
          <w:szCs w:val="24"/>
        </w:rPr>
        <w:t>”, 50(2), 87-102.</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Cheng, L. (2019). The role of teacher collaboration in reducing student absenteeism. “</w:t>
      </w:r>
      <w:r>
        <w:rPr>
          <w:rFonts w:ascii="Times New Roman" w:cs="Times New Roman" w:hAnsi="Times New Roman"/>
          <w:i/>
          <w:color w:val="000000"/>
          <w:sz w:val="24"/>
          <w:szCs w:val="24"/>
        </w:rPr>
        <w:t>Educational Studies</w:t>
      </w:r>
      <w:r>
        <w:rPr>
          <w:rFonts w:ascii="Times New Roman" w:cs="Times New Roman" w:hAnsi="Times New Roman"/>
          <w:color w:val="000000"/>
          <w:sz w:val="24"/>
          <w:szCs w:val="24"/>
        </w:rPr>
        <w:t>”, 62(4), 345-360.</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Chzhen, Y. (2021). The impact of economic and social conditions on children’s school      attendance in East Africa. “</w:t>
      </w:r>
      <w:r>
        <w:rPr>
          <w:rFonts w:ascii="Times New Roman" w:cs="Times New Roman" w:hAnsi="Times New Roman"/>
          <w:i/>
          <w:color w:val="000000"/>
          <w:sz w:val="24"/>
          <w:szCs w:val="24"/>
        </w:rPr>
        <w:t>International Journal of Educational Development</w:t>
      </w:r>
      <w:r>
        <w:rPr>
          <w:rFonts w:ascii="Times New Roman" w:cs="Times New Roman" w:hAnsi="Times New Roman"/>
          <w:color w:val="000000"/>
          <w:sz w:val="24"/>
          <w:szCs w:val="24"/>
        </w:rPr>
        <w:t>”, 66, 100-115.</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Chzhen, Y. (2021). The impact of parental income on school attendance in East Africa. “</w:t>
      </w:r>
      <w:r>
        <w:rPr>
          <w:rFonts w:ascii="Times New Roman" w:cs="Times New Roman" w:hAnsi="Times New Roman"/>
          <w:i/>
          <w:color w:val="000000"/>
          <w:sz w:val="24"/>
          <w:szCs w:val="24"/>
        </w:rPr>
        <w:t>East African Educational Review</w:t>
      </w:r>
      <w:r>
        <w:rPr>
          <w:rFonts w:ascii="Times New Roman" w:cs="Times New Roman" w:hAnsi="Times New Roman"/>
          <w:color w:val="000000"/>
          <w:sz w:val="24"/>
          <w:szCs w:val="24"/>
        </w:rPr>
        <w:t>”, 33(1), 55-78.</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Classi, D. (2019). Behavioral problems and school absenteeism in economically disadvantaged children. “</w:t>
      </w:r>
      <w:r>
        <w:rPr>
          <w:rFonts w:ascii="Times New Roman" w:cs="Times New Roman" w:hAnsi="Times New Roman"/>
          <w:i/>
          <w:color w:val="000000"/>
          <w:sz w:val="24"/>
          <w:szCs w:val="24"/>
        </w:rPr>
        <w:t>Psychology and Education</w:t>
      </w:r>
      <w:r>
        <w:rPr>
          <w:rFonts w:ascii="Times New Roman" w:cs="Times New Roman" w:hAnsi="Times New Roman"/>
          <w:color w:val="000000"/>
          <w:sz w:val="24"/>
          <w:szCs w:val="24"/>
        </w:rPr>
        <w:t>”, 28(2), 221-243.</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Classi, P. (2019). Behavioral problems in children from low economic backgrounds. “</w:t>
      </w:r>
      <w:r>
        <w:rPr>
          <w:rFonts w:ascii="Times New Roman" w:cs="Times New Roman" w:hAnsi="Times New Roman"/>
          <w:i/>
          <w:color w:val="000000"/>
          <w:sz w:val="24"/>
          <w:szCs w:val="24"/>
        </w:rPr>
        <w:t>Journal of Child Psychology and Psychiatry</w:t>
      </w:r>
      <w:r>
        <w:rPr>
          <w:rFonts w:ascii="Times New Roman" w:cs="Times New Roman" w:hAnsi="Times New Roman"/>
          <w:color w:val="000000"/>
          <w:sz w:val="24"/>
          <w:szCs w:val="24"/>
        </w:rPr>
        <w:t>”, 45(7), 1171-1181.</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Coetzee, M. (2016). The effectiveness of punitive disciplinary methods in South Africa. “</w:t>
      </w:r>
      <w:r>
        <w:rPr>
          <w:rFonts w:ascii="Times New Roman" w:cs="Times New Roman" w:hAnsi="Times New Roman"/>
          <w:i/>
          <w:color w:val="000000"/>
          <w:sz w:val="24"/>
          <w:szCs w:val="24"/>
        </w:rPr>
        <w:t>South African Journal of Education</w:t>
      </w:r>
      <w:r>
        <w:rPr>
          <w:rFonts w:ascii="Times New Roman" w:cs="Times New Roman" w:hAnsi="Times New Roman"/>
          <w:color w:val="000000"/>
          <w:sz w:val="24"/>
          <w:szCs w:val="24"/>
        </w:rPr>
        <w:t>”, 28(3), 195-210.</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Conel, L. (2022). Factors affecting absenteeism among junior high school students in Kenya. “</w:t>
      </w:r>
      <w:r>
        <w:rPr>
          <w:rFonts w:ascii="Times New Roman" w:cs="Times New Roman" w:hAnsi="Times New Roman"/>
          <w:i/>
          <w:color w:val="000000"/>
          <w:sz w:val="24"/>
          <w:szCs w:val="24"/>
        </w:rPr>
        <w:t>Journal of Education and Learning</w:t>
      </w:r>
      <w:r>
        <w:rPr>
          <w:rFonts w:ascii="Times New Roman" w:cs="Times New Roman" w:hAnsi="Times New Roman"/>
          <w:color w:val="000000"/>
          <w:sz w:val="24"/>
          <w:szCs w:val="24"/>
        </w:rPr>
        <w:t>, 11” (3), 72-80.</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David, A. (2018). Collaborative teaching environments and student absenteeism in Nigeria. “</w:t>
      </w:r>
      <w:r>
        <w:rPr>
          <w:rFonts w:ascii="Times New Roman" w:cs="Times New Roman" w:hAnsi="Times New Roman"/>
          <w:i/>
          <w:color w:val="000000"/>
          <w:sz w:val="24"/>
          <w:szCs w:val="24"/>
        </w:rPr>
        <w:t>African Journal of Education</w:t>
      </w:r>
      <w:r>
        <w:rPr>
          <w:rFonts w:ascii="Times New Roman" w:cs="Times New Roman" w:hAnsi="Times New Roman"/>
          <w:color w:val="000000"/>
          <w:sz w:val="24"/>
          <w:szCs w:val="24"/>
        </w:rPr>
        <w:t>, 52” (1), 89-103.</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Deci, E. L., &amp; Ryan, R. M. (1985). “Intrinsic motivation and self-determination in human behavior. “Springer Science &amp; Business Media.</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Department for Education. (2018). “the impact of poverty and material deprivation on school attendance”. Government Publication.</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Eccles, J. S., &amp; Wigfield, A. (2002). Motivational beliefs, values, and goals. “</w:t>
      </w:r>
      <w:r>
        <w:rPr>
          <w:rFonts w:ascii="Times New Roman" w:cs="Times New Roman" w:hAnsi="Times New Roman"/>
          <w:i/>
          <w:color w:val="000000"/>
          <w:sz w:val="24"/>
          <w:szCs w:val="24"/>
        </w:rPr>
        <w:t>Annual Review of Psychology</w:t>
      </w:r>
      <w:r>
        <w:rPr>
          <w:rFonts w:ascii="Times New Roman" w:cs="Times New Roman" w:hAnsi="Times New Roman"/>
          <w:color w:val="000000"/>
          <w:sz w:val="24"/>
          <w:szCs w:val="24"/>
        </w:rPr>
        <w:t>, 53”, 109-132.</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Edmunds, L. (2018). Prevalence rates of chronic absenteeism and associated outcomes. “</w:t>
      </w:r>
      <w:r>
        <w:rPr>
          <w:rFonts w:ascii="Times New Roman" w:cs="Times New Roman" w:hAnsi="Times New Roman"/>
          <w:i/>
          <w:color w:val="000000"/>
          <w:sz w:val="24"/>
          <w:szCs w:val="24"/>
        </w:rPr>
        <w:t>International Journal of Educational Research</w:t>
      </w:r>
      <w:r>
        <w:rPr>
          <w:rFonts w:ascii="Times New Roman" w:cs="Times New Roman" w:hAnsi="Times New Roman"/>
          <w:color w:val="000000"/>
          <w:sz w:val="24"/>
          <w:szCs w:val="24"/>
        </w:rPr>
        <w:t>, 89” (1), 22-29.</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Elmore, R. F. (2004). “School reform from the inside out: Policy, practice, and performance”. Harvard Education Press.</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 Fullan, M. (2007). “The new meaning of educational change” (4th Ed.). Teachers College Press.</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Gee, J. P. (2018). Discourse analysis and family SES: Implications for education and absenteeism. “</w:t>
      </w:r>
      <w:r>
        <w:rPr>
          <w:rFonts w:ascii="Times New Roman" w:cs="Times New Roman" w:hAnsi="Times New Roman"/>
          <w:i/>
          <w:color w:val="000000"/>
          <w:sz w:val="24"/>
          <w:szCs w:val="24"/>
        </w:rPr>
        <w:t>Journal of Education Policy</w:t>
      </w:r>
      <w:r>
        <w:rPr>
          <w:rFonts w:ascii="Times New Roman" w:cs="Times New Roman" w:hAnsi="Times New Roman"/>
          <w:color w:val="000000"/>
          <w:sz w:val="24"/>
          <w:szCs w:val="24"/>
        </w:rPr>
        <w:t>, 33”(2), 205-220.</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Gee, J. P. (2018). The detrimental effects of economic disadvantage on school attendance. “</w:t>
      </w:r>
      <w:r>
        <w:rPr>
          <w:rFonts w:ascii="Times New Roman" w:cs="Times New Roman" w:hAnsi="Times New Roman"/>
          <w:i/>
          <w:color w:val="000000"/>
          <w:sz w:val="24"/>
          <w:szCs w:val="24"/>
        </w:rPr>
        <w:t>Educational Studies</w:t>
      </w:r>
      <w:r>
        <w:rPr>
          <w:rFonts w:ascii="Times New Roman" w:cs="Times New Roman" w:hAnsi="Times New Roman"/>
          <w:color w:val="000000"/>
          <w:sz w:val="24"/>
          <w:szCs w:val="24"/>
        </w:rPr>
        <w:t>, 22”(4), 567-589.</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Gitau, E. (2021). Factors affecting education access and retention in Tana River County. “</w:t>
      </w:r>
      <w:r>
        <w:rPr>
          <w:rFonts w:ascii="Times New Roman" w:cs="Times New Roman" w:hAnsi="Times New Roman"/>
          <w:i/>
          <w:color w:val="000000"/>
          <w:sz w:val="24"/>
          <w:szCs w:val="24"/>
        </w:rPr>
        <w:t>Kenyan Educational Journal</w:t>
      </w:r>
      <w:r>
        <w:rPr>
          <w:rFonts w:ascii="Times New Roman" w:cs="Times New Roman" w:hAnsi="Times New Roman"/>
          <w:color w:val="000000"/>
          <w:sz w:val="24"/>
          <w:szCs w:val="24"/>
        </w:rPr>
        <w:t>, 26”(1), 54-69.</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Gitonga, L. M., Njoka, J. N., &amp; Ndegwa, L. (2018). Assessment of the effectiveness of programs put in place to control students’ absenteeism in public day secondary schools in Kirinyaga County, Kenya. </w:t>
      </w:r>
      <w:r>
        <w:rPr>
          <w:rStyle w:val="style88"/>
          <w:rFonts w:ascii="Times New Roman" w:cs="Times New Roman" w:hAnsi="Times New Roman"/>
          <w:color w:val="000000"/>
          <w:sz w:val="24"/>
          <w:szCs w:val="24"/>
        </w:rPr>
        <w:t>African Journal of Education, Science and Technology, 4</w:t>
      </w:r>
      <w:r>
        <w:rPr>
          <w:rFonts w:ascii="Times New Roman" w:cs="Times New Roman" w:hAnsi="Times New Roman"/>
          <w:color w:val="000000"/>
          <w:sz w:val="24"/>
          <w:szCs w:val="24"/>
        </w:rPr>
        <w:t xml:space="preserve">(4), 290–300. </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Gottfried, M. A. (2019). Chronic absenteeism in the classroom context: Effects on achievement. ‘</w:t>
      </w:r>
      <w:r>
        <w:rPr>
          <w:rFonts w:ascii="Times New Roman" w:cs="Times New Roman" w:hAnsi="Times New Roman"/>
          <w:i/>
          <w:color w:val="000000"/>
          <w:sz w:val="24"/>
          <w:szCs w:val="24"/>
        </w:rPr>
        <w:t>Urban Education</w:t>
      </w:r>
      <w:r>
        <w:rPr>
          <w:rFonts w:ascii="Times New Roman" w:cs="Times New Roman" w:hAnsi="Times New Roman"/>
          <w:color w:val="000000"/>
          <w:sz w:val="24"/>
          <w:szCs w:val="24"/>
        </w:rPr>
        <w:t>, 54’(1), 3-34.</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Grepon, L. (2021). Parental involvement and its effect on student attendance in the Philippines. “</w:t>
      </w:r>
      <w:r>
        <w:rPr>
          <w:rFonts w:ascii="Times New Roman" w:cs="Times New Roman" w:hAnsi="Times New Roman"/>
          <w:i/>
          <w:color w:val="000000"/>
          <w:sz w:val="24"/>
          <w:szCs w:val="24"/>
        </w:rPr>
        <w:t>International Journal of Educational Development</w:t>
      </w:r>
      <w:r>
        <w:rPr>
          <w:rFonts w:ascii="Times New Roman" w:cs="Times New Roman" w:hAnsi="Times New Roman"/>
          <w:color w:val="000000"/>
          <w:sz w:val="24"/>
          <w:szCs w:val="24"/>
        </w:rPr>
        <w:t>, 50”(6), 456-470.</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Hassan, M. (2021). The role of school rules in managing student behavior and attendance in Uganda. “</w:t>
      </w:r>
      <w:r>
        <w:rPr>
          <w:rFonts w:ascii="Times New Roman" w:cs="Times New Roman" w:hAnsi="Times New Roman"/>
          <w:i/>
          <w:color w:val="000000"/>
          <w:sz w:val="24"/>
          <w:szCs w:val="24"/>
        </w:rPr>
        <w:t>East African Educational Review</w:t>
      </w:r>
      <w:r>
        <w:rPr>
          <w:rFonts w:ascii="Times New Roman" w:cs="Times New Roman" w:hAnsi="Times New Roman"/>
          <w:color w:val="000000"/>
          <w:sz w:val="24"/>
          <w:szCs w:val="24"/>
        </w:rPr>
        <w:t>, 29”(2), 147-162.</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Hill, P. T., &amp; Cushing, K. (2004). The importance of leadership in policy implementation. In J. A. L. R. E. Jacobs &amp; D. H. B. Schmid (Eds.), “Leadership and policy in schools” (pp. 15-34). Routledge.</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Hungi, N. (2010). School attendance rates among high-income families in East Africa. “</w:t>
      </w:r>
      <w:r>
        <w:rPr>
          <w:rFonts w:ascii="Times New Roman" w:cs="Times New Roman" w:hAnsi="Times New Roman"/>
          <w:i/>
          <w:color w:val="000000"/>
          <w:sz w:val="24"/>
          <w:szCs w:val="24"/>
        </w:rPr>
        <w:t>African Journal of Education</w:t>
      </w:r>
      <w:r>
        <w:rPr>
          <w:rFonts w:ascii="Times New Roman" w:cs="Times New Roman" w:hAnsi="Times New Roman"/>
          <w:color w:val="000000"/>
          <w:sz w:val="24"/>
          <w:szCs w:val="24"/>
        </w:rPr>
        <w:t>, 12”(2), 95-107.</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Hungi, N. (2010). Socioeconomic status and school attendance in East Africa. “African </w:t>
      </w:r>
      <w:r>
        <w:rPr>
          <w:rFonts w:ascii="Times New Roman" w:cs="Times New Roman" w:hAnsi="Times New Roman"/>
          <w:i/>
          <w:color w:val="000000"/>
          <w:sz w:val="24"/>
          <w:szCs w:val="24"/>
        </w:rPr>
        <w:t>Educational Research Journal</w:t>
      </w:r>
      <w:r>
        <w:rPr>
          <w:rFonts w:ascii="Times New Roman" w:cs="Times New Roman" w:hAnsi="Times New Roman"/>
          <w:color w:val="000000"/>
          <w:sz w:val="24"/>
          <w:szCs w:val="24"/>
        </w:rPr>
        <w:t>, 1”(2), 45-60.</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Humm Patnode, J., &amp; Gibbons, S. (2018). “Attendance and chronic absenteeism: Literature review”. National Attendance Review Board.</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INEE. (2019). “Effects of early marriages on school dropout rates”. </w:t>
      </w:r>
      <w:r>
        <w:rPr>
          <w:rFonts w:ascii="Times New Roman" w:cs="Times New Roman" w:hAnsi="Times New Roman"/>
          <w:i/>
          <w:color w:val="000000"/>
          <w:sz w:val="24"/>
          <w:szCs w:val="24"/>
        </w:rPr>
        <w:t>International Network for Education in Emergencies</w:t>
      </w:r>
      <w:r>
        <w:rPr>
          <w:rFonts w:ascii="Times New Roman" w:cs="Times New Roman" w:hAnsi="Times New Roman"/>
          <w:color w:val="000000"/>
          <w:sz w:val="24"/>
          <w:szCs w:val="24"/>
        </w:rPr>
        <w:t>.</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Ireri, K. (2013). Child labor and school attendance in Kiambaa, Kenya. “</w:t>
      </w:r>
      <w:r>
        <w:rPr>
          <w:rFonts w:ascii="Times New Roman" w:cs="Times New Roman" w:hAnsi="Times New Roman"/>
          <w:i/>
          <w:color w:val="000000"/>
          <w:sz w:val="24"/>
          <w:szCs w:val="24"/>
        </w:rPr>
        <w:t>Journal of African Studies</w:t>
      </w:r>
      <w:r>
        <w:rPr>
          <w:rFonts w:ascii="Times New Roman" w:cs="Times New Roman" w:hAnsi="Times New Roman"/>
          <w:color w:val="000000"/>
          <w:sz w:val="24"/>
          <w:szCs w:val="24"/>
        </w:rPr>
        <w:t>, 12”(4), 321-336.</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Kamau, M. (2015). Disciplinary methods and student absenteeism. “</w:t>
      </w:r>
      <w:r>
        <w:rPr>
          <w:rFonts w:ascii="Times New Roman" w:cs="Times New Roman" w:hAnsi="Times New Roman"/>
          <w:i/>
          <w:color w:val="000000"/>
          <w:sz w:val="24"/>
          <w:szCs w:val="24"/>
        </w:rPr>
        <w:t>Kenyan Journal of Education Research</w:t>
      </w:r>
      <w:r>
        <w:rPr>
          <w:rFonts w:ascii="Times New Roman" w:cs="Times New Roman" w:hAnsi="Times New Roman"/>
          <w:color w:val="000000"/>
          <w:sz w:val="24"/>
          <w:szCs w:val="24"/>
        </w:rPr>
        <w:t>, 28”(2), 134-150.</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Kariba, M. (2022). An investigation of influence of student absenteeism on academic performance of secondary school students in Nyandarua, Kenya. “</w:t>
      </w:r>
      <w:r>
        <w:rPr>
          <w:rFonts w:ascii="Times New Roman" w:cs="Times New Roman" w:hAnsi="Times New Roman"/>
          <w:i/>
          <w:color w:val="000000"/>
          <w:sz w:val="24"/>
          <w:szCs w:val="24"/>
        </w:rPr>
        <w:t>East African Educational Review</w:t>
      </w:r>
      <w:r>
        <w:rPr>
          <w:rFonts w:ascii="Times New Roman" w:cs="Times New Roman" w:hAnsi="Times New Roman"/>
          <w:color w:val="000000"/>
          <w:sz w:val="24"/>
          <w:szCs w:val="24"/>
        </w:rPr>
        <w:t>, 30”(3), 299-315.</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Kariba, R. (2019). School infrastructure and student absenteeism in Nyandarua County, Kenya. “</w:t>
      </w:r>
      <w:r>
        <w:rPr>
          <w:rFonts w:ascii="Times New Roman" w:cs="Times New Roman" w:hAnsi="Times New Roman"/>
          <w:i/>
          <w:color w:val="000000"/>
          <w:sz w:val="24"/>
          <w:szCs w:val="24"/>
        </w:rPr>
        <w:t>Journal of East African Educational Research</w:t>
      </w:r>
      <w:r>
        <w:rPr>
          <w:rFonts w:ascii="Times New Roman" w:cs="Times New Roman" w:hAnsi="Times New Roman"/>
          <w:color w:val="000000"/>
          <w:sz w:val="24"/>
          <w:szCs w:val="24"/>
        </w:rPr>
        <w:t>, 20”(1), 178-194.</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Kariba, T. (2022). The impact of student absenteeism on academic performance in Nyandarua. “</w:t>
      </w:r>
      <w:r>
        <w:rPr>
          <w:rFonts w:ascii="Times New Roman" w:cs="Times New Roman" w:hAnsi="Times New Roman"/>
          <w:i/>
          <w:color w:val="000000"/>
          <w:sz w:val="24"/>
          <w:szCs w:val="24"/>
        </w:rPr>
        <w:t>Educational Research International</w:t>
      </w:r>
      <w:r>
        <w:rPr>
          <w:rFonts w:ascii="Times New Roman" w:cs="Times New Roman" w:hAnsi="Times New Roman"/>
          <w:color w:val="000000"/>
          <w:sz w:val="24"/>
          <w:szCs w:val="24"/>
        </w:rPr>
        <w:t>, 11”(4), 125-136.</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Karamperidou, D. (2020). Teacher attendance and its impact on student absenteeism in East Africa. “</w:t>
      </w:r>
      <w:r>
        <w:rPr>
          <w:rFonts w:ascii="Times New Roman" w:cs="Times New Roman" w:hAnsi="Times New Roman"/>
          <w:i/>
          <w:color w:val="000000"/>
          <w:sz w:val="24"/>
          <w:szCs w:val="24"/>
        </w:rPr>
        <w:t>UNICEF Education Review</w:t>
      </w:r>
      <w:r>
        <w:rPr>
          <w:rFonts w:ascii="Times New Roman" w:cs="Times New Roman" w:hAnsi="Times New Roman"/>
          <w:color w:val="000000"/>
          <w:sz w:val="24"/>
          <w:szCs w:val="24"/>
        </w:rPr>
        <w:t>, 24”(2), 56-69.</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Kayendeke, J. (2018). </w:t>
      </w:r>
      <w:r>
        <w:rPr>
          <w:rStyle w:val="style88"/>
          <w:rFonts w:ascii="Times New Roman" w:cs="Times New Roman" w:hAnsi="Times New Roman"/>
          <w:color w:val="000000"/>
          <w:sz w:val="24"/>
          <w:szCs w:val="24"/>
        </w:rPr>
        <w:t>Influence of selected cultural practices on pupils’ school attendance in Naweyo Sub-County, Butaleja District, Uganda</w:t>
      </w:r>
      <w:r>
        <w:rPr>
          <w:rFonts w:ascii="Times New Roman" w:cs="Times New Roman" w:hAnsi="Times New Roman"/>
          <w:color w:val="000000"/>
          <w:sz w:val="24"/>
          <w:szCs w:val="24"/>
        </w:rPr>
        <w:t xml:space="preserve"> (Master’s thesis, Makerere University). Makerere University Institutional Repository.</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Kearney, C. (2022). Attendance policies and their impact on student absenteeism in the United States. “</w:t>
      </w:r>
      <w:r>
        <w:rPr>
          <w:rFonts w:ascii="Times New Roman" w:cs="Times New Roman" w:hAnsi="Times New Roman"/>
          <w:i/>
          <w:color w:val="000000"/>
          <w:sz w:val="24"/>
          <w:szCs w:val="24"/>
        </w:rPr>
        <w:t>American Journal of Education</w:t>
      </w:r>
      <w:r>
        <w:rPr>
          <w:rFonts w:ascii="Times New Roman" w:cs="Times New Roman" w:hAnsi="Times New Roman"/>
          <w:color w:val="000000"/>
          <w:sz w:val="24"/>
          <w:szCs w:val="24"/>
        </w:rPr>
        <w:t>, 128”1), 67-83.</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Kearney, C.A., Dupont, R., Fensken, M., &amp; Gonzálvez, C. (2023). </w:t>
      </w:r>
      <w:r>
        <w:rPr>
          <w:rStyle w:val="style88"/>
          <w:rFonts w:ascii="Times New Roman" w:cs="Times New Roman" w:hAnsi="Times New Roman"/>
          <w:color w:val="000000"/>
          <w:sz w:val="24"/>
          <w:szCs w:val="24"/>
        </w:rPr>
        <w:t>School attendance problems and absenteeism as early warning signals: Review and implications for health-based protocols and school-based practices</w:t>
      </w:r>
      <w:r>
        <w:rPr>
          <w:rFonts w:ascii="Times New Roman" w:cs="Times New Roman" w:hAnsi="Times New Roman"/>
          <w:color w:val="000000"/>
          <w:sz w:val="24"/>
          <w:szCs w:val="24"/>
        </w:rPr>
        <w:t xml:space="preserve">. </w:t>
      </w:r>
      <w:r>
        <w:rPr>
          <w:rStyle w:val="style88"/>
          <w:rFonts w:ascii="Times New Roman" w:cs="Times New Roman" w:hAnsi="Times New Roman"/>
          <w:color w:val="000000"/>
          <w:sz w:val="24"/>
          <w:szCs w:val="24"/>
        </w:rPr>
        <w:t>Frontiers in Education</w:t>
      </w:r>
      <w:r>
        <w:rPr>
          <w:rFonts w:ascii="Times New Roman" w:cs="Times New Roman" w:hAnsi="Times New Roman"/>
          <w:color w:val="000000"/>
          <w:sz w:val="24"/>
          <w:szCs w:val="24"/>
        </w:rPr>
        <w:t>.</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Kearney, C. (2022). The impact of hard punishment methods on student absenteeism in the United States. “</w:t>
      </w:r>
      <w:r>
        <w:rPr>
          <w:rFonts w:ascii="Times New Roman" w:cs="Times New Roman" w:hAnsi="Times New Roman"/>
          <w:i/>
          <w:color w:val="000000"/>
          <w:sz w:val="24"/>
          <w:szCs w:val="24"/>
        </w:rPr>
        <w:t>Journal of Educational Research</w:t>
      </w:r>
      <w:r>
        <w:rPr>
          <w:rFonts w:ascii="Times New Roman" w:cs="Times New Roman" w:hAnsi="Times New Roman"/>
          <w:color w:val="000000"/>
          <w:sz w:val="24"/>
          <w:szCs w:val="24"/>
        </w:rPr>
        <w:t>, 58”(3), 189-204.</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Kearney, C. A., Benoit, L., Gonzálvez, C., &amp; Keppens, G. (2022). School attendance and school absenteeism: A primer for the past, present, and theory of change for the future. “</w:t>
      </w:r>
      <w:r>
        <w:rPr>
          <w:rFonts w:ascii="Times New Roman" w:cs="Times New Roman" w:hAnsi="Times New Roman"/>
          <w:i/>
          <w:color w:val="000000"/>
          <w:sz w:val="24"/>
          <w:szCs w:val="24"/>
        </w:rPr>
        <w:t>Journal of Educational Policy</w:t>
      </w:r>
      <w:r>
        <w:rPr>
          <w:rFonts w:ascii="Times New Roman" w:cs="Times New Roman" w:hAnsi="Times New Roman"/>
          <w:color w:val="000000"/>
          <w:sz w:val="24"/>
          <w:szCs w:val="24"/>
        </w:rPr>
        <w:t>, 40”(1), 50-67.</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Kearney, C. A., Gonzálvez, C., &amp; Graczyk, P. A. (2019). Reconciling contemporary approaches to school attendance and school absenteeism: Toward promotion and nimble response, global policy review and implementation, and future adaptability (Part 2). “</w:t>
      </w:r>
      <w:r>
        <w:rPr>
          <w:rFonts w:ascii="Times New Roman" w:cs="Times New Roman" w:hAnsi="Times New Roman"/>
          <w:i/>
          <w:color w:val="000000"/>
          <w:sz w:val="24"/>
          <w:szCs w:val="24"/>
        </w:rPr>
        <w:t>Educational Policy Review</w:t>
      </w:r>
      <w:r>
        <w:rPr>
          <w:rFonts w:ascii="Times New Roman" w:cs="Times New Roman" w:hAnsi="Times New Roman"/>
          <w:color w:val="000000"/>
          <w:sz w:val="24"/>
          <w:szCs w:val="24"/>
        </w:rPr>
        <w:t>, 33”(2), 123-140.</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Keppens, G. (2022). Absenteeism and contemporary perspectives: A comprehensive overview. “</w:t>
      </w:r>
      <w:r>
        <w:rPr>
          <w:rFonts w:ascii="Times New Roman" w:cs="Times New Roman" w:hAnsi="Times New Roman"/>
          <w:i/>
          <w:color w:val="000000"/>
          <w:sz w:val="24"/>
          <w:szCs w:val="24"/>
        </w:rPr>
        <w:t>Educational Studies</w:t>
      </w:r>
      <w:r>
        <w:rPr>
          <w:rFonts w:ascii="Times New Roman" w:cs="Times New Roman" w:hAnsi="Times New Roman"/>
          <w:color w:val="000000"/>
          <w:sz w:val="24"/>
          <w:szCs w:val="24"/>
        </w:rPr>
        <w:t>, 48”(2), 174-192.</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Keter, L. (2013). The effects of punitive discipline on student absenteeism in Turkey. “Turkish </w:t>
      </w:r>
      <w:r>
        <w:rPr>
          <w:rFonts w:ascii="Times New Roman" w:cs="Times New Roman" w:hAnsi="Times New Roman"/>
          <w:i/>
          <w:color w:val="000000"/>
          <w:sz w:val="24"/>
          <w:szCs w:val="24"/>
        </w:rPr>
        <w:t>Journal of Educational Research</w:t>
      </w:r>
      <w:r>
        <w:rPr>
          <w:rFonts w:ascii="Times New Roman" w:cs="Times New Roman" w:hAnsi="Times New Roman"/>
          <w:color w:val="000000"/>
          <w:sz w:val="24"/>
          <w:szCs w:val="24"/>
        </w:rPr>
        <w:t>, 15”(1), 84-99.</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Kimani, G. N., &amp; Murithi, J. (2020). Effect of teacher teamwork on student absenteeism in public secondary schools in Kenya. “</w:t>
      </w:r>
      <w:r>
        <w:rPr>
          <w:rFonts w:ascii="Times New Roman" w:cs="Times New Roman" w:hAnsi="Times New Roman"/>
          <w:i/>
          <w:color w:val="000000"/>
          <w:sz w:val="24"/>
          <w:szCs w:val="24"/>
        </w:rPr>
        <w:t>African Journal of Education and Practice</w:t>
      </w:r>
      <w:r>
        <w:rPr>
          <w:rFonts w:ascii="Times New Roman" w:cs="Times New Roman" w:hAnsi="Times New Roman"/>
          <w:color w:val="000000"/>
          <w:sz w:val="24"/>
          <w:szCs w:val="24"/>
        </w:rPr>
        <w:t>, 6”(3), 67-85.</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Kimani, J. (2020). Teacher teamwork and student attendance in public schools in Kenya. “</w:t>
      </w:r>
      <w:r>
        <w:rPr>
          <w:rFonts w:ascii="Times New Roman" w:cs="Times New Roman" w:hAnsi="Times New Roman"/>
          <w:i/>
          <w:color w:val="000000"/>
          <w:sz w:val="24"/>
          <w:szCs w:val="24"/>
        </w:rPr>
        <w:t>Journal of East African Studies</w:t>
      </w:r>
      <w:r>
        <w:rPr>
          <w:rFonts w:ascii="Times New Roman" w:cs="Times New Roman" w:hAnsi="Times New Roman"/>
          <w:color w:val="000000"/>
          <w:sz w:val="24"/>
          <w:szCs w:val="24"/>
        </w:rPr>
        <w:t>, 18”</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Kimaryo, E. (2019). Socio-economic factors affecting school attendance in rural Tanzania. “</w:t>
      </w:r>
      <w:r>
        <w:rPr>
          <w:rFonts w:ascii="Times New Roman" w:cs="Times New Roman" w:hAnsi="Times New Roman"/>
          <w:i/>
          <w:color w:val="000000"/>
          <w:sz w:val="24"/>
          <w:szCs w:val="24"/>
        </w:rPr>
        <w:t>Education Journal</w:t>
      </w:r>
      <w:r>
        <w:rPr>
          <w:rFonts w:ascii="Times New Roman" w:cs="Times New Roman" w:hAnsi="Times New Roman"/>
          <w:color w:val="000000"/>
          <w:sz w:val="24"/>
          <w:szCs w:val="24"/>
        </w:rPr>
        <w:t>, 12”(4), 45-60.</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eastAsia="Times New Roman" w:hAnsi="Times New Roman"/>
          <w:color w:val="000000"/>
          <w:sz w:val="24"/>
          <w:szCs w:val="24"/>
        </w:rPr>
        <w:t xml:space="preserve">King’ondu, L. W., &amp; Mbirithi, D. M. (2025). </w:t>
      </w:r>
      <w:r>
        <w:rPr>
          <w:rFonts w:ascii="Times New Roman" w:cs="Times New Roman" w:eastAsia="Times New Roman" w:hAnsi="Times New Roman"/>
          <w:i/>
          <w:iCs/>
          <w:color w:val="000000"/>
          <w:sz w:val="24"/>
          <w:szCs w:val="24"/>
        </w:rPr>
        <w:t>Effect of cultural practices on enrolment and retention of students in public day secondary schools in Kwale County, Kenya</w:t>
      </w:r>
      <w:r>
        <w:rPr>
          <w:rFonts w:ascii="Times New Roman" w:cs="Times New Roman" w:eastAsia="Times New Roman" w:hAnsi="Times New Roman"/>
          <w:color w:val="000000"/>
          <w:sz w:val="24"/>
          <w:szCs w:val="24"/>
        </w:rPr>
        <w:t>. International Academic Journal of Social Sciences and Education, 2(4), 54–68.</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Kiprop, J. (2022). The impact of school rules on student attendance in Kenya. “</w:t>
      </w:r>
      <w:r>
        <w:rPr>
          <w:rFonts w:ascii="Times New Roman" w:cs="Times New Roman" w:hAnsi="Times New Roman"/>
          <w:i/>
          <w:color w:val="000000"/>
          <w:sz w:val="24"/>
          <w:szCs w:val="24"/>
        </w:rPr>
        <w:t>Kenyan Journal of Education,</w:t>
      </w:r>
      <w:r>
        <w:rPr>
          <w:rFonts w:ascii="Times New Roman" w:cs="Times New Roman" w:hAnsi="Times New Roman"/>
          <w:color w:val="000000"/>
          <w:sz w:val="24"/>
          <w:szCs w:val="24"/>
        </w:rPr>
        <w:t xml:space="preserve"> 34”(4), 399-410.</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Kiprop-Marakis, A. (2022). Causes of students’ absenteeism in public day secondary schools in Kenya. “</w:t>
      </w:r>
      <w:r>
        <w:rPr>
          <w:rFonts w:ascii="Times New Roman" w:cs="Times New Roman" w:hAnsi="Times New Roman"/>
          <w:i/>
          <w:color w:val="000000"/>
          <w:sz w:val="24"/>
          <w:szCs w:val="24"/>
        </w:rPr>
        <w:t>East African Educational Review</w:t>
      </w:r>
      <w:r>
        <w:rPr>
          <w:rFonts w:ascii="Times New Roman" w:cs="Times New Roman" w:hAnsi="Times New Roman"/>
          <w:color w:val="000000"/>
          <w:sz w:val="24"/>
          <w:szCs w:val="24"/>
        </w:rPr>
        <w:t>, 28”(2), 178-192.</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Klugman, J. (2014). Social and cultural pressures and absenteeism in girls. “</w:t>
      </w:r>
      <w:r>
        <w:rPr>
          <w:rFonts w:ascii="Times New Roman" w:cs="Times New Roman" w:hAnsi="Times New Roman"/>
          <w:i/>
          <w:color w:val="000000"/>
          <w:sz w:val="24"/>
          <w:szCs w:val="24"/>
        </w:rPr>
        <w:t>Gender and Education</w:t>
      </w:r>
      <w:r>
        <w:rPr>
          <w:rFonts w:ascii="Times New Roman" w:cs="Times New Roman" w:hAnsi="Times New Roman"/>
          <w:color w:val="000000"/>
          <w:sz w:val="24"/>
          <w:szCs w:val="24"/>
        </w:rPr>
        <w:t>, 26”(3), 231-247.</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Klugman, J. (2014). Social and cultural pressures for young girls to marry and begin a family. “</w:t>
      </w:r>
      <w:r>
        <w:rPr>
          <w:rFonts w:ascii="Times New Roman" w:cs="Times New Roman" w:hAnsi="Times New Roman"/>
          <w:i/>
          <w:color w:val="000000"/>
          <w:sz w:val="24"/>
          <w:szCs w:val="24"/>
        </w:rPr>
        <w:t>Journal of Gender Studies</w:t>
      </w:r>
      <w:r>
        <w:rPr>
          <w:rFonts w:ascii="Times New Roman" w:cs="Times New Roman" w:hAnsi="Times New Roman"/>
          <w:color w:val="000000"/>
          <w:sz w:val="24"/>
          <w:szCs w:val="24"/>
        </w:rPr>
        <w:t>, 12”(1), 88-104.</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Kombo, D., &amp; Tromp, D. (2009). “Project and thesis writing: An introduction”. Pauline Publishers.</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Koros, P. K. A. (2023). The perceived role of parental involvement in secondary school management: Implications for student counselling and managerial decision making in Kericho County, Kenya. </w:t>
      </w:r>
      <w:r>
        <w:rPr>
          <w:rStyle w:val="style88"/>
          <w:rFonts w:ascii="Times New Roman" w:cs="Times New Roman" w:hAnsi="Times New Roman"/>
          <w:color w:val="000000"/>
          <w:sz w:val="24"/>
          <w:szCs w:val="24"/>
        </w:rPr>
        <w:t>International Journal of Research and Innovation in Social Science, 7</w:t>
      </w:r>
      <w:r>
        <w:rPr>
          <w:rFonts w:ascii="Times New Roman" w:cs="Times New Roman" w:hAnsi="Times New Roman"/>
          <w:color w:val="000000"/>
          <w:sz w:val="24"/>
          <w:szCs w:val="24"/>
        </w:rPr>
        <w:t>(4), 1491–1498.</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KNBS. (2014). Socioeconomic impact on school attendance in Kenya. “Kenya National Bureau of Statistics”.</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Knoster, T., &amp; Goodman, L. (2016). The importance of teacher attendance on student learning outcomes in the United States. “</w:t>
      </w:r>
      <w:r>
        <w:rPr>
          <w:rFonts w:ascii="Times New Roman" w:cs="Times New Roman" w:hAnsi="Times New Roman"/>
          <w:i/>
          <w:color w:val="000000"/>
          <w:sz w:val="24"/>
          <w:szCs w:val="24"/>
        </w:rPr>
        <w:t>American Journal of Education</w:t>
      </w:r>
      <w:r>
        <w:rPr>
          <w:rFonts w:ascii="Times New Roman" w:cs="Times New Roman" w:hAnsi="Times New Roman"/>
          <w:color w:val="000000"/>
          <w:sz w:val="24"/>
          <w:szCs w:val="24"/>
        </w:rPr>
        <w:t>, 122”(2), 213-240.</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Kreitz-Sandberg, S., &amp; Fredriksson, U. (2023). </w:t>
      </w:r>
      <w:r>
        <w:rPr>
          <w:rStyle w:val="style88"/>
          <w:rFonts w:ascii="Times New Roman" w:cs="Times New Roman" w:hAnsi="Times New Roman"/>
          <w:color w:val="000000"/>
          <w:sz w:val="24"/>
          <w:szCs w:val="24"/>
        </w:rPr>
        <w:t>Comparative Perspectives on School Attendance, Absenteeism, and Preventive Measures in Europe and Beyond</w:t>
      </w:r>
      <w:r>
        <w:rPr>
          <w:rFonts w:ascii="Times New Roman" w:cs="Times New Roman" w:hAnsi="Times New Roman"/>
          <w:color w:val="000000"/>
          <w:sz w:val="24"/>
          <w:szCs w:val="24"/>
        </w:rPr>
        <w:t xml:space="preserve">. </w:t>
      </w:r>
      <w:r>
        <w:rPr>
          <w:rStyle w:val="style88"/>
          <w:rFonts w:ascii="Times New Roman" w:cs="Times New Roman" w:hAnsi="Times New Roman"/>
          <w:color w:val="000000"/>
          <w:sz w:val="24"/>
          <w:szCs w:val="24"/>
        </w:rPr>
        <w:t>European Education</w:t>
      </w:r>
      <w:r>
        <w:rPr>
          <w:rFonts w:ascii="Times New Roman" w:cs="Times New Roman" w:hAnsi="Times New Roman"/>
          <w:color w:val="000000"/>
          <w:sz w:val="24"/>
          <w:szCs w:val="24"/>
        </w:rPr>
        <w:t>, 55(3–4), 137–147</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Lee, C. (2015). Factors influencing teacher absenteeism and its impact on student attendance in the United States. “</w:t>
      </w:r>
      <w:r>
        <w:rPr>
          <w:rFonts w:ascii="Times New Roman" w:cs="Times New Roman" w:hAnsi="Times New Roman"/>
          <w:i/>
          <w:color w:val="000000"/>
          <w:sz w:val="24"/>
          <w:szCs w:val="24"/>
        </w:rPr>
        <w:t>Journal of Educational Research</w:t>
      </w:r>
      <w:r>
        <w:rPr>
          <w:rFonts w:ascii="Times New Roman" w:cs="Times New Roman" w:hAnsi="Times New Roman"/>
          <w:color w:val="000000"/>
          <w:sz w:val="24"/>
          <w:szCs w:val="24"/>
        </w:rPr>
        <w:t>, 58”(3), 178-192.</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eastAsia="Times New Roman" w:hAnsi="Times New Roman"/>
          <w:color w:val="000000"/>
          <w:sz w:val="24"/>
          <w:szCs w:val="24"/>
        </w:rPr>
        <w:t xml:space="preserve">Lematango, M., &amp; Kathuri, J. (2021). </w:t>
      </w:r>
      <w:r>
        <w:rPr>
          <w:rFonts w:ascii="Times New Roman" w:cs="Times New Roman" w:eastAsia="Times New Roman" w:hAnsi="Times New Roman"/>
          <w:i/>
          <w:iCs/>
          <w:color w:val="000000"/>
          <w:sz w:val="24"/>
          <w:szCs w:val="24"/>
        </w:rPr>
        <w:t>Students’ socio-economic factors influencing learners’ absenteeism in primary schools in Oldonyiro Division, Isiolo County, Kenya</w:t>
      </w:r>
      <w:r>
        <w:rPr>
          <w:rFonts w:ascii="Times New Roman" w:cs="Times New Roman" w:eastAsia="Times New Roman" w:hAnsi="Times New Roman"/>
          <w:color w:val="000000"/>
          <w:sz w:val="24"/>
          <w:szCs w:val="24"/>
        </w:rPr>
        <w:t>. Journal of Education, 5(2), 67–78.</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Lukuba, M. (2015). FGM practices and their effect on girl’s education in Tanzania. “</w:t>
      </w:r>
      <w:r>
        <w:rPr>
          <w:rFonts w:ascii="Times New Roman" w:cs="Times New Roman" w:hAnsi="Times New Roman"/>
          <w:i/>
          <w:color w:val="000000"/>
          <w:sz w:val="24"/>
          <w:szCs w:val="24"/>
        </w:rPr>
        <w:t>African Journal of Education</w:t>
      </w:r>
      <w:r>
        <w:rPr>
          <w:rFonts w:ascii="Times New Roman" w:cs="Times New Roman" w:hAnsi="Times New Roman"/>
          <w:color w:val="000000"/>
          <w:sz w:val="24"/>
          <w:szCs w:val="24"/>
        </w:rPr>
        <w:t>, 20”(2), 134-150.</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Magige, S. (2020). FGM and its impact on absenteeism in rural Kenya. “</w:t>
      </w:r>
      <w:r>
        <w:rPr>
          <w:rFonts w:ascii="Times New Roman" w:cs="Times New Roman" w:hAnsi="Times New Roman"/>
          <w:i/>
          <w:color w:val="000000"/>
          <w:sz w:val="24"/>
          <w:szCs w:val="24"/>
        </w:rPr>
        <w:t>Journal of Gender and Education</w:t>
      </w:r>
      <w:r>
        <w:rPr>
          <w:rFonts w:ascii="Times New Roman" w:cs="Times New Roman" w:hAnsi="Times New Roman"/>
          <w:color w:val="000000"/>
          <w:sz w:val="24"/>
          <w:szCs w:val="24"/>
        </w:rPr>
        <w:t>, 29”(3), 178-194.</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Maina, J. (2018). Effects of student attitudes on academic performance in Nyandarua County. “</w:t>
      </w:r>
      <w:r>
        <w:rPr>
          <w:rFonts w:ascii="Times New Roman" w:cs="Times New Roman" w:hAnsi="Times New Roman"/>
          <w:i/>
          <w:color w:val="000000"/>
          <w:sz w:val="24"/>
          <w:szCs w:val="24"/>
        </w:rPr>
        <w:t>Journal of Educational Policy and Entrepreneurial Research</w:t>
      </w:r>
      <w:r>
        <w:rPr>
          <w:rFonts w:ascii="Times New Roman" w:cs="Times New Roman" w:hAnsi="Times New Roman"/>
          <w:color w:val="000000"/>
          <w:sz w:val="24"/>
          <w:szCs w:val="24"/>
        </w:rPr>
        <w:t>, 5”(5), 13-27.</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Marakis, A. (2022). Impact of security measures on student absenteeism in Uganda. “</w:t>
      </w:r>
      <w:r>
        <w:rPr>
          <w:rFonts w:ascii="Times New Roman" w:cs="Times New Roman" w:hAnsi="Times New Roman"/>
          <w:i/>
          <w:color w:val="000000"/>
          <w:sz w:val="24"/>
          <w:szCs w:val="24"/>
        </w:rPr>
        <w:t>International Journal of Education and Security</w:t>
      </w:r>
      <w:r>
        <w:rPr>
          <w:rFonts w:ascii="Times New Roman" w:cs="Times New Roman" w:hAnsi="Times New Roman"/>
          <w:color w:val="000000"/>
          <w:sz w:val="24"/>
          <w:szCs w:val="24"/>
        </w:rPr>
        <w:t>, 30”(2), 123-136.</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Masaba, C. (2017). Impact of teacher support on student attendance in Uganda. “</w:t>
      </w:r>
      <w:r>
        <w:rPr>
          <w:rFonts w:ascii="Times New Roman" w:cs="Times New Roman" w:hAnsi="Times New Roman"/>
          <w:i/>
          <w:color w:val="000000"/>
          <w:sz w:val="24"/>
          <w:szCs w:val="24"/>
        </w:rPr>
        <w:t>Journal of Education and Practice</w:t>
      </w:r>
      <w:r>
        <w:rPr>
          <w:rFonts w:ascii="Times New Roman" w:cs="Times New Roman" w:hAnsi="Times New Roman"/>
          <w:color w:val="000000"/>
          <w:sz w:val="24"/>
          <w:szCs w:val="24"/>
        </w:rPr>
        <w:t>, 8” (15), 56-62.</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eastAsia="Times New Roman" w:hAnsi="Times New Roman"/>
          <w:color w:val="000000"/>
          <w:sz w:val="24"/>
          <w:szCs w:val="24"/>
        </w:rPr>
        <w:t xml:space="preserve">Matage, J., &amp; Begi, N. (2017). </w:t>
      </w:r>
      <w:r>
        <w:rPr>
          <w:rFonts w:ascii="Times New Roman" w:cs="Times New Roman" w:eastAsia="Times New Roman" w:hAnsi="Times New Roman"/>
          <w:i/>
          <w:iCs/>
          <w:color w:val="000000"/>
          <w:sz w:val="24"/>
          <w:szCs w:val="24"/>
        </w:rPr>
        <w:t>Socioeconomic and school factors causing pupils’ absenteeism in lower primary schools in Masaba Sub-County, Nyamira County, Kenya</w:t>
      </w:r>
      <w:r>
        <w:rPr>
          <w:rFonts w:ascii="Times New Roman" w:cs="Times New Roman" w:eastAsia="Times New Roman" w:hAnsi="Times New Roman"/>
          <w:color w:val="000000"/>
          <w:sz w:val="24"/>
          <w:szCs w:val="24"/>
        </w:rPr>
        <w:t>. European Journal of Education Studies, 3(11), 1–16.</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Meyer, J. W., &amp; Rowan, B. (1977). Institutionalized organizations: Formal structure as myth and ceremony. “</w:t>
      </w:r>
      <w:r>
        <w:rPr>
          <w:rFonts w:ascii="Times New Roman" w:cs="Times New Roman" w:hAnsi="Times New Roman"/>
          <w:i/>
          <w:color w:val="000000"/>
          <w:sz w:val="24"/>
          <w:szCs w:val="24"/>
        </w:rPr>
        <w:t>American Journal of Sociology</w:t>
      </w:r>
      <w:r>
        <w:rPr>
          <w:rFonts w:ascii="Times New Roman" w:cs="Times New Roman" w:hAnsi="Times New Roman"/>
          <w:color w:val="000000"/>
          <w:sz w:val="24"/>
          <w:szCs w:val="24"/>
        </w:rPr>
        <w:t>, 83” (2), 340-363.</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Motshoane, P. (2018). Socio-economic challenges affecting school attendance in South Africa. “</w:t>
      </w:r>
      <w:r>
        <w:rPr>
          <w:rFonts w:ascii="Times New Roman" w:cs="Times New Roman" w:hAnsi="Times New Roman"/>
          <w:i/>
          <w:color w:val="000000"/>
          <w:sz w:val="24"/>
          <w:szCs w:val="24"/>
        </w:rPr>
        <w:t>South African Journal of Education</w:t>
      </w:r>
      <w:r>
        <w:rPr>
          <w:rFonts w:ascii="Times New Roman" w:cs="Times New Roman" w:hAnsi="Times New Roman"/>
          <w:color w:val="000000"/>
          <w:sz w:val="24"/>
          <w:szCs w:val="24"/>
        </w:rPr>
        <w:t>, 38” (3), 1-10.</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Mugenda, O. M., &amp; Mugenda, A. G. (2003). “Research methods: Qualitative and quantitative approaches”. African Centre for Technology Studies.</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Mugendi, P. (2011). School infrastructure and its influence on student attendance in Tetu district, Nyeri County, Kenya. “</w:t>
      </w:r>
      <w:r>
        <w:rPr>
          <w:rFonts w:ascii="Times New Roman" w:cs="Times New Roman" w:hAnsi="Times New Roman"/>
          <w:i/>
          <w:color w:val="000000"/>
          <w:sz w:val="24"/>
          <w:szCs w:val="24"/>
        </w:rPr>
        <w:t>Kenya Education Review</w:t>
      </w:r>
      <w:r>
        <w:rPr>
          <w:rFonts w:ascii="Times New Roman" w:cs="Times New Roman" w:hAnsi="Times New Roman"/>
          <w:color w:val="000000"/>
          <w:sz w:val="24"/>
          <w:szCs w:val="24"/>
        </w:rPr>
        <w:t>, 24” (2), 67-81.</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Mugisha, J. (2021). The impact of poverty on school absenteeism: A case study in Uganda. “</w:t>
      </w:r>
      <w:r>
        <w:rPr>
          <w:rFonts w:ascii="Times New Roman" w:cs="Times New Roman" w:hAnsi="Times New Roman"/>
          <w:i/>
          <w:color w:val="000000"/>
          <w:sz w:val="24"/>
          <w:szCs w:val="24"/>
        </w:rPr>
        <w:t>International Journal of Educational Research</w:t>
      </w:r>
      <w:r>
        <w:rPr>
          <w:rFonts w:ascii="Times New Roman" w:cs="Times New Roman" w:hAnsi="Times New Roman"/>
          <w:color w:val="000000"/>
          <w:sz w:val="24"/>
          <w:szCs w:val="24"/>
        </w:rPr>
        <w:t>, 15” (3), 123-135.</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Muheza, E. (2022). Child labor in Tanzania and its effects on school attendance. “</w:t>
      </w:r>
      <w:r>
        <w:rPr>
          <w:rFonts w:ascii="Times New Roman" w:cs="Times New Roman" w:hAnsi="Times New Roman"/>
          <w:i/>
          <w:color w:val="000000"/>
          <w:sz w:val="24"/>
          <w:szCs w:val="24"/>
        </w:rPr>
        <w:t>Journal of Development Studies</w:t>
      </w:r>
      <w:r>
        <w:rPr>
          <w:rFonts w:ascii="Times New Roman" w:cs="Times New Roman" w:hAnsi="Times New Roman"/>
          <w:color w:val="000000"/>
          <w:sz w:val="24"/>
          <w:szCs w:val="24"/>
        </w:rPr>
        <w:t>, 38” (6), 947-960.</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Musisi, J. (2019). Poor infrastructure and student absenteeism in Uganda. “</w:t>
      </w:r>
      <w:r>
        <w:rPr>
          <w:rFonts w:ascii="Times New Roman" w:cs="Times New Roman" w:hAnsi="Times New Roman"/>
          <w:i/>
          <w:color w:val="000000"/>
          <w:sz w:val="24"/>
          <w:szCs w:val="24"/>
        </w:rPr>
        <w:t>Journal of African Education</w:t>
      </w:r>
      <w:r>
        <w:rPr>
          <w:rFonts w:ascii="Times New Roman" w:cs="Times New Roman" w:hAnsi="Times New Roman"/>
          <w:color w:val="000000"/>
          <w:sz w:val="24"/>
          <w:szCs w:val="24"/>
        </w:rPr>
        <w:t>, 14” (3), 113-126.</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Musyoka, M., Kilonzo, L., &amp; Muthoni, N. (2022). Impact of teacher teamwork on student absenteeism in rural primary schools in Kenya. “</w:t>
      </w:r>
      <w:r>
        <w:rPr>
          <w:rFonts w:ascii="Times New Roman" w:cs="Times New Roman" w:hAnsi="Times New Roman"/>
          <w:i/>
          <w:color w:val="000000"/>
          <w:sz w:val="24"/>
          <w:szCs w:val="24"/>
        </w:rPr>
        <w:t>Journal of African Education</w:t>
      </w:r>
      <w:r>
        <w:rPr>
          <w:rFonts w:ascii="Times New Roman" w:cs="Times New Roman" w:hAnsi="Times New Roman"/>
          <w:color w:val="000000"/>
          <w:sz w:val="24"/>
          <w:szCs w:val="24"/>
        </w:rPr>
        <w:t>, 13” (1), 55-72.</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Mutua, J. (2004). Alternative disciplinary strategies in Machakos District, Kenya. “</w:t>
      </w:r>
      <w:r>
        <w:rPr>
          <w:rFonts w:ascii="Times New Roman" w:cs="Times New Roman" w:hAnsi="Times New Roman"/>
          <w:i/>
          <w:color w:val="000000"/>
          <w:sz w:val="24"/>
          <w:szCs w:val="24"/>
        </w:rPr>
        <w:t>Journal of Education and Practice</w:t>
      </w:r>
      <w:r>
        <w:rPr>
          <w:rFonts w:ascii="Times New Roman" w:cs="Times New Roman" w:hAnsi="Times New Roman"/>
          <w:color w:val="000000"/>
          <w:sz w:val="24"/>
          <w:szCs w:val="24"/>
        </w:rPr>
        <w:t>, 9” (2), 34-50.</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Mwamwaja, K. (2018). Corporal punishment and student absenteeism in Tanzania. “</w:t>
      </w:r>
      <w:r>
        <w:rPr>
          <w:rFonts w:ascii="Times New Roman" w:cs="Times New Roman" w:hAnsi="Times New Roman"/>
          <w:i/>
          <w:color w:val="000000"/>
          <w:sz w:val="24"/>
          <w:szCs w:val="24"/>
        </w:rPr>
        <w:t>African Journal of Education,</w:t>
      </w:r>
      <w:r>
        <w:rPr>
          <w:rFonts w:ascii="Times New Roman" w:cs="Times New Roman" w:hAnsi="Times New Roman"/>
          <w:color w:val="000000"/>
          <w:sz w:val="24"/>
          <w:szCs w:val="24"/>
        </w:rPr>
        <w:t xml:space="preserve"> 29” (4), 167-181.</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National Center for Education Statistics. (2019). Chronic absenteeism in U.S. schools: A hidden educational crisis. U.S. Department of Education.</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NCCP. (2019). Poverty and absenteeism in the United States. “National Center for Children in Poverty”.</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Njogu, A. (2015). Challenges faced by girls undergoing FGM in balancing education and recovery. “</w:t>
      </w:r>
      <w:r>
        <w:rPr>
          <w:rFonts w:ascii="Times New Roman" w:cs="Times New Roman" w:hAnsi="Times New Roman"/>
          <w:i/>
          <w:color w:val="000000"/>
          <w:sz w:val="24"/>
          <w:szCs w:val="24"/>
        </w:rPr>
        <w:t>Journal of African Gender Studies</w:t>
      </w:r>
      <w:r>
        <w:rPr>
          <w:rFonts w:ascii="Times New Roman" w:cs="Times New Roman" w:hAnsi="Times New Roman"/>
          <w:color w:val="000000"/>
          <w:sz w:val="24"/>
          <w:szCs w:val="24"/>
        </w:rPr>
        <w:t>, 20” (3), 45-60.</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Nzau, E. M. (2015). Influence of parental involvement on pupils KCPE performance in public primary schools in Kanziko Zone, Kitui County, Kenya. “</w:t>
      </w:r>
      <w:r>
        <w:rPr>
          <w:rFonts w:ascii="Times New Roman" w:cs="Times New Roman" w:hAnsi="Times New Roman"/>
          <w:i/>
          <w:color w:val="000000"/>
          <w:sz w:val="24"/>
          <w:szCs w:val="24"/>
        </w:rPr>
        <w:t>Journal of Educational Research</w:t>
      </w:r>
      <w:r>
        <w:rPr>
          <w:rFonts w:ascii="Times New Roman" w:cs="Times New Roman" w:hAnsi="Times New Roman"/>
          <w:color w:val="000000"/>
          <w:sz w:val="24"/>
          <w:szCs w:val="24"/>
        </w:rPr>
        <w:t>, 40” (1), 55-70.</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Odhiambo, G. (2020). Cultural beliefs and educational practices in Kenya. “</w:t>
      </w:r>
      <w:r>
        <w:rPr>
          <w:rFonts w:ascii="Times New Roman" w:cs="Times New Roman" w:hAnsi="Times New Roman"/>
          <w:i/>
          <w:color w:val="000000"/>
          <w:sz w:val="24"/>
          <w:szCs w:val="24"/>
        </w:rPr>
        <w:t>African Journal of Education Studies</w:t>
      </w:r>
      <w:r>
        <w:rPr>
          <w:rFonts w:ascii="Times New Roman" w:cs="Times New Roman" w:hAnsi="Times New Roman"/>
          <w:color w:val="000000"/>
          <w:sz w:val="24"/>
          <w:szCs w:val="24"/>
        </w:rPr>
        <w:t>, 9” (2), 76-89.</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Obiero, F., Mwebi, B., &amp; Nyang’ara, A. (2017). Factors influencing teacher absenteeism in Borabu Sub-County, Kenya. “</w:t>
      </w:r>
      <w:r>
        <w:rPr>
          <w:rFonts w:ascii="Times New Roman" w:cs="Times New Roman" w:hAnsi="Times New Roman"/>
          <w:i/>
          <w:color w:val="000000"/>
          <w:sz w:val="24"/>
          <w:szCs w:val="24"/>
        </w:rPr>
        <w:t>International Journal of Educational Research</w:t>
      </w:r>
      <w:r>
        <w:rPr>
          <w:rFonts w:ascii="Times New Roman" w:cs="Times New Roman" w:hAnsi="Times New Roman"/>
          <w:color w:val="000000"/>
          <w:sz w:val="24"/>
          <w:szCs w:val="24"/>
        </w:rPr>
        <w:t>, 15”(1), 34-49.</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Oketch, M. (2007). Barriers to school attendance for low-income families in Kenya. </w:t>
      </w:r>
      <w:r>
        <w:rPr>
          <w:rFonts w:ascii="Times New Roman" w:cs="Times New Roman" w:hAnsi="Times New Roman"/>
          <w:i/>
          <w:color w:val="000000"/>
          <w:sz w:val="24"/>
          <w:szCs w:val="24"/>
        </w:rPr>
        <w:t>“Comparative Education Review</w:t>
      </w:r>
      <w:r>
        <w:rPr>
          <w:rFonts w:ascii="Times New Roman" w:cs="Times New Roman" w:hAnsi="Times New Roman"/>
          <w:color w:val="000000"/>
          <w:sz w:val="24"/>
          <w:szCs w:val="24"/>
        </w:rPr>
        <w:t>, 51”(4), 499-523.</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eastAsia="Times New Roman" w:hAnsi="Times New Roman"/>
          <w:color w:val="000000"/>
          <w:sz w:val="24"/>
          <w:szCs w:val="24"/>
        </w:rPr>
        <w:t xml:space="preserve">Plapan, L. J., Okutu, A., &amp; Situma, J. (2024). </w:t>
      </w:r>
      <w:r>
        <w:rPr>
          <w:rFonts w:ascii="Times New Roman" w:cs="Times New Roman" w:eastAsia="Times New Roman" w:hAnsi="Times New Roman"/>
          <w:i/>
          <w:iCs/>
          <w:color w:val="000000"/>
          <w:sz w:val="24"/>
          <w:szCs w:val="24"/>
        </w:rPr>
        <w:t>Effects of retrogressive cultural practices on learners in public primary schools in West Pokot County, Kenya</w:t>
      </w:r>
      <w:r>
        <w:rPr>
          <w:rFonts w:ascii="Times New Roman" w:cs="Times New Roman" w:eastAsia="Times New Roman" w:hAnsi="Times New Roman"/>
          <w:color w:val="000000"/>
          <w:sz w:val="24"/>
          <w:szCs w:val="24"/>
        </w:rPr>
        <w:t>. Journal of Research in Innovative Education, 8(4), 531–543.</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Prakash, P. (2017). School absenteeism among low-caste children in India. “</w:t>
      </w:r>
      <w:r>
        <w:rPr>
          <w:rFonts w:ascii="Times New Roman" w:cs="Times New Roman" w:hAnsi="Times New Roman"/>
          <w:i/>
          <w:color w:val="000000"/>
          <w:sz w:val="24"/>
          <w:szCs w:val="24"/>
        </w:rPr>
        <w:t>Journal of Education Research</w:t>
      </w:r>
      <w:r>
        <w:rPr>
          <w:rFonts w:ascii="Times New Roman" w:cs="Times New Roman" w:hAnsi="Times New Roman"/>
          <w:color w:val="000000"/>
          <w:sz w:val="24"/>
          <w:szCs w:val="24"/>
        </w:rPr>
        <w:t>, 15”(3), 123-135.</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Rachel, A. (2020). Early marriages and school absenteeism in East Africa. “</w:t>
      </w:r>
      <w:r>
        <w:rPr>
          <w:rFonts w:ascii="Times New Roman" w:cs="Times New Roman" w:hAnsi="Times New Roman"/>
          <w:i/>
          <w:color w:val="000000"/>
          <w:sz w:val="24"/>
          <w:szCs w:val="24"/>
        </w:rPr>
        <w:t>Journal of Child Marriage Studies</w:t>
      </w:r>
      <w:r>
        <w:rPr>
          <w:rFonts w:ascii="Times New Roman" w:cs="Times New Roman" w:hAnsi="Times New Roman"/>
          <w:color w:val="000000"/>
          <w:sz w:val="24"/>
          <w:szCs w:val="24"/>
        </w:rPr>
        <w:t>, 5”(1), 45-56.</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Ronfeldt, M., Farmer, S. O., McQueen, T., &amp; Grissom, J. (2015). Teacher collaboration and student achievement. “</w:t>
      </w:r>
      <w:r>
        <w:rPr>
          <w:rFonts w:ascii="Times New Roman" w:cs="Times New Roman" w:hAnsi="Times New Roman"/>
          <w:i/>
          <w:color w:val="000000"/>
          <w:sz w:val="24"/>
          <w:szCs w:val="24"/>
        </w:rPr>
        <w:t>Educational Researcher</w:t>
      </w:r>
      <w:r>
        <w:rPr>
          <w:rFonts w:ascii="Times New Roman" w:cs="Times New Roman" w:hAnsi="Times New Roman"/>
          <w:color w:val="000000"/>
          <w:sz w:val="24"/>
          <w:szCs w:val="24"/>
        </w:rPr>
        <w:t>, 44”(1), 15-31.</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Said, N. (2019). Early marriages in Mvita sub-county, Kenya. “</w:t>
      </w:r>
      <w:r>
        <w:rPr>
          <w:rFonts w:ascii="Times New Roman" w:cs="Times New Roman" w:hAnsi="Times New Roman"/>
          <w:i/>
          <w:color w:val="000000"/>
          <w:sz w:val="24"/>
          <w:szCs w:val="24"/>
        </w:rPr>
        <w:t>African Journal of Education</w:t>
      </w:r>
      <w:r>
        <w:rPr>
          <w:rFonts w:ascii="Times New Roman" w:cs="Times New Roman" w:hAnsi="Times New Roman"/>
          <w:color w:val="000000"/>
          <w:sz w:val="24"/>
          <w:szCs w:val="24"/>
        </w:rPr>
        <w:t>, 29”(1), 89-104.</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Somanah, R. (2024). University students’ mental health in sub-Saharan Africa: A systematic review. “Mental Health &amp; Prevention, 9”(4), 95-108.</w:t>
      </w:r>
    </w:p>
    <w:p>
      <w:pPr>
        <w:pStyle w:val="style0"/>
        <w:spacing w:lineRule="auto" w:line="360"/>
        <w:ind w:left="709" w:hanging="709"/>
        <w:jc w:val="both"/>
        <w:rPr>
          <w:rFonts w:ascii="Times New Roman" w:cs="Times New Roman" w:hAnsi="Times New Roman"/>
          <w:b/>
          <w:color w:val="000000"/>
          <w:sz w:val="24"/>
          <w:szCs w:val="24"/>
        </w:rPr>
      </w:pPr>
      <w:r>
        <w:rPr>
          <w:rFonts w:ascii="Times New Roman" w:cs="Times New Roman" w:eastAsia="Times New Roman" w:hAnsi="Times New Roman"/>
          <w:color w:val="000000"/>
          <w:sz w:val="24"/>
          <w:szCs w:val="24"/>
        </w:rPr>
        <w:t xml:space="preserve">Twaweza. (2021). </w:t>
      </w:r>
      <w:r>
        <w:rPr>
          <w:rFonts w:ascii="Times New Roman" w:cs="Times New Roman" w:eastAsia="Times New Roman" w:hAnsi="Times New Roman"/>
          <w:i/>
          <w:iCs/>
          <w:color w:val="000000"/>
          <w:sz w:val="24"/>
          <w:szCs w:val="24"/>
        </w:rPr>
        <w:t>Teacher and pupil absenteeism and parental and community involvement in education in Kenya</w:t>
      </w:r>
      <w:r>
        <w:rPr>
          <w:rFonts w:ascii="Times New Roman" w:cs="Times New Roman" w:eastAsia="Times New Roman" w:hAnsi="Times New Roman"/>
          <w:color w:val="000000"/>
          <w:sz w:val="24"/>
          <w:szCs w:val="24"/>
        </w:rPr>
        <w:t>. Twaweza Monitoring Series Brief No. 22.</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UNICEF Office of Research – Innocenti. (2020). </w:t>
      </w:r>
      <w:r>
        <w:rPr>
          <w:rStyle w:val="style88"/>
          <w:rFonts w:ascii="Times New Roman" w:cs="Times New Roman" w:hAnsi="Times New Roman"/>
          <w:color w:val="000000"/>
          <w:sz w:val="24"/>
          <w:szCs w:val="24"/>
        </w:rPr>
        <w:t>Time to Teach: Teacher attendance and time on task in primary schools, Kenya</w:t>
      </w:r>
      <w:r>
        <w:rPr>
          <w:rFonts w:ascii="Times New Roman" w:cs="Times New Roman" w:hAnsi="Times New Roman"/>
          <w:color w:val="000000"/>
          <w:sz w:val="24"/>
          <w:szCs w:val="24"/>
        </w:rPr>
        <w:t>. Innocenti, Florence.</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UNFP. (2020). “Global estimates of early marriages”. United Nations Population Fund.</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UNESCO. (2007). “Child labor trends and challenges”. United Nations Educational, Scientific and Cultural Organization.</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UNESCO. (2017). “Early marriages and education”. United Nations Educational, Scientific and Cultural Organization.</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UNESCO. (2020). “The impact of economic status on education”. UNESCO Publishing.</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UNESCO. (2020). “Global education monitoring report 2020: Inclusion and education”. UNESCO Publishing.</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UNICEF. (2020). “School absenteeism and basic needs in Africa”. United Nations International Children's Emergency Fund.</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Wadesango, N. (2011). Causes and structural effects of student absenteeism in South African universities. “</w:t>
      </w:r>
      <w:r>
        <w:rPr>
          <w:rFonts w:ascii="Times New Roman" w:cs="Times New Roman" w:hAnsi="Times New Roman"/>
          <w:i/>
          <w:color w:val="000000"/>
          <w:sz w:val="24"/>
          <w:szCs w:val="24"/>
        </w:rPr>
        <w:t>Journal of Social Sciences</w:t>
      </w:r>
      <w:r>
        <w:rPr>
          <w:rFonts w:ascii="Times New Roman" w:cs="Times New Roman" w:hAnsi="Times New Roman"/>
          <w:color w:val="000000"/>
          <w:sz w:val="24"/>
          <w:szCs w:val="24"/>
        </w:rPr>
        <w:t>, 28”(3), 151-160.</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Wambua, D. (2015). Factors influencing teacher absenteeism in Ruiru Constituency, Kiambu County, Kenya. “</w:t>
      </w:r>
      <w:r>
        <w:rPr>
          <w:rFonts w:ascii="Times New Roman" w:cs="Times New Roman" w:hAnsi="Times New Roman"/>
          <w:i/>
          <w:color w:val="000000"/>
          <w:sz w:val="24"/>
          <w:szCs w:val="24"/>
        </w:rPr>
        <w:t>Kenya Educational Review</w:t>
      </w:r>
      <w:r>
        <w:rPr>
          <w:rFonts w:ascii="Times New Roman" w:cs="Times New Roman" w:hAnsi="Times New Roman"/>
          <w:color w:val="000000"/>
          <w:sz w:val="24"/>
          <w:szCs w:val="24"/>
        </w:rPr>
        <w:t>, 30”(2), 78-91.</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 World Bank. (2018). “the impact of poverty on education in East Africa”. World Bank Group.</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Xaba, M. (2006). Unsafe school environment and student absenteeism in South Africa. “South African Journal of Education, 26”(2), 87-102.</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eastAsia="Times New Roman" w:hAnsi="Times New Roman"/>
          <w:color w:val="000000"/>
          <w:sz w:val="24"/>
          <w:szCs w:val="24"/>
        </w:rPr>
        <w:t>Yahaya, M., Braimah, I., Adu</w:t>
      </w:r>
      <w:r>
        <w:rPr>
          <w:rFonts w:ascii="Times New Roman" w:cs="Times New Roman" w:eastAsia="Times New Roman" w:hAnsi="Times New Roman"/>
          <w:color w:val="000000"/>
          <w:sz w:val="24"/>
          <w:szCs w:val="24"/>
        </w:rPr>
        <w:noBreakHyphen/>
      </w:r>
      <w:r>
        <w:rPr>
          <w:rFonts w:ascii="Times New Roman" w:cs="Times New Roman" w:eastAsia="Times New Roman" w:hAnsi="Times New Roman"/>
          <w:color w:val="000000"/>
          <w:sz w:val="24"/>
          <w:szCs w:val="24"/>
        </w:rPr>
        <w:t xml:space="preserve">Gyamfi, A., &amp; Nanor, M. A. (2025). Built environment of basic schools and performance outcomes in rural Ghana: Learners’ voice. </w:t>
      </w:r>
      <w:r>
        <w:rPr>
          <w:rFonts w:ascii="Times New Roman" w:cs="Times New Roman" w:eastAsia="Times New Roman" w:hAnsi="Times New Roman"/>
          <w:i/>
          <w:iCs/>
          <w:color w:val="000000"/>
          <w:sz w:val="24"/>
          <w:szCs w:val="24"/>
        </w:rPr>
        <w:t>Discover Education, 4</w:t>
      </w:r>
      <w:r>
        <w:rPr>
          <w:rFonts w:ascii="Times New Roman" w:cs="Times New Roman" w:eastAsia="Times New Roman" w:hAnsi="Times New Roman"/>
          <w:color w:val="000000"/>
          <w:sz w:val="24"/>
          <w:szCs w:val="24"/>
        </w:rPr>
        <w:t>, Article 96.</w:t>
      </w:r>
    </w:p>
    <w:p>
      <w:pPr>
        <w:pStyle w:val="style0"/>
        <w:spacing w:lineRule="auto" w:line="360"/>
        <w:ind w:left="709" w:hanging="709"/>
        <w:jc w:val="both"/>
        <w:rPr>
          <w:rFonts w:ascii="Times New Roman" w:cs="Times New Roman" w:hAnsi="Times New Roman"/>
          <w:color w:val="000000"/>
          <w:sz w:val="24"/>
          <w:szCs w:val="24"/>
        </w:rPr>
      </w:pPr>
      <w:r>
        <w:rPr>
          <w:rFonts w:ascii="Times New Roman" w:cs="Times New Roman" w:hAnsi="Times New Roman"/>
          <w:color w:val="000000"/>
          <w:sz w:val="24"/>
          <w:szCs w:val="24"/>
        </w:rPr>
        <w:t>Zaki, M. (2016). Early marriages and school dropout in South Asia. “</w:t>
      </w:r>
      <w:r>
        <w:rPr>
          <w:rFonts w:ascii="Times New Roman" w:cs="Times New Roman" w:hAnsi="Times New Roman"/>
          <w:i/>
          <w:color w:val="000000"/>
          <w:sz w:val="24"/>
          <w:szCs w:val="24"/>
        </w:rPr>
        <w:t>Journal of Development Policy and Practice</w:t>
      </w:r>
      <w:r>
        <w:rPr>
          <w:rFonts w:ascii="Times New Roman" w:cs="Times New Roman" w:hAnsi="Times New Roman"/>
          <w:color w:val="000000"/>
          <w:sz w:val="24"/>
          <w:szCs w:val="24"/>
        </w:rPr>
        <w:t>, 1”(2), 173-192.</w:t>
      </w:r>
    </w:p>
    <w:bookmarkStart w:id="168" w:name="_Toc216513841"/>
    <w:p>
      <w:pPr>
        <w:pStyle w:val="style1"/>
        <w:spacing w:lineRule="auto" w:line="360"/>
        <w:ind w:left="0" w:firstLine="0"/>
        <w:rPr>
          <w:color w:val="000000"/>
        </w:rPr>
      </w:pPr>
      <w:r>
        <w:rPr>
          <w:color w:val="000000"/>
        </w:rPr>
        <w:t>APPENDIX I: LETTER OF INTRODUCTION</w:t>
      </w:r>
      <w:bookmarkEnd w:id="168"/>
    </w:p>
    <w:p>
      <w:pPr>
        <w:pStyle w:val="style0"/>
        <w:spacing w:lineRule="auto" w:line="360"/>
        <w:rPr>
          <w:rFonts w:ascii="Times New Roman" w:cs="Times New Roman" w:hAnsi="Times New Roman"/>
          <w:b/>
          <w:color w:val="000000"/>
          <w:sz w:val="24"/>
          <w:szCs w:val="24"/>
        </w:rPr>
      </w:pPr>
      <w:r>
        <w:rPr>
          <w:rFonts w:ascii="Times New Roman" w:cs="Times New Roman" w:eastAsia="SimSun" w:hAnsi="Times New Roman"/>
          <w:b/>
          <w:bCs/>
          <w:color w:val="000000"/>
          <w:sz w:val="24"/>
          <w:szCs w:val="24"/>
          <w:lang w:eastAsia="zh-CN"/>
        </w:rPr>
        <w:t>IFRAH MAHAT,</w:t>
      </w:r>
    </w:p>
    <w:p>
      <w:pPr>
        <w:pStyle w:val="style0"/>
        <w:spacing w:lineRule="auto" w:line="360"/>
        <w:rPr>
          <w:rFonts w:ascii="Times New Roman" w:cs="Times New Roman" w:hAnsi="Times New Roman"/>
          <w:b/>
          <w:color w:val="000000"/>
          <w:sz w:val="24"/>
          <w:szCs w:val="24"/>
        </w:rPr>
      </w:pPr>
      <w:r>
        <w:rPr>
          <w:rFonts w:ascii="Times New Roman" w:cs="Times New Roman" w:eastAsia="SimSun" w:hAnsi="Times New Roman"/>
          <w:b/>
          <w:bCs/>
          <w:color w:val="000000"/>
          <w:sz w:val="24"/>
          <w:szCs w:val="24"/>
          <w:lang w:eastAsia="zh-CN"/>
        </w:rPr>
        <w:t>P.O Box 1164-70100,</w:t>
      </w:r>
    </w:p>
    <w:p>
      <w:pPr>
        <w:pStyle w:val="style0"/>
        <w:spacing w:lineRule="auto" w:line="360"/>
        <w:rPr>
          <w:rFonts w:ascii="Times New Roman" w:cs="Times New Roman" w:hAnsi="Times New Roman"/>
          <w:b/>
          <w:color w:val="000000"/>
          <w:sz w:val="24"/>
          <w:szCs w:val="24"/>
        </w:rPr>
      </w:pPr>
      <w:r>
        <w:rPr>
          <w:rFonts w:ascii="Times New Roman" w:cs="Times New Roman" w:eastAsia="SimSun" w:hAnsi="Times New Roman"/>
          <w:b/>
          <w:bCs/>
          <w:color w:val="000000"/>
          <w:sz w:val="24"/>
          <w:szCs w:val="24"/>
          <w:lang w:eastAsia="zh-CN"/>
        </w:rPr>
        <w:t>GARISSA.</w:t>
      </w:r>
    </w:p>
    <w:p>
      <w:pPr>
        <w:pStyle w:val="style0"/>
        <w:spacing w:lineRule="auto" w:line="360"/>
        <w:rPr>
          <w:rFonts w:ascii="Times New Roman" w:cs="Times New Roman" w:hAnsi="Times New Roman"/>
          <w:b/>
          <w:color w:val="000000"/>
          <w:sz w:val="24"/>
          <w:szCs w:val="24"/>
        </w:rPr>
      </w:pPr>
    </w:p>
    <w:p>
      <w:pPr>
        <w:pStyle w:val="style0"/>
        <w:spacing w:lineRule="auto" w:line="360"/>
        <w:rPr>
          <w:rFonts w:ascii="Times New Roman" w:cs="Times New Roman" w:hAnsi="Times New Roman"/>
          <w:b/>
          <w:color w:val="000000"/>
          <w:sz w:val="24"/>
          <w:szCs w:val="24"/>
        </w:rPr>
      </w:pPr>
      <w:r>
        <w:rPr>
          <w:rFonts w:ascii="Times New Roman" w:cs="Times New Roman" w:eastAsia="SimSun" w:hAnsi="Times New Roman"/>
          <w:b/>
          <w:bCs/>
          <w:color w:val="000000"/>
          <w:sz w:val="24"/>
          <w:szCs w:val="24"/>
          <w:lang w:eastAsia="zh-CN"/>
        </w:rPr>
        <w:t>To the HOI,</w:t>
      </w:r>
    </w:p>
    <w:p>
      <w:pPr>
        <w:pStyle w:val="style0"/>
        <w:spacing w:lineRule="auto" w:line="360"/>
        <w:rPr>
          <w:rFonts w:ascii="Times New Roman" w:cs="Times New Roman" w:hAnsi="Times New Roman"/>
          <w:b/>
          <w:color w:val="000000"/>
          <w:sz w:val="24"/>
          <w:szCs w:val="24"/>
        </w:rPr>
      </w:pPr>
      <w:r>
        <w:rPr>
          <w:rFonts w:ascii="Times New Roman" w:cs="Times New Roman" w:eastAsia="SimSun" w:hAnsi="Times New Roman"/>
          <w:b/>
          <w:bCs/>
          <w:color w:val="000000"/>
          <w:sz w:val="24"/>
          <w:szCs w:val="24"/>
          <w:lang w:eastAsia="zh-CN"/>
        </w:rPr>
        <w:t>Dear sir/madam,</w:t>
      </w:r>
    </w:p>
    <w:p>
      <w:pPr>
        <w:pStyle w:val="style0"/>
        <w:spacing w:lineRule="auto" w:line="360"/>
        <w:rPr>
          <w:rFonts w:ascii="Times New Roman" w:cs="Times New Roman" w:hAnsi="Times New Roman"/>
          <w:b/>
          <w:color w:val="000000"/>
          <w:sz w:val="24"/>
          <w:szCs w:val="24"/>
        </w:rPr>
      </w:pPr>
    </w:p>
    <w:p>
      <w:pPr>
        <w:pStyle w:val="style0"/>
        <w:spacing w:lineRule="auto" w:line="360"/>
        <w:rPr>
          <w:rFonts w:ascii="Times New Roman" w:cs="Times New Roman" w:hAnsi="Times New Roman"/>
          <w:b/>
          <w:color w:val="000000"/>
          <w:sz w:val="24"/>
          <w:szCs w:val="24"/>
        </w:rPr>
      </w:pPr>
      <w:r>
        <w:rPr>
          <w:rFonts w:ascii="Times New Roman" w:cs="Times New Roman" w:eastAsia="SimSun" w:hAnsi="Times New Roman"/>
          <w:b/>
          <w:bCs/>
          <w:color w:val="000000"/>
          <w:sz w:val="24"/>
          <w:szCs w:val="24"/>
          <w:lang w:eastAsia="zh-CN"/>
        </w:rPr>
        <w:t>RE: PARTICIPATION IN RESEARCH.</w:t>
      </w:r>
    </w:p>
    <w:p>
      <w:pPr>
        <w:pStyle w:val="style0"/>
        <w:spacing w:lineRule="auto" w:line="360"/>
        <w:rPr>
          <w:rFonts w:ascii="Times New Roman" w:cs="Times New Roman" w:hAnsi="Times New Roman"/>
          <w:b/>
          <w:color w:val="000000"/>
          <w:sz w:val="24"/>
          <w:szCs w:val="24"/>
        </w:rPr>
      </w:pPr>
      <w:r>
        <w:rPr>
          <w:rFonts w:ascii="Times New Roman" w:cs="Times New Roman" w:eastAsia="SimSun" w:hAnsi="Times New Roman"/>
          <w:color w:val="000000"/>
          <w:sz w:val="24"/>
          <w:szCs w:val="24"/>
          <w:lang w:eastAsia="zh-CN"/>
        </w:rPr>
        <w:t xml:space="preserve">I am a post graduate student at the University of Garissa undertaking a Master of Education Course in Education Administration. I’m carrying out research in primary schools in Bangal Sub-County as part of the course. The topic of the study is </w:t>
      </w:r>
      <w:r>
        <w:rPr>
          <w:rFonts w:ascii="Times New Roman" w:cs="Times New Roman" w:eastAsia="SimSun" w:hAnsi="Times New Roman"/>
          <w:b/>
          <w:bCs/>
          <w:color w:val="000000"/>
          <w:sz w:val="24"/>
          <w:szCs w:val="24"/>
          <w:lang w:eastAsia="zh-CN"/>
        </w:rPr>
        <w:t xml:space="preserve">‘Determinants of learner’s absenteeism in public primary schools in Bangal Sub-County. </w:t>
      </w:r>
      <w:r>
        <w:rPr>
          <w:rFonts w:ascii="Times New Roman" w:cs="Times New Roman" w:eastAsia="SimSun" w:hAnsi="Times New Roman"/>
          <w:color w:val="000000"/>
          <w:sz w:val="24"/>
          <w:szCs w:val="24"/>
          <w:lang w:eastAsia="zh-CN"/>
        </w:rPr>
        <w:t>Your school has been randomly selected for this study. Please allow me to conduct research in your school between you and your teachers. This study is purely for academic purposes and therefore the information collected will be treated with strict confidentiality.</w:t>
      </w:r>
    </w:p>
    <w:p>
      <w:pPr>
        <w:pStyle w:val="style0"/>
        <w:spacing w:lineRule="auto" w:line="360"/>
        <w:rPr>
          <w:rFonts w:ascii="Times New Roman" w:cs="Times New Roman" w:hAnsi="Times New Roman"/>
          <w:b/>
          <w:color w:val="000000"/>
          <w:sz w:val="24"/>
          <w:szCs w:val="24"/>
        </w:rPr>
      </w:pPr>
      <w:r>
        <w:rPr>
          <w:rFonts w:ascii="Times New Roman" w:cs="Times New Roman" w:eastAsia="SimSun" w:hAnsi="Times New Roman"/>
          <w:color w:val="000000"/>
          <w:sz w:val="24"/>
          <w:szCs w:val="24"/>
          <w:lang w:eastAsia="zh-CN"/>
        </w:rPr>
        <w:t>Thank you.</w:t>
      </w:r>
    </w:p>
    <w:p>
      <w:pPr>
        <w:pStyle w:val="style0"/>
        <w:spacing w:lineRule="auto" w:line="360"/>
        <w:rPr>
          <w:rFonts w:ascii="Times New Roman" w:cs="Times New Roman" w:hAnsi="Times New Roman"/>
          <w:b/>
          <w:color w:val="000000"/>
          <w:sz w:val="24"/>
          <w:szCs w:val="24"/>
        </w:rPr>
      </w:pPr>
    </w:p>
    <w:p>
      <w:pPr>
        <w:pStyle w:val="style0"/>
        <w:spacing w:lineRule="auto" w:line="360"/>
        <w:rPr>
          <w:rFonts w:ascii="Times New Roman" w:cs="Times New Roman" w:hAnsi="Times New Roman"/>
          <w:b/>
          <w:color w:val="000000"/>
          <w:sz w:val="24"/>
          <w:szCs w:val="24"/>
        </w:rPr>
      </w:pPr>
      <w:r>
        <w:rPr>
          <w:rFonts w:ascii="Times New Roman" w:cs="Times New Roman" w:eastAsia="SimSun" w:hAnsi="Times New Roman"/>
          <w:color w:val="000000"/>
          <w:sz w:val="24"/>
          <w:szCs w:val="24"/>
          <w:lang w:eastAsia="zh-CN"/>
        </w:rPr>
        <w:t>Yours sincerely,</w:t>
      </w:r>
    </w:p>
    <w:p>
      <w:pPr>
        <w:pStyle w:val="style0"/>
        <w:spacing w:lineRule="auto" w:line="360"/>
        <w:rPr>
          <w:rFonts w:ascii="Times New Roman" w:cs="Times New Roman" w:hAnsi="Times New Roman"/>
          <w:b/>
          <w:color w:val="000000"/>
          <w:sz w:val="24"/>
          <w:szCs w:val="24"/>
        </w:rPr>
      </w:pPr>
      <w:r>
        <w:rPr>
          <w:rFonts w:ascii="Times New Roman" w:cs="Times New Roman" w:eastAsia="SimSun" w:hAnsi="Times New Roman"/>
          <w:color w:val="000000"/>
          <w:sz w:val="24"/>
          <w:szCs w:val="24"/>
          <w:lang w:eastAsia="zh-CN"/>
        </w:rPr>
        <w:t>IFRAH MAHAT.</w:t>
      </w:r>
    </w:p>
    <w:p>
      <w:pPr>
        <w:pStyle w:val="style0"/>
        <w:spacing w:after="200" w:lineRule="auto" w:line="276"/>
        <w:rPr>
          <w:rFonts w:ascii="Times New Roman" w:cs="Times New Roman" w:hAnsi="Times New Roman"/>
          <w:b/>
          <w:color w:val="000000"/>
          <w:sz w:val="24"/>
          <w:szCs w:val="24"/>
        </w:rPr>
      </w:pPr>
      <w:r>
        <w:rPr>
          <w:rFonts w:ascii="Times New Roman" w:cs="Times New Roman" w:hAnsi="Times New Roman"/>
          <w:b/>
          <w:color w:val="000000"/>
          <w:sz w:val="24"/>
          <w:szCs w:val="24"/>
        </w:rPr>
        <w:br w:type="page"/>
      </w:r>
    </w:p>
    <w:bookmarkStart w:id="169" w:name="_Toc216513842"/>
    <w:p>
      <w:pPr>
        <w:pStyle w:val="style1"/>
        <w:spacing w:lineRule="auto" w:line="360"/>
        <w:ind w:left="0" w:firstLine="0"/>
        <w:rPr>
          <w:color w:val="000000"/>
        </w:rPr>
      </w:pPr>
      <w:r>
        <w:rPr>
          <w:color w:val="000000"/>
        </w:rPr>
        <w:t>APPENDIX II: QUESTIONNAIRES FOR TEACHERS</w:t>
      </w:r>
      <w:bookmarkEnd w:id="167"/>
      <w:bookmarkEnd w:id="169"/>
    </w:p>
    <w:p>
      <w:pPr>
        <w:pStyle w:val="style0"/>
        <w:spacing w:after="0" w:lineRule="auto" w:line="360"/>
        <w:jc w:val="both"/>
        <w:rPr>
          <w:rFonts w:ascii="Times New Roman" w:cs="Times New Roman" w:hAnsi="Times New Roman"/>
          <w:i/>
          <w:color w:val="000000"/>
          <w:sz w:val="24"/>
          <w:szCs w:val="24"/>
        </w:rPr>
      </w:pPr>
      <w:r>
        <w:rPr>
          <w:rFonts w:ascii="Times New Roman" w:cs="Times New Roman" w:hAnsi="Times New Roman"/>
          <w:i/>
          <w:color w:val="000000"/>
          <w:sz w:val="24"/>
          <w:szCs w:val="24"/>
        </w:rPr>
        <w:t xml:space="preserve">Kindly fill in the questionnaire and tick where appropriate. </w:t>
      </w:r>
    </w:p>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 xml:space="preserve">SECTION A: Background </w:t>
      </w:r>
    </w:p>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1. Gender:  Male [   ]    Female [  ]</w:t>
      </w:r>
    </w:p>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2. Employer        TSC [   ]       BOM [   ]</w:t>
      </w:r>
    </w:p>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3. Experience in teaching: Less than 5 years [  ] 5-10 years [  ] 11-15 years [  ] Over 15 years </w:t>
      </w:r>
    </w:p>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Section B: Questions Based on Objectives</w:t>
      </w:r>
    </w:p>
    <w:p>
      <w:pPr>
        <w:pStyle w:val="style66"/>
        <w:spacing w:lineRule="auto" w:line="360"/>
        <w:ind w:left="0" w:right="1282"/>
        <w:jc w:val="both"/>
        <w:contextualSpacing/>
        <w:rPr>
          <w:color w:val="000000"/>
          <w:sz w:val="24"/>
          <w:szCs w:val="24"/>
        </w:rPr>
      </w:pPr>
      <w:r>
        <w:rPr>
          <w:color w:val="000000"/>
          <w:sz w:val="24"/>
          <w:szCs w:val="24"/>
        </w:rPr>
        <w:t>Please</w:t>
      </w:r>
      <w:r>
        <w:rPr>
          <w:color w:val="000000"/>
          <w:spacing w:val="10"/>
          <w:sz w:val="24"/>
          <w:szCs w:val="24"/>
        </w:rPr>
        <w:t xml:space="preserve"> </w:t>
      </w:r>
      <w:r>
        <w:rPr>
          <w:color w:val="000000"/>
          <w:sz w:val="24"/>
          <w:szCs w:val="24"/>
        </w:rPr>
        <w:t>tick</w:t>
      </w:r>
      <w:r>
        <w:rPr>
          <w:color w:val="000000"/>
          <w:spacing w:val="13"/>
          <w:sz w:val="24"/>
          <w:szCs w:val="24"/>
        </w:rPr>
        <w:t xml:space="preserve"> </w:t>
      </w:r>
      <w:r>
        <w:rPr>
          <w:color w:val="000000"/>
          <w:sz w:val="24"/>
          <w:szCs w:val="24"/>
        </w:rPr>
        <w:t>as</w:t>
      </w:r>
      <w:r>
        <w:rPr>
          <w:color w:val="000000"/>
          <w:spacing w:val="8"/>
          <w:sz w:val="24"/>
          <w:szCs w:val="24"/>
        </w:rPr>
        <w:t xml:space="preserve"> </w:t>
      </w:r>
      <w:r>
        <w:rPr>
          <w:color w:val="000000"/>
          <w:sz w:val="24"/>
          <w:szCs w:val="24"/>
        </w:rPr>
        <w:t>appropriate</w:t>
      </w:r>
      <w:r>
        <w:rPr>
          <w:color w:val="000000"/>
          <w:spacing w:val="11"/>
          <w:sz w:val="24"/>
          <w:szCs w:val="24"/>
        </w:rPr>
        <w:t xml:space="preserve"> </w:t>
      </w:r>
      <w:r>
        <w:rPr>
          <w:color w:val="000000"/>
          <w:sz w:val="24"/>
          <w:szCs w:val="24"/>
        </w:rPr>
        <w:t>the</w:t>
      </w:r>
      <w:r>
        <w:rPr>
          <w:color w:val="000000"/>
          <w:spacing w:val="12"/>
          <w:sz w:val="24"/>
          <w:szCs w:val="24"/>
        </w:rPr>
        <w:t xml:space="preserve"> </w:t>
      </w:r>
      <w:r>
        <w:rPr>
          <w:color w:val="000000"/>
          <w:spacing w:val="2"/>
          <w:sz w:val="24"/>
          <w:szCs w:val="24"/>
        </w:rPr>
        <w:t>extent</w:t>
      </w:r>
      <w:r>
        <w:rPr>
          <w:color w:val="000000"/>
          <w:spacing w:val="9"/>
          <w:sz w:val="24"/>
          <w:szCs w:val="24"/>
        </w:rPr>
        <w:t xml:space="preserve"> </w:t>
      </w:r>
      <w:r>
        <w:rPr>
          <w:color w:val="000000"/>
          <w:sz w:val="24"/>
          <w:szCs w:val="24"/>
        </w:rPr>
        <w:t>to</w:t>
      </w:r>
      <w:r>
        <w:rPr>
          <w:color w:val="000000"/>
          <w:spacing w:val="5"/>
          <w:sz w:val="24"/>
          <w:szCs w:val="24"/>
        </w:rPr>
        <w:t xml:space="preserve"> </w:t>
      </w:r>
      <w:r>
        <w:rPr>
          <w:color w:val="000000"/>
          <w:sz w:val="24"/>
          <w:szCs w:val="24"/>
        </w:rPr>
        <w:t>which</w:t>
      </w:r>
      <w:r>
        <w:rPr>
          <w:color w:val="000000"/>
          <w:spacing w:val="16"/>
          <w:sz w:val="24"/>
          <w:szCs w:val="24"/>
        </w:rPr>
        <w:t xml:space="preserve"> </w:t>
      </w:r>
      <w:r>
        <w:rPr>
          <w:color w:val="000000"/>
          <w:spacing w:val="2"/>
          <w:sz w:val="24"/>
          <w:szCs w:val="24"/>
        </w:rPr>
        <w:t>you</w:t>
      </w:r>
      <w:r>
        <w:rPr>
          <w:color w:val="000000"/>
          <w:spacing w:val="13"/>
          <w:sz w:val="24"/>
          <w:szCs w:val="24"/>
        </w:rPr>
        <w:t xml:space="preserve"> </w:t>
      </w:r>
      <w:r>
        <w:rPr>
          <w:color w:val="000000"/>
          <w:sz w:val="24"/>
          <w:szCs w:val="24"/>
        </w:rPr>
        <w:t>agree</w:t>
      </w:r>
      <w:r>
        <w:rPr>
          <w:color w:val="000000"/>
          <w:spacing w:val="7"/>
          <w:sz w:val="24"/>
          <w:szCs w:val="24"/>
        </w:rPr>
        <w:t xml:space="preserve"> </w:t>
      </w:r>
      <w:r>
        <w:rPr>
          <w:color w:val="000000"/>
          <w:sz w:val="24"/>
          <w:szCs w:val="24"/>
        </w:rPr>
        <w:t>or</w:t>
      </w:r>
      <w:r>
        <w:rPr>
          <w:color w:val="000000"/>
          <w:spacing w:val="7"/>
          <w:sz w:val="24"/>
          <w:szCs w:val="24"/>
        </w:rPr>
        <w:t xml:space="preserve"> </w:t>
      </w:r>
      <w:r>
        <w:rPr>
          <w:color w:val="000000"/>
          <w:sz w:val="24"/>
          <w:szCs w:val="24"/>
        </w:rPr>
        <w:t>disagree</w:t>
      </w:r>
      <w:r>
        <w:rPr>
          <w:color w:val="000000"/>
          <w:spacing w:val="4"/>
          <w:sz w:val="24"/>
          <w:szCs w:val="24"/>
        </w:rPr>
        <w:t xml:space="preserve"> </w:t>
      </w:r>
      <w:r>
        <w:rPr>
          <w:color w:val="000000"/>
          <w:sz w:val="24"/>
          <w:szCs w:val="24"/>
        </w:rPr>
        <w:t xml:space="preserve">to </w:t>
      </w:r>
      <w:r>
        <w:rPr>
          <w:color w:val="000000"/>
          <w:spacing w:val="1"/>
          <w:sz w:val="24"/>
          <w:szCs w:val="24"/>
        </w:rPr>
        <w:t>th</w:t>
      </w:r>
      <w:r>
        <w:rPr>
          <w:color w:val="000000"/>
          <w:sz w:val="24"/>
          <w:szCs w:val="24"/>
        </w:rPr>
        <w:t>e</w:t>
      </w:r>
      <w:r>
        <w:rPr>
          <w:color w:val="000000"/>
          <w:spacing w:val="-1"/>
          <w:sz w:val="24"/>
          <w:szCs w:val="24"/>
        </w:rPr>
        <w:t xml:space="preserve"> </w:t>
      </w:r>
      <w:r>
        <w:rPr>
          <w:color w:val="000000"/>
          <w:sz w:val="24"/>
          <w:szCs w:val="24"/>
        </w:rPr>
        <w:t>following</w:t>
      </w:r>
      <w:r>
        <w:rPr>
          <w:color w:val="000000"/>
          <w:spacing w:val="34"/>
          <w:w w:val="96"/>
          <w:sz w:val="24"/>
          <w:szCs w:val="24"/>
        </w:rPr>
        <w:t xml:space="preserve"> </w:t>
      </w:r>
      <w:r>
        <w:rPr>
          <w:color w:val="000000"/>
          <w:spacing w:val="-9"/>
          <w:sz w:val="24"/>
          <w:szCs w:val="24"/>
        </w:rPr>
        <w:t>s</w:t>
      </w:r>
      <w:r>
        <w:rPr>
          <w:color w:val="000000"/>
          <w:sz w:val="24"/>
          <w:szCs w:val="24"/>
        </w:rPr>
        <w:t>tatemen</w:t>
      </w:r>
      <w:r>
        <w:rPr>
          <w:color w:val="000000"/>
          <w:spacing w:val="12"/>
          <w:sz w:val="24"/>
          <w:szCs w:val="24"/>
        </w:rPr>
        <w:t>t</w:t>
      </w:r>
      <w:r>
        <w:rPr>
          <w:color w:val="000000"/>
          <w:sz w:val="24"/>
          <w:szCs w:val="24"/>
        </w:rPr>
        <w:t>s</w:t>
      </w:r>
      <w:r>
        <w:rPr>
          <w:color w:val="000000"/>
          <w:spacing w:val="6"/>
          <w:sz w:val="24"/>
          <w:szCs w:val="24"/>
        </w:rPr>
        <w:t xml:space="preserve"> </w:t>
      </w:r>
      <w:r>
        <w:rPr>
          <w:color w:val="000000"/>
          <w:sz w:val="24"/>
          <w:szCs w:val="24"/>
        </w:rPr>
        <w:t>rated scale provided:</w:t>
      </w:r>
    </w:p>
    <w:bookmarkStart w:id="170" w:name="_Toc188281905"/>
    <w:bookmarkStart w:id="171" w:name="_Toc99614579"/>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0"/>
        <w:gridCol w:w="5850"/>
        <w:gridCol w:w="720"/>
        <w:gridCol w:w="720"/>
        <w:gridCol w:w="630"/>
        <w:gridCol w:w="720"/>
      </w:tblGrid>
      <w:tr>
        <w:trPr>
          <w:trHeight w:val="557" w:hRule="atLeast"/>
        </w:trPr>
        <w:tc>
          <w:tcPr>
            <w:tcW w:w="468" w:type="dxa"/>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w:t>
            </w:r>
          </w:p>
        </w:tc>
        <w:tc>
          <w:tcPr>
            <w:tcW w:w="5850" w:type="dxa"/>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ITEMS</w:t>
            </w:r>
          </w:p>
        </w:tc>
        <w:tc>
          <w:tcPr>
            <w:tcW w:w="720" w:type="dxa"/>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SD</w:t>
            </w:r>
          </w:p>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1</w:t>
            </w:r>
          </w:p>
        </w:tc>
        <w:tc>
          <w:tcPr>
            <w:tcW w:w="720" w:type="dxa"/>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D</w:t>
            </w:r>
          </w:p>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2</w:t>
            </w:r>
          </w:p>
        </w:tc>
        <w:tc>
          <w:tcPr>
            <w:tcW w:w="630" w:type="dxa"/>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A</w:t>
            </w:r>
          </w:p>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3</w:t>
            </w:r>
          </w:p>
        </w:tc>
        <w:tc>
          <w:tcPr>
            <w:tcW w:w="720" w:type="dxa"/>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SA</w:t>
            </w:r>
          </w:p>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4</w:t>
            </w:r>
          </w:p>
        </w:tc>
      </w:tr>
      <w:tr>
        <w:tblPrEx/>
        <w:trPr/>
        <w:tc>
          <w:tcPr>
            <w:tcW w:w="9108" w:type="dxa"/>
            <w:gridSpan w:val="6"/>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Economical factors</w:t>
            </w:r>
          </w:p>
        </w:tc>
      </w:tr>
      <w:tr>
        <w:tblPrEx/>
        <w:trPr/>
        <w:tc>
          <w:tcPr>
            <w:tcW w:w="468" w:type="dxa"/>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1</w:t>
            </w:r>
          </w:p>
        </w:tc>
        <w:tc>
          <w:tcPr>
            <w:tcW w:w="5850"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Financial challenges in pupils’ families contribute significantly  to absenteeism.</w:t>
            </w: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63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r>
      <w:tr>
        <w:tblPrEx/>
        <w:trPr/>
        <w:tc>
          <w:tcPr>
            <w:tcW w:w="468" w:type="dxa"/>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2</w:t>
            </w:r>
          </w:p>
        </w:tc>
        <w:tc>
          <w:tcPr>
            <w:tcW w:w="5850"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Students from low-income households are more likely to miss school.</w:t>
            </w: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63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r>
      <w:tr>
        <w:tblPrEx/>
        <w:trPr/>
        <w:tc>
          <w:tcPr>
            <w:tcW w:w="468" w:type="dxa"/>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3</w:t>
            </w:r>
          </w:p>
        </w:tc>
        <w:tc>
          <w:tcPr>
            <w:tcW w:w="5850"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Absenteeism is observed frequently due to students being required to work or support family income.</w:t>
            </w: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63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r>
      <w:tr>
        <w:tblPrEx/>
        <w:trPr/>
        <w:tc>
          <w:tcPr>
            <w:tcW w:w="468" w:type="dxa"/>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4</w:t>
            </w:r>
          </w:p>
        </w:tc>
        <w:tc>
          <w:tcPr>
            <w:tcW w:w="5850"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School related costs (uniform, books etc.) discourage student attendance in your school.</w:t>
            </w: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63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r>
      <w:tr>
        <w:tblPrEx/>
        <w:trPr>
          <w:trHeight w:val="800" w:hRule="atLeast"/>
        </w:trPr>
        <w:tc>
          <w:tcPr>
            <w:tcW w:w="9108" w:type="dxa"/>
            <w:gridSpan w:val="6"/>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In your view how does poverty affect learner’s attendance?---------------------------------------------------------------------------------------------------------------------------------------------------------------------------------------------------------------------------------------------------------------</w:t>
            </w:r>
          </w:p>
          <w:p>
            <w:pPr>
              <w:pStyle w:val="style0"/>
              <w:spacing w:after="0" w:lineRule="auto" w:line="360"/>
              <w:jc w:val="both"/>
              <w:rPr>
                <w:rFonts w:ascii="Times New Roman" w:cs="Times New Roman" w:hAnsi="Times New Roman"/>
                <w:b/>
                <w:color w:val="000000"/>
                <w:sz w:val="24"/>
                <w:szCs w:val="24"/>
              </w:rPr>
            </w:pPr>
          </w:p>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Cultural Factors</w:t>
            </w:r>
          </w:p>
        </w:tc>
      </w:tr>
      <w:tr>
        <w:tblPrEx/>
        <w:trPr/>
        <w:tc>
          <w:tcPr>
            <w:tcW w:w="468" w:type="dxa"/>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5</w:t>
            </w:r>
          </w:p>
        </w:tc>
        <w:tc>
          <w:tcPr>
            <w:tcW w:w="5850"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Cultural practices (e.g early marriages, FGM) are a major reason for learners’ absenteeism in your community.</w:t>
            </w: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63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r>
      <w:tr>
        <w:tblPrEx/>
        <w:trPr/>
        <w:tc>
          <w:tcPr>
            <w:tcW w:w="468" w:type="dxa"/>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6</w:t>
            </w:r>
          </w:p>
        </w:tc>
        <w:tc>
          <w:tcPr>
            <w:tcW w:w="5850"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Gender bias in cultural roles impacts girls’ and boys’ attendance.</w:t>
            </w: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63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r>
      <w:tr>
        <w:tblPrEx/>
        <w:trPr/>
        <w:tc>
          <w:tcPr>
            <w:tcW w:w="468" w:type="dxa"/>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7</w:t>
            </w:r>
          </w:p>
        </w:tc>
        <w:tc>
          <w:tcPr>
            <w:tcW w:w="5850"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Traditional believes or practices frequently conflict with the school calendar.</w:t>
            </w: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63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r>
      <w:tr>
        <w:tblPrEx/>
        <w:trPr>
          <w:trHeight w:val="1385" w:hRule="atLeast"/>
        </w:trPr>
        <w:tc>
          <w:tcPr>
            <w:tcW w:w="9108" w:type="dxa"/>
            <w:gridSpan w:val="6"/>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 xml:space="preserve">How do various cultural practices within the community affect learners regular school attendance?-------------------------------------------------------------------------------------------------------------------------------------------------------------------------------------------------------------------------------------------------------------------------------------------------------------------------------------------------------------------------------------------------------------------------------------  </w:t>
            </w:r>
          </w:p>
        </w:tc>
      </w:tr>
      <w:tr>
        <w:tblPrEx/>
        <w:trPr/>
        <w:tc>
          <w:tcPr>
            <w:tcW w:w="9108" w:type="dxa"/>
            <w:gridSpan w:val="6"/>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School Environment</w:t>
            </w:r>
          </w:p>
        </w:tc>
      </w:tr>
      <w:tr>
        <w:tblPrEx/>
        <w:trPr/>
        <w:tc>
          <w:tcPr>
            <w:tcW w:w="468" w:type="dxa"/>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8</w:t>
            </w:r>
          </w:p>
        </w:tc>
        <w:tc>
          <w:tcPr>
            <w:tcW w:w="5850"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Inadequate school facilities (classrooms, toilets, learning materials) contribute to absenteeism.</w:t>
            </w: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63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r>
      <w:tr>
        <w:tblPrEx/>
        <w:trPr/>
        <w:tc>
          <w:tcPr>
            <w:tcW w:w="468" w:type="dxa"/>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9</w:t>
            </w:r>
          </w:p>
        </w:tc>
        <w:tc>
          <w:tcPr>
            <w:tcW w:w="5850"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The teacher- pupil relationship in your school positively impacts absenteeism.</w:t>
            </w: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63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r>
      <w:tr>
        <w:tblPrEx/>
        <w:trPr/>
        <w:tc>
          <w:tcPr>
            <w:tcW w:w="468" w:type="dxa"/>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10</w:t>
            </w:r>
          </w:p>
        </w:tc>
        <w:tc>
          <w:tcPr>
            <w:tcW w:w="5850"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Pupils are often absent due to safety concerns ( bullying, harassment) within the school.</w:t>
            </w: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63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r>
      <w:tr>
        <w:tblPrEx/>
        <w:trPr>
          <w:trHeight w:val="1133" w:hRule="atLeast"/>
        </w:trPr>
        <w:tc>
          <w:tcPr>
            <w:tcW w:w="9108" w:type="dxa"/>
            <w:gridSpan w:val="6"/>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How do the physical conditions of the school affect learners attendance?-------------------------------------------------------------------------------------------------------------------------------------------------------------------------------------------------------------------------------------------------</w:t>
            </w:r>
          </w:p>
        </w:tc>
      </w:tr>
      <w:tr>
        <w:tblPrEx/>
        <w:trPr/>
        <w:tc>
          <w:tcPr>
            <w:tcW w:w="9108" w:type="dxa"/>
            <w:gridSpan w:val="6"/>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Policy Implementation</w:t>
            </w:r>
          </w:p>
        </w:tc>
      </w:tr>
      <w:tr>
        <w:tblPrEx/>
        <w:trPr/>
        <w:tc>
          <w:tcPr>
            <w:tcW w:w="468" w:type="dxa"/>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11</w:t>
            </w:r>
          </w:p>
        </w:tc>
        <w:tc>
          <w:tcPr>
            <w:tcW w:w="5850"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Your school’s policies on absenteeism (follow-up mechanism, counseling) are effective.</w:t>
            </w: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63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r>
      <w:tr>
        <w:tblPrEx/>
        <w:trPr/>
        <w:tc>
          <w:tcPr>
            <w:tcW w:w="468" w:type="dxa"/>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12</w:t>
            </w:r>
          </w:p>
        </w:tc>
        <w:tc>
          <w:tcPr>
            <w:tcW w:w="5850"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Parents are adequately involved in addressing absenteeism.</w:t>
            </w: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63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r>
      <w:tr>
        <w:tblPrEx/>
        <w:trPr/>
        <w:tc>
          <w:tcPr>
            <w:tcW w:w="468" w:type="dxa"/>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13</w:t>
            </w:r>
          </w:p>
        </w:tc>
        <w:tc>
          <w:tcPr>
            <w:tcW w:w="5850"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Penalties for absenteeism are effectively enforced in your school.</w:t>
            </w: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63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r>
      <w:tr>
        <w:tblPrEx/>
        <w:trPr/>
        <w:tc>
          <w:tcPr>
            <w:tcW w:w="468" w:type="dxa"/>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14</w:t>
            </w:r>
          </w:p>
        </w:tc>
        <w:tc>
          <w:tcPr>
            <w:tcW w:w="5850"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School policies on absenteeism are inclusive and address diverse causes.</w:t>
            </w: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63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r>
      <w:tr>
        <w:tblPrEx/>
        <w:trPr/>
        <w:tc>
          <w:tcPr>
            <w:tcW w:w="9108" w:type="dxa"/>
            <w:gridSpan w:val="6"/>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 xml:space="preserve">Learners Attendance </w:t>
            </w:r>
          </w:p>
        </w:tc>
      </w:tr>
      <w:tr>
        <w:tblPrEx/>
        <w:trPr/>
        <w:tc>
          <w:tcPr>
            <w:tcW w:w="468" w:type="dxa"/>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15</w:t>
            </w:r>
          </w:p>
        </w:tc>
        <w:tc>
          <w:tcPr>
            <w:tcW w:w="5850"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Pupils with positive attitude towards school are less likely to be absent.</w:t>
            </w: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63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r>
      <w:tr>
        <w:tblPrEx/>
        <w:trPr/>
        <w:tc>
          <w:tcPr>
            <w:tcW w:w="468" w:type="dxa"/>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16</w:t>
            </w:r>
          </w:p>
        </w:tc>
        <w:tc>
          <w:tcPr>
            <w:tcW w:w="5850"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Frequent absenteeism is often linked to pupils’ negative perception of their school.</w:t>
            </w: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63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r>
      <w:tr>
        <w:tblPrEx/>
        <w:trPr/>
        <w:tc>
          <w:tcPr>
            <w:tcW w:w="468" w:type="dxa"/>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17</w:t>
            </w:r>
          </w:p>
        </w:tc>
        <w:tc>
          <w:tcPr>
            <w:tcW w:w="5850"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Effective communication between teachers and pupils can reduce absenteeism.</w:t>
            </w: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63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r>
      <w:tr>
        <w:tblPrEx/>
        <w:trPr/>
        <w:tc>
          <w:tcPr>
            <w:tcW w:w="468" w:type="dxa"/>
            <w:tcBorders/>
          </w:tcPr>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18</w:t>
            </w:r>
          </w:p>
        </w:tc>
        <w:tc>
          <w:tcPr>
            <w:tcW w:w="5850"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Students who actively participate in class are less likely to have frequent absences.</w:t>
            </w: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c>
          <w:tcPr>
            <w:tcW w:w="630" w:type="dxa"/>
            <w:tcBorders/>
          </w:tcPr>
          <w:p>
            <w:pPr>
              <w:pStyle w:val="style0"/>
              <w:spacing w:after="0" w:lineRule="auto" w:line="360"/>
              <w:jc w:val="both"/>
              <w:rPr>
                <w:rFonts w:ascii="Times New Roman" w:cs="Times New Roman" w:hAnsi="Times New Roman"/>
                <w:b/>
                <w:color w:val="000000"/>
                <w:sz w:val="24"/>
                <w:szCs w:val="24"/>
              </w:rPr>
            </w:pPr>
          </w:p>
        </w:tc>
        <w:tc>
          <w:tcPr>
            <w:tcW w:w="720" w:type="dxa"/>
            <w:tcBorders/>
          </w:tcPr>
          <w:p>
            <w:pPr>
              <w:pStyle w:val="style0"/>
              <w:spacing w:after="0" w:lineRule="auto" w:line="360"/>
              <w:jc w:val="both"/>
              <w:rPr>
                <w:rFonts w:ascii="Times New Roman" w:cs="Times New Roman" w:hAnsi="Times New Roman"/>
                <w:b/>
                <w:color w:val="000000"/>
                <w:sz w:val="24"/>
                <w:szCs w:val="24"/>
              </w:rPr>
            </w:pPr>
          </w:p>
        </w:tc>
      </w:tr>
    </w:tbl>
    <w:p>
      <w:pPr>
        <w:pStyle w:val="style0"/>
        <w:spacing w:lineRule="auto" w:line="360"/>
        <w:jc w:val="both"/>
        <w:rPr>
          <w:rFonts w:ascii="Times New Roman" w:cs="Times New Roman" w:hAnsi="Times New Roman"/>
          <w:b/>
          <w:color w:val="000000"/>
          <w:sz w:val="24"/>
          <w:szCs w:val="24"/>
        </w:rPr>
      </w:pPr>
    </w:p>
    <w:p>
      <w:pPr>
        <w:pStyle w:val="style0"/>
        <w:spacing w:lineRule="auto" w:line="360"/>
        <w:jc w:val="both"/>
        <w:rPr>
          <w:rFonts w:ascii="Times New Roman" w:cs="Times New Roman" w:hAnsi="Times New Roman"/>
          <w:b/>
          <w:color w:val="000000"/>
          <w:sz w:val="24"/>
          <w:szCs w:val="24"/>
        </w:rPr>
      </w:pPr>
      <w:r>
        <w:rPr>
          <w:rFonts w:ascii="Times New Roman" w:cs="Times New Roman" w:hAnsi="Times New Roman"/>
          <w:color w:val="000000"/>
          <w:sz w:val="24"/>
          <w:szCs w:val="24"/>
        </w:rPr>
        <w:t>Suggest ways in which learners’ absenteeism can be reduced in your school</w:t>
      </w:r>
      <w:r>
        <w:rPr>
          <w:rFonts w:ascii="Times New Roman" w:cs="Times New Roman" w:hAnsi="Times New Roman"/>
          <w:b/>
          <w:color w:val="000000"/>
          <w:sz w:val="24"/>
          <w:szCs w:val="24"/>
        </w:rPr>
        <w:t>.........................................................................................................................................................................................................................................................................................................................................................................................................................................................................</w:t>
      </w:r>
    </w:p>
    <w:p>
      <w:pPr>
        <w:pStyle w:val="style0"/>
        <w:spacing w:after="200" w:lineRule="auto" w:line="276"/>
        <w:rPr>
          <w:rFonts w:ascii="Times New Roman" w:cs="Times New Roman" w:hAnsi="Times New Roman"/>
          <w:b/>
          <w:color w:val="000000"/>
          <w:sz w:val="24"/>
          <w:szCs w:val="24"/>
        </w:rPr>
      </w:pPr>
      <w:r>
        <w:rPr>
          <w:rFonts w:ascii="Times New Roman" w:cs="Times New Roman" w:hAnsi="Times New Roman"/>
          <w:b/>
          <w:color w:val="000000"/>
          <w:sz w:val="24"/>
          <w:szCs w:val="24"/>
        </w:rPr>
        <w:br w:type="page"/>
      </w:r>
    </w:p>
    <w:p>
      <w:pPr>
        <w:pStyle w:val="style0"/>
        <w:spacing w:lineRule="auto" w:line="360"/>
        <w:jc w:val="center"/>
        <w:rPr>
          <w:rFonts w:ascii="Times New Roman" w:cs="Times New Roman" w:hAnsi="Times New Roman"/>
          <w:color w:val="000000"/>
          <w:sz w:val="24"/>
          <w:szCs w:val="24"/>
        </w:rPr>
      </w:pPr>
      <w:r>
        <w:rPr>
          <w:rFonts w:ascii="Times New Roman" w:cs="Times New Roman" w:hAnsi="Times New Roman"/>
          <w:b/>
          <w:color w:val="000000"/>
          <w:sz w:val="24"/>
          <w:szCs w:val="24"/>
        </w:rPr>
        <w:t>APPENDIX III: INTERVIEW QUESTIONS FOR HEAD OF INSTITUTIONS</w:t>
      </w:r>
      <w:r>
        <w:rPr>
          <w:rFonts w:ascii="Times New Roman" w:cs="Times New Roman" w:hAnsi="Times New Roman"/>
          <w:color w:val="000000"/>
          <w:sz w:val="24"/>
          <w:szCs w:val="24"/>
        </w:rPr>
        <w:t>.</w:t>
      </w:r>
      <w:bookmarkEnd w:id="170"/>
    </w:p>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   Kindly respond to the following interview questions </w:t>
      </w:r>
    </w:p>
    <w:p>
      <w:pPr>
        <w:pStyle w:val="style0"/>
        <w:spacing w:after="0" w:lineRule="auto" w:line="360"/>
        <w:jc w:val="both"/>
        <w:rPr>
          <w:rFonts w:ascii="Times New Roman" w:cs="Times New Roman" w:hAnsi="Times New Roman"/>
          <w:b/>
          <w:color w:val="000000"/>
          <w:sz w:val="24"/>
          <w:szCs w:val="24"/>
        </w:rPr>
      </w:pPr>
      <w:r>
        <w:rPr>
          <w:rFonts w:ascii="Times New Roman" w:cs="Times New Roman" w:hAnsi="Times New Roman"/>
          <w:b/>
          <w:bCs/>
          <w:color w:val="000000"/>
          <w:sz w:val="24"/>
          <w:szCs w:val="24"/>
        </w:rPr>
        <w:t xml:space="preserve">Section A: </w:t>
      </w:r>
      <w:r>
        <w:rPr>
          <w:rFonts w:ascii="Times New Roman" w:cs="Times New Roman" w:hAnsi="Times New Roman"/>
          <w:b/>
          <w:color w:val="000000"/>
          <w:sz w:val="24"/>
          <w:szCs w:val="24"/>
        </w:rPr>
        <w:t>Economic Factors</w:t>
      </w:r>
    </w:p>
    <w:p>
      <w:pPr>
        <w:pStyle w:val="style179"/>
        <w:numPr>
          <w:ilvl w:val="0"/>
          <w:numId w:val="17"/>
        </w:numPr>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How do parents' financial situations impact pupils' attendance at school?</w:t>
      </w:r>
    </w:p>
    <w:p>
      <w:pPr>
        <w:pStyle w:val="style179"/>
        <w:numPr>
          <w:ilvl w:val="0"/>
          <w:numId w:val="17"/>
        </w:numPr>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 Are there any school fees, uniforms, or materials that may be difficult for families to afford?</w:t>
      </w:r>
    </w:p>
    <w:p>
      <w:pPr>
        <w:pStyle w:val="style179"/>
        <w:numPr>
          <w:ilvl w:val="0"/>
          <w:numId w:val="17"/>
        </w:numPr>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Do you notice higher absenteeism during certain agricultural or economic cycles (e.g., planting or harvesting seasons)?</w:t>
      </w:r>
    </w:p>
    <w:p>
      <w:pPr>
        <w:pStyle w:val="style179"/>
        <w:numPr>
          <w:ilvl w:val="0"/>
          <w:numId w:val="17"/>
        </w:numPr>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 Are there any support programs for economically disadvantaged families to help reduce absenteeism?</w:t>
      </w:r>
    </w:p>
    <w:p>
      <w:pPr>
        <w:pStyle w:val="style0"/>
        <w:spacing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Section B</w:t>
      </w:r>
      <w:r>
        <w:rPr>
          <w:rFonts w:ascii="Times New Roman" w:cs="Times New Roman" w:hAnsi="Times New Roman"/>
          <w:b/>
          <w:color w:val="000000"/>
          <w:sz w:val="24"/>
          <w:szCs w:val="24"/>
        </w:rPr>
        <w:t>: Cultural Practices</w:t>
      </w:r>
    </w:p>
    <w:p>
      <w:pPr>
        <w:pStyle w:val="style179"/>
        <w:numPr>
          <w:ilvl w:val="0"/>
          <w:numId w:val="17"/>
        </w:numPr>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Are there cultural events or traditions that frequently conflict with the school calendar?</w:t>
      </w:r>
    </w:p>
    <w:p>
      <w:pPr>
        <w:pStyle w:val="style179"/>
        <w:numPr>
          <w:ilvl w:val="0"/>
          <w:numId w:val="17"/>
        </w:numPr>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How do family roles or expectations (e.g., children helping with chores or businesses) affect attendance?</w:t>
      </w:r>
    </w:p>
    <w:p>
      <w:pPr>
        <w:pStyle w:val="style179"/>
        <w:numPr>
          <w:ilvl w:val="0"/>
          <w:numId w:val="17"/>
        </w:numPr>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 Are there gender-related cultural norms that impact attendance differently for boys and girls?</w:t>
      </w:r>
    </w:p>
    <w:p>
      <w:pPr>
        <w:pStyle w:val="style179"/>
        <w:numPr>
          <w:ilvl w:val="0"/>
          <w:numId w:val="17"/>
        </w:numPr>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 How do local beliefs or attitudes about the value of education influence attendance?</w:t>
      </w:r>
    </w:p>
    <w:p>
      <w:pPr>
        <w:pStyle w:val="style0"/>
        <w:spacing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Section C</w:t>
      </w:r>
      <w:r>
        <w:rPr>
          <w:rFonts w:ascii="Times New Roman" w:cs="Times New Roman" w:hAnsi="Times New Roman"/>
          <w:b/>
          <w:color w:val="000000"/>
          <w:sz w:val="24"/>
          <w:szCs w:val="24"/>
        </w:rPr>
        <w:t>: School Environment</w:t>
      </w:r>
    </w:p>
    <w:p>
      <w:pPr>
        <w:pStyle w:val="style179"/>
        <w:numPr>
          <w:ilvl w:val="0"/>
          <w:numId w:val="17"/>
        </w:numPr>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Are the school facilities adequate and conducive to learning (e.g., classrooms, toilets, water supply)?</w:t>
      </w:r>
    </w:p>
    <w:p>
      <w:pPr>
        <w:pStyle w:val="style179"/>
        <w:numPr>
          <w:ilvl w:val="0"/>
          <w:numId w:val="17"/>
        </w:numPr>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How does the distance to school affect pupils' attendance?</w:t>
      </w:r>
    </w:p>
    <w:p>
      <w:pPr>
        <w:pStyle w:val="style179"/>
        <w:numPr>
          <w:ilvl w:val="0"/>
          <w:numId w:val="17"/>
        </w:numPr>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What measures does the school take to address bullying or peer conflicts that might discourage attendance?</w:t>
      </w:r>
    </w:p>
    <w:p>
      <w:pPr>
        <w:pStyle w:val="style179"/>
        <w:numPr>
          <w:ilvl w:val="0"/>
          <w:numId w:val="17"/>
        </w:numPr>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Are there qualified teachers and enough teaching resources to ensure pupils feel motivated to attend?</w:t>
      </w:r>
    </w:p>
    <w:p>
      <w:pPr>
        <w:pStyle w:val="style0"/>
        <w:spacing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Section D</w:t>
      </w:r>
      <w:r>
        <w:rPr>
          <w:rFonts w:ascii="Times New Roman" w:cs="Times New Roman" w:hAnsi="Times New Roman"/>
          <w:b/>
          <w:color w:val="000000"/>
          <w:sz w:val="24"/>
          <w:szCs w:val="24"/>
        </w:rPr>
        <w:t>:</w:t>
      </w:r>
      <w:r>
        <w:rPr>
          <w:rFonts w:ascii="Times New Roman" w:cs="Times New Roman" w:hAnsi="Times New Roman"/>
          <w:color w:val="000000"/>
          <w:sz w:val="24"/>
          <w:szCs w:val="24"/>
        </w:rPr>
        <w:t xml:space="preserve"> </w:t>
      </w:r>
      <w:r>
        <w:rPr>
          <w:rFonts w:ascii="Times New Roman" w:cs="Times New Roman" w:hAnsi="Times New Roman"/>
          <w:b/>
          <w:color w:val="000000"/>
          <w:sz w:val="24"/>
          <w:szCs w:val="24"/>
        </w:rPr>
        <w:t>Policy Implementation</w:t>
      </w:r>
    </w:p>
    <w:p>
      <w:pPr>
        <w:pStyle w:val="style179"/>
        <w:numPr>
          <w:ilvl w:val="0"/>
          <w:numId w:val="17"/>
        </w:numPr>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Are there existing policies addressing absenteeism? If so, how effective are they?</w:t>
      </w:r>
    </w:p>
    <w:p>
      <w:pPr>
        <w:pStyle w:val="style179"/>
        <w:numPr>
          <w:ilvl w:val="0"/>
          <w:numId w:val="17"/>
        </w:numPr>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How does the school monitor and follow up on pupils who are frequently absent?</w:t>
      </w:r>
    </w:p>
    <w:p>
      <w:pPr>
        <w:pStyle w:val="style179"/>
        <w:numPr>
          <w:ilvl w:val="0"/>
          <w:numId w:val="17"/>
        </w:numPr>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 Are parents or guardians aware of the policies regarding attendance?</w:t>
      </w:r>
    </w:p>
    <w:p>
      <w:pPr>
        <w:pStyle w:val="style179"/>
        <w:numPr>
          <w:ilvl w:val="0"/>
          <w:numId w:val="17"/>
        </w:numPr>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What challenges does the school face in enforcing attendance policies?</w:t>
      </w:r>
    </w:p>
    <w:p>
      <w:pPr>
        <w:pStyle w:val="style0"/>
        <w:spacing w:after="200" w:lineRule="auto" w:line="276"/>
        <w:rPr>
          <w:rFonts w:ascii="Times New Roman" w:cs="Times New Roman" w:hAnsi="Times New Roman"/>
          <w:b/>
          <w:color w:val="000000"/>
          <w:sz w:val="24"/>
          <w:szCs w:val="24"/>
        </w:rPr>
      </w:pPr>
      <w:r>
        <w:rPr>
          <w:rFonts w:ascii="Times New Roman" w:cs="Times New Roman" w:hAnsi="Times New Roman"/>
          <w:b/>
          <w:color w:val="000000"/>
          <w:sz w:val="24"/>
          <w:szCs w:val="24"/>
        </w:rPr>
        <w:br w:type="page"/>
      </w:r>
    </w:p>
    <w:p>
      <w:pPr>
        <w:pStyle w:val="style0"/>
        <w:spacing w:lineRule="auto" w:line="360"/>
        <w:jc w:val="both"/>
        <w:rPr>
          <w:rFonts w:ascii="Times New Roman" w:cs="Times New Roman" w:hAnsi="Times New Roman"/>
          <w:b/>
          <w:color w:val="000000"/>
          <w:sz w:val="24"/>
          <w:szCs w:val="24"/>
        </w:rPr>
      </w:pPr>
      <w:r>
        <w:rPr>
          <w:rFonts w:ascii="Times New Roman" w:cs="Times New Roman" w:hAnsi="Times New Roman"/>
          <w:b/>
          <w:color w:val="000000"/>
          <w:sz w:val="24"/>
          <w:szCs w:val="24"/>
        </w:rPr>
        <w:t xml:space="preserve">Section </w:t>
      </w:r>
      <w:r>
        <w:rPr>
          <w:rFonts w:ascii="Times New Roman" w:cs="Times New Roman" w:hAnsi="Times New Roman"/>
          <w:b/>
          <w:color w:val="000000"/>
          <w:sz w:val="24"/>
          <w:szCs w:val="24"/>
        </w:rPr>
        <w:t>E</w:t>
      </w:r>
      <w:r>
        <w:rPr>
          <w:rFonts w:ascii="Times New Roman" w:cs="Times New Roman" w:hAnsi="Times New Roman"/>
          <w:b/>
          <w:color w:val="000000"/>
          <w:sz w:val="24"/>
          <w:szCs w:val="24"/>
        </w:rPr>
        <w:t xml:space="preserve">: </w:t>
      </w:r>
      <w:r>
        <w:rPr>
          <w:rFonts w:ascii="Times New Roman" w:cs="Times New Roman" w:hAnsi="Times New Roman"/>
          <w:b/>
          <w:color w:val="000000"/>
          <w:sz w:val="24"/>
          <w:szCs w:val="24"/>
        </w:rPr>
        <w:t>Learners Attendance</w:t>
      </w:r>
    </w:p>
    <w:p>
      <w:pPr>
        <w:pStyle w:val="style179"/>
        <w:numPr>
          <w:ilvl w:val="0"/>
          <w:numId w:val="17"/>
        </w:numPr>
        <w:spacing w:lineRule="auto" w:line="360"/>
        <w:jc w:val="both"/>
        <w:rPr>
          <w:rFonts w:ascii="Times New Roman" w:cs="Times New Roman" w:hAnsi="Times New Roman"/>
          <w:b/>
          <w:color w:val="000000"/>
          <w:sz w:val="24"/>
          <w:szCs w:val="24"/>
        </w:rPr>
      </w:pPr>
      <w:r>
        <w:rPr>
          <w:rFonts w:ascii="Times New Roman" w:cs="Times New Roman" w:hAnsi="Times New Roman"/>
          <w:color w:val="000000"/>
          <w:sz w:val="24"/>
          <w:szCs w:val="24"/>
        </w:rPr>
        <w:t xml:space="preserve"> How would you describe the overall attitude of pupils towards their studies and school environment?</w:t>
      </w:r>
    </w:p>
    <w:p>
      <w:pPr>
        <w:pStyle w:val="style179"/>
        <w:numPr>
          <w:ilvl w:val="0"/>
          <w:numId w:val="17"/>
        </w:numPr>
        <w:spacing w:lineRule="auto" w:line="360"/>
        <w:jc w:val="both"/>
        <w:rPr>
          <w:rFonts w:ascii="Times New Roman" w:cs="Times New Roman" w:hAnsi="Times New Roman"/>
          <w:b/>
          <w:color w:val="000000"/>
          <w:sz w:val="24"/>
          <w:szCs w:val="24"/>
        </w:rPr>
      </w:pPr>
      <w:r>
        <w:rPr>
          <w:rFonts w:ascii="Times New Roman" w:cs="Times New Roman" w:hAnsi="Times New Roman"/>
          <w:color w:val="000000"/>
          <w:sz w:val="24"/>
          <w:szCs w:val="24"/>
        </w:rPr>
        <w:t>What do pupils perceive as the main challenge or obstacle to their learning and engagement?</w:t>
      </w:r>
    </w:p>
    <w:p>
      <w:pPr>
        <w:pStyle w:val="style179"/>
        <w:numPr>
          <w:ilvl w:val="0"/>
          <w:numId w:val="17"/>
        </w:numPr>
        <w:spacing w:lineRule="auto" w:line="360"/>
        <w:jc w:val="both"/>
        <w:rPr>
          <w:rFonts w:ascii="Times New Roman" w:cs="Times New Roman" w:hAnsi="Times New Roman"/>
          <w:b/>
          <w:color w:val="000000"/>
          <w:sz w:val="24"/>
          <w:szCs w:val="24"/>
        </w:rPr>
      </w:pPr>
      <w:r>
        <w:rPr>
          <w:rFonts w:ascii="Times New Roman" w:cs="Times New Roman" w:hAnsi="Times New Roman"/>
          <w:color w:val="000000"/>
          <w:sz w:val="24"/>
          <w:szCs w:val="24"/>
        </w:rPr>
        <w:t xml:space="preserve"> How do pupils feel about the support and resources provided by the school to help them succeed? </w:t>
      </w:r>
    </w:p>
    <w:p>
      <w:pPr>
        <w:pStyle w:val="style0"/>
        <w:spacing w:after="200" w:lineRule="auto" w:line="276"/>
        <w:rPr>
          <w:rFonts w:ascii="Times New Roman" w:cs="Times New Roman" w:hAnsi="Times New Roman"/>
          <w:color w:val="000000"/>
          <w:sz w:val="24"/>
          <w:szCs w:val="24"/>
        </w:rPr>
      </w:pPr>
      <w:r>
        <w:rPr>
          <w:rFonts w:ascii="Times New Roman" w:cs="Times New Roman" w:hAnsi="Times New Roman"/>
          <w:color w:val="000000"/>
          <w:sz w:val="24"/>
          <w:szCs w:val="24"/>
        </w:rPr>
        <w:br w:type="page"/>
      </w:r>
    </w:p>
    <w:bookmarkStart w:id="172" w:name="_Toc216513843"/>
    <w:bookmarkStart w:id="173" w:name="_Toc188281906"/>
    <w:p>
      <w:pPr>
        <w:pStyle w:val="style1"/>
        <w:spacing w:lineRule="auto" w:line="360"/>
        <w:rPr>
          <w:color w:val="000000"/>
        </w:rPr>
      </w:pPr>
      <w:r>
        <w:rPr>
          <w:color w:val="000000"/>
        </w:rPr>
        <w:t>APPENDIX</w:t>
      </w:r>
      <w:r>
        <w:rPr>
          <w:rFonts w:eastAsia="TimesNewRoman"/>
          <w:color w:val="000000"/>
        </w:rPr>
        <w:t xml:space="preserve"> IV</w:t>
      </w:r>
      <w:bookmarkEnd w:id="172"/>
    </w:p>
    <w:bookmarkStart w:id="174" w:name="_Toc216513844"/>
    <w:p>
      <w:pPr>
        <w:pStyle w:val="style1"/>
        <w:spacing w:lineRule="auto" w:line="360"/>
        <w:rPr>
          <w:color w:val="000000"/>
        </w:rPr>
      </w:pPr>
      <w:r>
        <w:rPr>
          <w:color w:val="000000"/>
        </w:rPr>
        <w:t>CONSENT FORM</w:t>
      </w:r>
      <w:bookmarkEnd w:id="174"/>
      <w:r>
        <w:rPr>
          <w:color w:val="000000"/>
        </w:rPr>
        <w:t xml:space="preserve"> </w:t>
      </w:r>
    </w:p>
    <w:p>
      <w:pPr>
        <w:pStyle w:val="style0"/>
        <w:autoSpaceDE w:val="false"/>
        <w:autoSpaceDN w:val="false"/>
        <w:spacing w:after="185" w:lineRule="auto" w:line="360"/>
        <w:jc w:val="both"/>
        <w:rPr>
          <w:rFonts w:ascii="Times New Roman" w:cs="Times New Roman" w:hAnsi="Times New Roman"/>
          <w:color w:val="000000"/>
          <w:sz w:val="24"/>
          <w:szCs w:val="24"/>
        </w:rPr>
      </w:pPr>
      <w:r>
        <w:rPr>
          <w:rFonts w:ascii="Times New Roman" w:cs="Times New Roman" w:eastAsia="Times New Roman" w:hAnsi="Times New Roman"/>
          <w:color w:val="000000"/>
          <w:sz w:val="24"/>
          <w:szCs w:val="24"/>
        </w:rPr>
        <w:t xml:space="preserve">My name is Ifrah Mahat Abdinoor pursuing Master of Educational Administration at Garissa University. The topic of study is </w:t>
      </w:r>
      <w:r>
        <w:rPr>
          <w:rFonts w:ascii="Times New Roman" w:cs="Times New Roman" w:eastAsia="Times New Roman" w:hAnsi="Times New Roman"/>
          <w:b/>
          <w:color w:val="000000"/>
          <w:sz w:val="24"/>
          <w:szCs w:val="24"/>
        </w:rPr>
        <w:t>‘</w:t>
      </w:r>
      <w:r>
        <w:rPr>
          <w:rFonts w:ascii="Times New Roman" w:cs="Times New Roman" w:eastAsia="Times New Roman" w:hAnsi="Times New Roman"/>
          <w:b/>
          <w:bCs/>
          <w:color w:val="000000"/>
          <w:sz w:val="24"/>
          <w:szCs w:val="24"/>
        </w:rPr>
        <w:t xml:space="preserve">Determinants of learner’s absenteeism in public primary schools in Bangal Sub-County, Tana River County’. </w:t>
      </w:r>
      <w:r>
        <w:rPr>
          <w:rFonts w:ascii="Times New Roman" w:cs="Times New Roman" w:eastAsia="Times New Roman" w:hAnsi="Times New Roman"/>
          <w:color w:val="000000"/>
          <w:sz w:val="24"/>
          <w:szCs w:val="24"/>
        </w:rPr>
        <w:t xml:space="preserve">This research is for academic purposes although the findings could also be used by other parties for policy development and programming. There is no right or wrong answer so feel free to give your opinion. I want to assure you that all answers will be kept confidential. Additionally, you may not use your real identity. The interview will take 30 minutes while answering of the questionnaire will take 15 minutes. For interviews , I will request you to allow me take notes, photos, videos and recordings of the session. Furthermore, your participation is fully voluntary and so you reserve the discretion of declining to undertake the interview. However, your participation could be so resourceful. Do you accept to be interviewed? Please sign here as evidence of your informed consent </w:t>
      </w:r>
    </w:p>
    <w:p>
      <w:pPr>
        <w:pStyle w:val="style0"/>
        <w:autoSpaceDE w:val="false"/>
        <w:autoSpaceDN w:val="false"/>
        <w:spacing w:after="44" w:lineRule="auto" w:line="360"/>
        <w:jc w:val="both"/>
        <w:rPr>
          <w:rFonts w:ascii="Times New Roman" w:cs="Times New Roman" w:hAnsi="Times New Roman"/>
          <w:color w:val="000000"/>
          <w:sz w:val="24"/>
          <w:szCs w:val="24"/>
        </w:rPr>
      </w:pPr>
      <w:r>
        <w:rPr>
          <w:rFonts w:ascii="Times New Roman" w:cs="Times New Roman" w:eastAsia="Times New Roman" w:hAnsi="Times New Roman"/>
          <w:color w:val="000000"/>
          <w:sz w:val="24"/>
          <w:szCs w:val="24"/>
        </w:rPr>
        <w:t xml:space="preserve">Sign Here………………                                                                                     </w:t>
      </w:r>
    </w:p>
    <w:p>
      <w:pPr>
        <w:pStyle w:val="style0"/>
        <w:autoSpaceDE w:val="false"/>
        <w:autoSpaceDN w:val="false"/>
        <w:spacing w:after="277" w:lineRule="auto" w:line="360"/>
        <w:jc w:val="both"/>
        <w:rPr>
          <w:rFonts w:ascii="Times New Roman" w:cs="Times New Roman" w:hAnsi="Times New Roman"/>
          <w:color w:val="000000"/>
          <w:sz w:val="24"/>
          <w:szCs w:val="24"/>
        </w:rPr>
      </w:pPr>
      <w:r>
        <w:rPr>
          <w:rFonts w:ascii="Times New Roman" w:cs="Times New Roman" w:eastAsia="Times New Roman" w:hAnsi="Times New Roman"/>
          <w:color w:val="000000"/>
          <w:sz w:val="24"/>
          <w:szCs w:val="24"/>
        </w:rPr>
        <w:t xml:space="preserve">Date…………. </w:t>
      </w:r>
    </w:p>
    <w:p>
      <w:pPr>
        <w:pStyle w:val="style0"/>
        <w:spacing w:after="200" w:lineRule="auto" w:line="276"/>
        <w:rPr>
          <w:color w:val="000000"/>
        </w:rPr>
      </w:pPr>
      <w:r>
        <w:rPr>
          <w:color w:val="000000"/>
        </w:rPr>
        <w:br w:type="page"/>
      </w:r>
    </w:p>
    <w:bookmarkStart w:id="175" w:name="_Toc216513845"/>
    <w:p>
      <w:pPr>
        <w:pStyle w:val="style1"/>
        <w:spacing w:lineRule="auto" w:line="360"/>
        <w:ind w:left="0" w:firstLine="0"/>
        <w:rPr>
          <w:color w:val="000000"/>
        </w:rPr>
      </w:pPr>
      <w:r>
        <w:rPr>
          <w:color w:val="000000"/>
        </w:rPr>
        <w:t xml:space="preserve">APPENDIX V: TIME </w:t>
      </w:r>
      <w:bookmarkEnd w:id="173"/>
      <w:r>
        <w:rPr>
          <w:color w:val="000000"/>
        </w:rPr>
        <w:t>SHEDULE</w:t>
      </w:r>
      <w:bookmarkEnd w:id="175"/>
    </w:p>
    <w:tbl>
      <w:tblPr>
        <w:tblW w:w="11320" w:type="dxa"/>
        <w:tblInd w:w="-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86"/>
        <w:gridCol w:w="1350"/>
        <w:gridCol w:w="1440"/>
        <w:gridCol w:w="1260"/>
        <w:gridCol w:w="1260"/>
        <w:gridCol w:w="1080"/>
        <w:gridCol w:w="990"/>
        <w:gridCol w:w="990"/>
        <w:gridCol w:w="1064"/>
      </w:tblGrid>
      <w:tr>
        <w:trPr>
          <w:trHeight w:val="953" w:hRule="atLeast"/>
        </w:trPr>
        <w:tc>
          <w:tcPr>
            <w:tcW w:w="1886" w:type="dxa"/>
            <w:tcBorders/>
            <w:shd w:val="clear" w:color="auto" w:fill="c4bc96"/>
          </w:tcPr>
          <w:p>
            <w:pPr>
              <w:pStyle w:val="style0"/>
              <w:spacing w:after="0" w:lineRule="auto" w:line="360"/>
              <w:jc w:val="both"/>
              <w:rPr>
                <w:rFonts w:ascii="Times New Roman" w:cs="Times New Roman" w:hAnsi="Times New Roman"/>
                <w:b/>
                <w:bCs/>
                <w:color w:val="000000"/>
                <w:sz w:val="24"/>
                <w:szCs w:val="24"/>
              </w:rPr>
            </w:pPr>
            <w:r>
              <w:rPr>
                <w:rFonts w:ascii="Times New Roman" w:cs="Times New Roman" w:hAnsi="Times New Roman"/>
                <w:b/>
                <w:bCs/>
                <w:color w:val="000000"/>
                <w:sz w:val="24"/>
                <w:szCs w:val="24"/>
              </w:rPr>
              <w:t xml:space="preserve">DESCRIPTION </w:t>
            </w:r>
          </w:p>
        </w:tc>
        <w:tc>
          <w:tcPr>
            <w:tcW w:w="1350" w:type="dxa"/>
            <w:tcBorders/>
            <w:shd w:val="clear" w:color="auto" w:fill="c4bc96"/>
          </w:tcPr>
          <w:p>
            <w:pPr>
              <w:pStyle w:val="style0"/>
              <w:spacing w:after="0" w:lineRule="auto" w:line="360"/>
              <w:jc w:val="both"/>
              <w:rPr>
                <w:rFonts w:ascii="Times New Roman" w:cs="Times New Roman" w:hAnsi="Times New Roman"/>
                <w:b/>
                <w:bCs/>
                <w:color w:val="000000"/>
                <w:sz w:val="24"/>
                <w:szCs w:val="24"/>
              </w:rPr>
            </w:pPr>
            <w:r>
              <w:rPr>
                <w:rFonts w:ascii="Times New Roman" w:cs="Times New Roman" w:hAnsi="Times New Roman"/>
                <w:b/>
                <w:bCs/>
                <w:color w:val="000000"/>
                <w:sz w:val="24"/>
                <w:szCs w:val="24"/>
              </w:rPr>
              <w:t>November</w:t>
            </w:r>
          </w:p>
        </w:tc>
        <w:tc>
          <w:tcPr>
            <w:tcW w:w="1440" w:type="dxa"/>
            <w:tcBorders/>
            <w:shd w:val="clear" w:color="auto" w:fill="c4bc96"/>
          </w:tcPr>
          <w:p>
            <w:pPr>
              <w:pStyle w:val="style0"/>
              <w:spacing w:after="0" w:lineRule="auto" w:line="360"/>
              <w:jc w:val="both"/>
              <w:rPr>
                <w:rFonts w:ascii="Times New Roman" w:cs="Times New Roman" w:hAnsi="Times New Roman"/>
                <w:b/>
                <w:bCs/>
                <w:color w:val="000000"/>
                <w:sz w:val="24"/>
                <w:szCs w:val="24"/>
              </w:rPr>
            </w:pPr>
            <w:r>
              <w:rPr>
                <w:rFonts w:ascii="Times New Roman" w:cs="Times New Roman" w:hAnsi="Times New Roman"/>
                <w:b/>
                <w:bCs/>
                <w:color w:val="000000"/>
                <w:sz w:val="24"/>
                <w:szCs w:val="24"/>
              </w:rPr>
              <w:t>December</w:t>
            </w:r>
          </w:p>
        </w:tc>
        <w:tc>
          <w:tcPr>
            <w:tcW w:w="1260" w:type="dxa"/>
            <w:tcBorders/>
            <w:shd w:val="clear" w:color="auto" w:fill="c4bc96"/>
          </w:tcPr>
          <w:p>
            <w:pPr>
              <w:pStyle w:val="style0"/>
              <w:spacing w:after="0" w:lineRule="auto" w:line="360"/>
              <w:jc w:val="both"/>
              <w:rPr>
                <w:rFonts w:ascii="Times New Roman" w:cs="Times New Roman" w:hAnsi="Times New Roman"/>
                <w:b/>
                <w:bCs/>
                <w:color w:val="000000"/>
                <w:sz w:val="24"/>
                <w:szCs w:val="24"/>
              </w:rPr>
            </w:pPr>
            <w:r>
              <w:rPr>
                <w:rFonts w:ascii="Times New Roman" w:cs="Times New Roman" w:hAnsi="Times New Roman"/>
                <w:b/>
                <w:bCs/>
                <w:color w:val="000000"/>
                <w:sz w:val="24"/>
                <w:szCs w:val="24"/>
              </w:rPr>
              <w:t>January</w:t>
            </w:r>
          </w:p>
        </w:tc>
        <w:tc>
          <w:tcPr>
            <w:tcW w:w="1260" w:type="dxa"/>
            <w:tcBorders/>
            <w:shd w:val="clear" w:color="auto" w:fill="c4bc96"/>
          </w:tcPr>
          <w:p>
            <w:pPr>
              <w:pStyle w:val="style0"/>
              <w:spacing w:after="0" w:lineRule="auto" w:line="360"/>
              <w:jc w:val="both"/>
              <w:rPr>
                <w:rFonts w:ascii="Times New Roman" w:cs="Times New Roman" w:hAnsi="Times New Roman"/>
                <w:b/>
                <w:bCs/>
                <w:color w:val="000000"/>
                <w:sz w:val="24"/>
                <w:szCs w:val="24"/>
              </w:rPr>
            </w:pPr>
            <w:r>
              <w:rPr>
                <w:rFonts w:ascii="Times New Roman" w:cs="Times New Roman" w:hAnsi="Times New Roman"/>
                <w:b/>
                <w:bCs/>
                <w:color w:val="000000"/>
                <w:sz w:val="24"/>
                <w:szCs w:val="24"/>
              </w:rPr>
              <w:t>February</w:t>
            </w:r>
          </w:p>
        </w:tc>
        <w:tc>
          <w:tcPr>
            <w:tcW w:w="1080" w:type="dxa"/>
            <w:tcBorders/>
            <w:shd w:val="clear" w:color="auto" w:fill="c4bc96"/>
          </w:tcPr>
          <w:p>
            <w:pPr>
              <w:pStyle w:val="style0"/>
              <w:spacing w:after="0" w:lineRule="auto" w:line="360"/>
              <w:jc w:val="both"/>
              <w:rPr>
                <w:rFonts w:ascii="Times New Roman" w:cs="Times New Roman" w:hAnsi="Times New Roman"/>
                <w:b/>
                <w:bCs/>
                <w:color w:val="000000"/>
                <w:sz w:val="24"/>
                <w:szCs w:val="24"/>
              </w:rPr>
            </w:pPr>
            <w:r>
              <w:rPr>
                <w:rFonts w:ascii="Times New Roman" w:cs="Times New Roman" w:hAnsi="Times New Roman"/>
                <w:b/>
                <w:bCs/>
                <w:color w:val="000000"/>
                <w:sz w:val="24"/>
                <w:szCs w:val="24"/>
              </w:rPr>
              <w:t xml:space="preserve">March </w:t>
            </w:r>
          </w:p>
        </w:tc>
        <w:tc>
          <w:tcPr>
            <w:tcW w:w="990" w:type="dxa"/>
            <w:tcBorders/>
            <w:shd w:val="clear" w:color="auto" w:fill="c4bc96"/>
          </w:tcPr>
          <w:p>
            <w:pPr>
              <w:pStyle w:val="style0"/>
              <w:spacing w:after="0" w:lineRule="auto" w:line="360"/>
              <w:jc w:val="both"/>
              <w:rPr>
                <w:rFonts w:ascii="Times New Roman" w:cs="Times New Roman" w:hAnsi="Times New Roman"/>
                <w:b/>
                <w:bCs/>
                <w:color w:val="000000"/>
                <w:sz w:val="24"/>
                <w:szCs w:val="24"/>
              </w:rPr>
            </w:pPr>
            <w:r>
              <w:rPr>
                <w:rFonts w:ascii="Times New Roman" w:cs="Times New Roman" w:hAnsi="Times New Roman"/>
                <w:b/>
                <w:bCs/>
                <w:color w:val="000000"/>
                <w:sz w:val="24"/>
                <w:szCs w:val="24"/>
              </w:rPr>
              <w:t xml:space="preserve">April </w:t>
            </w:r>
          </w:p>
        </w:tc>
        <w:tc>
          <w:tcPr>
            <w:tcW w:w="990" w:type="dxa"/>
            <w:tcBorders/>
            <w:shd w:val="clear" w:color="auto" w:fill="c4bc96"/>
          </w:tcPr>
          <w:p>
            <w:pPr>
              <w:pStyle w:val="style0"/>
              <w:spacing w:after="0" w:lineRule="auto" w:line="360"/>
              <w:jc w:val="both"/>
              <w:rPr>
                <w:rFonts w:ascii="Times New Roman" w:cs="Times New Roman" w:hAnsi="Times New Roman"/>
                <w:b/>
                <w:bCs/>
                <w:color w:val="000000"/>
                <w:sz w:val="24"/>
                <w:szCs w:val="24"/>
              </w:rPr>
            </w:pPr>
            <w:r>
              <w:rPr>
                <w:rFonts w:ascii="Times New Roman" w:cs="Times New Roman" w:hAnsi="Times New Roman"/>
                <w:b/>
                <w:bCs/>
                <w:color w:val="000000"/>
                <w:sz w:val="24"/>
                <w:szCs w:val="24"/>
              </w:rPr>
              <w:t>May</w:t>
            </w:r>
          </w:p>
        </w:tc>
        <w:tc>
          <w:tcPr>
            <w:tcW w:w="1064" w:type="dxa"/>
            <w:tcBorders/>
            <w:shd w:val="clear" w:color="auto" w:fill="c4bc96"/>
          </w:tcPr>
          <w:p>
            <w:pPr>
              <w:pStyle w:val="style0"/>
              <w:spacing w:after="0" w:lineRule="auto" w:line="360"/>
              <w:jc w:val="both"/>
              <w:rPr>
                <w:rFonts w:ascii="Times New Roman" w:cs="Times New Roman" w:hAnsi="Times New Roman"/>
                <w:b/>
                <w:bCs/>
                <w:color w:val="000000"/>
                <w:sz w:val="24"/>
                <w:szCs w:val="24"/>
              </w:rPr>
            </w:pPr>
            <w:r>
              <w:rPr>
                <w:rFonts w:ascii="Times New Roman" w:cs="Times New Roman" w:hAnsi="Times New Roman"/>
                <w:b/>
                <w:bCs/>
                <w:color w:val="000000"/>
                <w:sz w:val="24"/>
                <w:szCs w:val="24"/>
              </w:rPr>
              <w:t>June</w:t>
            </w:r>
          </w:p>
        </w:tc>
      </w:tr>
      <w:tr>
        <w:tblPrEx/>
        <w:trPr>
          <w:trHeight w:val="1070" w:hRule="atLeast"/>
        </w:trPr>
        <w:tc>
          <w:tcPr>
            <w:tcW w:w="1886"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TOPIC APPROVAL</w:t>
            </w:r>
          </w:p>
        </w:tc>
        <w:tc>
          <w:tcPr>
            <w:tcW w:w="1350" w:type="dxa"/>
            <w:tcBorders/>
            <w:shd w:val="clear" w:color="auto" w:fill="8db3e2"/>
          </w:tcPr>
          <w:p>
            <w:pPr>
              <w:pStyle w:val="style0"/>
              <w:spacing w:after="0" w:lineRule="auto" w:line="360"/>
              <w:jc w:val="both"/>
              <w:rPr>
                <w:rFonts w:ascii="Times New Roman" w:cs="Times New Roman" w:hAnsi="Times New Roman"/>
                <w:color w:val="000000"/>
                <w:sz w:val="24"/>
                <w:szCs w:val="24"/>
              </w:rPr>
            </w:pPr>
          </w:p>
        </w:tc>
        <w:tc>
          <w:tcPr>
            <w:tcW w:w="1440" w:type="dxa"/>
            <w:tcBorders/>
            <w:shd w:val="clear" w:color="auto" w:fill="ffffff"/>
          </w:tcPr>
          <w:p>
            <w:pPr>
              <w:pStyle w:val="style0"/>
              <w:spacing w:after="0" w:lineRule="auto" w:line="360"/>
              <w:jc w:val="both"/>
              <w:rPr>
                <w:rFonts w:ascii="Times New Roman" w:cs="Times New Roman" w:hAnsi="Times New Roman"/>
                <w:color w:val="000000"/>
                <w:sz w:val="24"/>
                <w:szCs w:val="24"/>
              </w:rPr>
            </w:pPr>
          </w:p>
        </w:tc>
        <w:tc>
          <w:tcPr>
            <w:tcW w:w="1260" w:type="dxa"/>
            <w:tcBorders/>
          </w:tcPr>
          <w:p>
            <w:pPr>
              <w:pStyle w:val="style0"/>
              <w:spacing w:after="0" w:lineRule="auto" w:line="360"/>
              <w:jc w:val="both"/>
              <w:rPr>
                <w:rFonts w:ascii="Times New Roman" w:cs="Times New Roman" w:hAnsi="Times New Roman"/>
                <w:color w:val="000000"/>
                <w:sz w:val="24"/>
                <w:szCs w:val="24"/>
              </w:rPr>
            </w:pPr>
          </w:p>
        </w:tc>
        <w:tc>
          <w:tcPr>
            <w:tcW w:w="1260" w:type="dxa"/>
            <w:tcBorders/>
          </w:tcPr>
          <w:p>
            <w:pPr>
              <w:pStyle w:val="style0"/>
              <w:spacing w:after="0" w:lineRule="auto" w:line="360"/>
              <w:jc w:val="both"/>
              <w:rPr>
                <w:rFonts w:ascii="Times New Roman" w:cs="Times New Roman" w:hAnsi="Times New Roman"/>
                <w:color w:val="000000"/>
                <w:sz w:val="24"/>
                <w:szCs w:val="24"/>
              </w:rPr>
            </w:pPr>
          </w:p>
        </w:tc>
        <w:tc>
          <w:tcPr>
            <w:tcW w:w="1080" w:type="dxa"/>
            <w:tcBorders/>
          </w:tcPr>
          <w:p>
            <w:pPr>
              <w:pStyle w:val="style0"/>
              <w:spacing w:after="0" w:lineRule="auto" w:line="360"/>
              <w:jc w:val="both"/>
              <w:rPr>
                <w:rFonts w:ascii="Times New Roman" w:cs="Times New Roman" w:hAnsi="Times New Roman"/>
                <w:color w:val="000000"/>
                <w:sz w:val="24"/>
                <w:szCs w:val="24"/>
              </w:rPr>
            </w:pPr>
          </w:p>
        </w:tc>
        <w:tc>
          <w:tcPr>
            <w:tcW w:w="990" w:type="dxa"/>
            <w:tcBorders/>
          </w:tcPr>
          <w:p>
            <w:pPr>
              <w:pStyle w:val="style0"/>
              <w:spacing w:after="0" w:lineRule="auto" w:line="360"/>
              <w:jc w:val="both"/>
              <w:rPr>
                <w:rFonts w:ascii="Times New Roman" w:cs="Times New Roman" w:hAnsi="Times New Roman"/>
                <w:color w:val="000000"/>
                <w:sz w:val="24"/>
                <w:szCs w:val="24"/>
              </w:rPr>
            </w:pPr>
          </w:p>
        </w:tc>
        <w:tc>
          <w:tcPr>
            <w:tcW w:w="990" w:type="dxa"/>
            <w:tcBorders/>
          </w:tcPr>
          <w:p>
            <w:pPr>
              <w:pStyle w:val="style0"/>
              <w:spacing w:after="0" w:lineRule="auto" w:line="360"/>
              <w:jc w:val="both"/>
              <w:rPr>
                <w:rFonts w:ascii="Times New Roman" w:cs="Times New Roman" w:hAnsi="Times New Roman"/>
                <w:color w:val="000000"/>
                <w:sz w:val="24"/>
                <w:szCs w:val="24"/>
              </w:rPr>
            </w:pPr>
          </w:p>
        </w:tc>
        <w:tc>
          <w:tcPr>
            <w:tcW w:w="1064" w:type="dxa"/>
            <w:tcBorders/>
          </w:tcPr>
          <w:p>
            <w:pPr>
              <w:pStyle w:val="style0"/>
              <w:spacing w:after="0" w:lineRule="auto" w:line="360"/>
              <w:jc w:val="both"/>
              <w:rPr>
                <w:rFonts w:ascii="Times New Roman" w:cs="Times New Roman" w:hAnsi="Times New Roman"/>
                <w:color w:val="000000"/>
                <w:sz w:val="24"/>
                <w:szCs w:val="24"/>
              </w:rPr>
            </w:pPr>
          </w:p>
        </w:tc>
      </w:tr>
      <w:tr>
        <w:tblPrEx/>
        <w:trPr>
          <w:trHeight w:val="1070" w:hRule="atLeast"/>
        </w:trPr>
        <w:tc>
          <w:tcPr>
            <w:tcW w:w="1886"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CONCEPT SUBMISSION</w:t>
            </w:r>
          </w:p>
        </w:tc>
        <w:tc>
          <w:tcPr>
            <w:tcW w:w="1350" w:type="dxa"/>
            <w:tcBorders/>
            <w:shd w:val="clear" w:color="auto" w:fill="ffffff"/>
          </w:tcPr>
          <w:p>
            <w:pPr>
              <w:pStyle w:val="style0"/>
              <w:spacing w:after="0" w:lineRule="auto" w:line="360"/>
              <w:jc w:val="both"/>
              <w:rPr>
                <w:rFonts w:ascii="Times New Roman" w:cs="Times New Roman" w:hAnsi="Times New Roman"/>
                <w:color w:val="000000"/>
                <w:sz w:val="24"/>
                <w:szCs w:val="24"/>
              </w:rPr>
            </w:pPr>
          </w:p>
        </w:tc>
        <w:tc>
          <w:tcPr>
            <w:tcW w:w="1440" w:type="dxa"/>
            <w:tcBorders/>
            <w:shd w:val="clear" w:color="auto" w:fill="8db3e2"/>
          </w:tcPr>
          <w:p>
            <w:pPr>
              <w:pStyle w:val="style0"/>
              <w:spacing w:after="0" w:lineRule="auto" w:line="360"/>
              <w:jc w:val="both"/>
              <w:rPr>
                <w:rFonts w:ascii="Times New Roman" w:cs="Times New Roman" w:hAnsi="Times New Roman"/>
                <w:color w:val="000000"/>
                <w:sz w:val="24"/>
                <w:szCs w:val="24"/>
              </w:rPr>
            </w:pPr>
          </w:p>
        </w:tc>
        <w:tc>
          <w:tcPr>
            <w:tcW w:w="1260" w:type="dxa"/>
            <w:tcBorders/>
          </w:tcPr>
          <w:p>
            <w:pPr>
              <w:pStyle w:val="style0"/>
              <w:spacing w:after="0" w:lineRule="auto" w:line="360"/>
              <w:jc w:val="both"/>
              <w:rPr>
                <w:rFonts w:ascii="Times New Roman" w:cs="Times New Roman" w:hAnsi="Times New Roman"/>
                <w:color w:val="000000"/>
                <w:sz w:val="24"/>
                <w:szCs w:val="24"/>
              </w:rPr>
            </w:pPr>
          </w:p>
        </w:tc>
        <w:tc>
          <w:tcPr>
            <w:tcW w:w="1260" w:type="dxa"/>
            <w:tcBorders/>
          </w:tcPr>
          <w:p>
            <w:pPr>
              <w:pStyle w:val="style0"/>
              <w:spacing w:after="0" w:lineRule="auto" w:line="360"/>
              <w:jc w:val="both"/>
              <w:rPr>
                <w:rFonts w:ascii="Times New Roman" w:cs="Times New Roman" w:hAnsi="Times New Roman"/>
                <w:color w:val="000000"/>
                <w:sz w:val="24"/>
                <w:szCs w:val="24"/>
              </w:rPr>
            </w:pPr>
          </w:p>
        </w:tc>
        <w:tc>
          <w:tcPr>
            <w:tcW w:w="1080" w:type="dxa"/>
            <w:tcBorders/>
          </w:tcPr>
          <w:p>
            <w:pPr>
              <w:pStyle w:val="style0"/>
              <w:spacing w:after="0" w:lineRule="auto" w:line="360"/>
              <w:jc w:val="both"/>
              <w:rPr>
                <w:rFonts w:ascii="Times New Roman" w:cs="Times New Roman" w:hAnsi="Times New Roman"/>
                <w:color w:val="000000"/>
                <w:sz w:val="24"/>
                <w:szCs w:val="24"/>
              </w:rPr>
            </w:pPr>
          </w:p>
        </w:tc>
        <w:tc>
          <w:tcPr>
            <w:tcW w:w="990" w:type="dxa"/>
            <w:tcBorders/>
          </w:tcPr>
          <w:p>
            <w:pPr>
              <w:pStyle w:val="style0"/>
              <w:spacing w:after="0" w:lineRule="auto" w:line="360"/>
              <w:jc w:val="both"/>
              <w:rPr>
                <w:rFonts w:ascii="Times New Roman" w:cs="Times New Roman" w:hAnsi="Times New Roman"/>
                <w:color w:val="000000"/>
                <w:sz w:val="24"/>
                <w:szCs w:val="24"/>
              </w:rPr>
            </w:pPr>
          </w:p>
        </w:tc>
        <w:tc>
          <w:tcPr>
            <w:tcW w:w="990" w:type="dxa"/>
            <w:tcBorders/>
          </w:tcPr>
          <w:p>
            <w:pPr>
              <w:pStyle w:val="style0"/>
              <w:spacing w:after="0" w:lineRule="auto" w:line="360"/>
              <w:jc w:val="both"/>
              <w:rPr>
                <w:rFonts w:ascii="Times New Roman" w:cs="Times New Roman" w:hAnsi="Times New Roman"/>
                <w:color w:val="000000"/>
                <w:sz w:val="24"/>
                <w:szCs w:val="24"/>
              </w:rPr>
            </w:pPr>
          </w:p>
        </w:tc>
        <w:tc>
          <w:tcPr>
            <w:tcW w:w="1064" w:type="dxa"/>
            <w:tcBorders/>
          </w:tcPr>
          <w:p>
            <w:pPr>
              <w:pStyle w:val="style0"/>
              <w:spacing w:after="0" w:lineRule="auto" w:line="360"/>
              <w:jc w:val="both"/>
              <w:rPr>
                <w:rFonts w:ascii="Times New Roman" w:cs="Times New Roman" w:hAnsi="Times New Roman"/>
                <w:color w:val="000000"/>
                <w:sz w:val="24"/>
                <w:szCs w:val="24"/>
              </w:rPr>
            </w:pPr>
          </w:p>
        </w:tc>
      </w:tr>
      <w:tr>
        <w:tblPrEx/>
        <w:trPr>
          <w:trHeight w:val="1160" w:hRule="atLeast"/>
        </w:trPr>
        <w:tc>
          <w:tcPr>
            <w:tcW w:w="1886"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PROPOSAL WRITING</w:t>
            </w:r>
          </w:p>
        </w:tc>
        <w:tc>
          <w:tcPr>
            <w:tcW w:w="1350" w:type="dxa"/>
            <w:tcBorders/>
            <w:shd w:val="clear" w:color="auto" w:fill="ffffff"/>
          </w:tcPr>
          <w:p>
            <w:pPr>
              <w:pStyle w:val="style0"/>
              <w:spacing w:after="0" w:lineRule="auto" w:line="360"/>
              <w:jc w:val="both"/>
              <w:rPr>
                <w:rFonts w:ascii="Times New Roman" w:cs="Times New Roman" w:hAnsi="Times New Roman"/>
                <w:color w:val="000000"/>
                <w:sz w:val="24"/>
                <w:szCs w:val="24"/>
              </w:rPr>
            </w:pPr>
          </w:p>
        </w:tc>
        <w:tc>
          <w:tcPr>
            <w:tcW w:w="1440" w:type="dxa"/>
            <w:tcBorders/>
            <w:shd w:val="clear" w:color="auto" w:fill="ffffff"/>
          </w:tcPr>
          <w:p>
            <w:pPr>
              <w:pStyle w:val="style0"/>
              <w:spacing w:after="0" w:lineRule="auto" w:line="360"/>
              <w:jc w:val="both"/>
              <w:rPr>
                <w:rFonts w:ascii="Times New Roman" w:cs="Times New Roman" w:hAnsi="Times New Roman"/>
                <w:color w:val="000000"/>
                <w:sz w:val="24"/>
                <w:szCs w:val="24"/>
              </w:rPr>
            </w:pPr>
          </w:p>
        </w:tc>
        <w:tc>
          <w:tcPr>
            <w:tcW w:w="1260" w:type="dxa"/>
            <w:tcBorders/>
            <w:shd w:val="clear" w:color="auto" w:fill="8db3e2"/>
          </w:tcPr>
          <w:p>
            <w:pPr>
              <w:pStyle w:val="style0"/>
              <w:spacing w:after="0" w:lineRule="auto" w:line="360"/>
              <w:jc w:val="both"/>
              <w:rPr>
                <w:rFonts w:ascii="Times New Roman" w:cs="Times New Roman" w:hAnsi="Times New Roman"/>
                <w:color w:val="000000"/>
                <w:sz w:val="24"/>
                <w:szCs w:val="24"/>
              </w:rPr>
            </w:pPr>
          </w:p>
        </w:tc>
        <w:tc>
          <w:tcPr>
            <w:tcW w:w="1260" w:type="dxa"/>
            <w:tcBorders/>
          </w:tcPr>
          <w:p>
            <w:pPr>
              <w:pStyle w:val="style0"/>
              <w:spacing w:after="0" w:lineRule="auto" w:line="360"/>
              <w:jc w:val="both"/>
              <w:rPr>
                <w:rFonts w:ascii="Times New Roman" w:cs="Times New Roman" w:hAnsi="Times New Roman"/>
                <w:color w:val="000000"/>
                <w:sz w:val="24"/>
                <w:szCs w:val="24"/>
              </w:rPr>
            </w:pPr>
          </w:p>
        </w:tc>
        <w:tc>
          <w:tcPr>
            <w:tcW w:w="1080" w:type="dxa"/>
            <w:tcBorders/>
          </w:tcPr>
          <w:p>
            <w:pPr>
              <w:pStyle w:val="style0"/>
              <w:spacing w:after="0" w:lineRule="auto" w:line="360"/>
              <w:jc w:val="both"/>
              <w:rPr>
                <w:rFonts w:ascii="Times New Roman" w:cs="Times New Roman" w:hAnsi="Times New Roman"/>
                <w:color w:val="000000"/>
                <w:sz w:val="24"/>
                <w:szCs w:val="24"/>
              </w:rPr>
            </w:pPr>
          </w:p>
        </w:tc>
        <w:tc>
          <w:tcPr>
            <w:tcW w:w="990" w:type="dxa"/>
            <w:tcBorders/>
          </w:tcPr>
          <w:p>
            <w:pPr>
              <w:pStyle w:val="style0"/>
              <w:spacing w:after="0" w:lineRule="auto" w:line="360"/>
              <w:jc w:val="both"/>
              <w:rPr>
                <w:rFonts w:ascii="Times New Roman" w:cs="Times New Roman" w:hAnsi="Times New Roman"/>
                <w:color w:val="000000"/>
                <w:sz w:val="24"/>
                <w:szCs w:val="24"/>
              </w:rPr>
            </w:pPr>
          </w:p>
        </w:tc>
        <w:tc>
          <w:tcPr>
            <w:tcW w:w="990" w:type="dxa"/>
            <w:tcBorders/>
          </w:tcPr>
          <w:p>
            <w:pPr>
              <w:pStyle w:val="style0"/>
              <w:spacing w:after="0" w:lineRule="auto" w:line="360"/>
              <w:jc w:val="both"/>
              <w:rPr>
                <w:rFonts w:ascii="Times New Roman" w:cs="Times New Roman" w:hAnsi="Times New Roman"/>
                <w:color w:val="000000"/>
                <w:sz w:val="24"/>
                <w:szCs w:val="24"/>
              </w:rPr>
            </w:pPr>
          </w:p>
        </w:tc>
        <w:tc>
          <w:tcPr>
            <w:tcW w:w="1064" w:type="dxa"/>
            <w:tcBorders/>
          </w:tcPr>
          <w:p>
            <w:pPr>
              <w:pStyle w:val="style0"/>
              <w:spacing w:after="0" w:lineRule="auto" w:line="360"/>
              <w:jc w:val="both"/>
              <w:rPr>
                <w:rFonts w:ascii="Times New Roman" w:cs="Times New Roman" w:hAnsi="Times New Roman"/>
                <w:color w:val="000000"/>
                <w:sz w:val="24"/>
                <w:szCs w:val="24"/>
              </w:rPr>
            </w:pPr>
          </w:p>
        </w:tc>
      </w:tr>
      <w:tr>
        <w:tblPrEx/>
        <w:trPr>
          <w:trHeight w:val="1250" w:hRule="atLeast"/>
        </w:trPr>
        <w:tc>
          <w:tcPr>
            <w:tcW w:w="1886"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DOING CORRECTIONS  </w:t>
            </w:r>
          </w:p>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AND DEFENCE</w:t>
            </w:r>
          </w:p>
        </w:tc>
        <w:tc>
          <w:tcPr>
            <w:tcW w:w="1350" w:type="dxa"/>
            <w:tcBorders/>
            <w:shd w:val="clear" w:color="auto" w:fill="ffffff"/>
          </w:tcPr>
          <w:p>
            <w:pPr>
              <w:pStyle w:val="style0"/>
              <w:spacing w:after="0" w:lineRule="auto" w:line="360"/>
              <w:jc w:val="both"/>
              <w:rPr>
                <w:rFonts w:ascii="Times New Roman" w:cs="Times New Roman" w:hAnsi="Times New Roman"/>
                <w:color w:val="000000"/>
                <w:sz w:val="24"/>
                <w:szCs w:val="24"/>
              </w:rPr>
            </w:pPr>
          </w:p>
        </w:tc>
        <w:tc>
          <w:tcPr>
            <w:tcW w:w="1440" w:type="dxa"/>
            <w:tcBorders/>
            <w:shd w:val="clear" w:color="auto" w:fill="ffffff"/>
          </w:tcPr>
          <w:p>
            <w:pPr>
              <w:pStyle w:val="style0"/>
              <w:spacing w:after="0" w:lineRule="auto" w:line="360"/>
              <w:jc w:val="both"/>
              <w:rPr>
                <w:rFonts w:ascii="Times New Roman" w:cs="Times New Roman" w:hAnsi="Times New Roman"/>
                <w:color w:val="000000"/>
                <w:sz w:val="24"/>
                <w:szCs w:val="24"/>
              </w:rPr>
            </w:pPr>
          </w:p>
        </w:tc>
        <w:tc>
          <w:tcPr>
            <w:tcW w:w="1260" w:type="dxa"/>
            <w:tcBorders/>
          </w:tcPr>
          <w:p>
            <w:pPr>
              <w:pStyle w:val="style0"/>
              <w:spacing w:after="0" w:lineRule="auto" w:line="360"/>
              <w:jc w:val="both"/>
              <w:rPr>
                <w:rFonts w:ascii="Times New Roman" w:cs="Times New Roman" w:hAnsi="Times New Roman"/>
                <w:color w:val="000000"/>
                <w:sz w:val="24"/>
                <w:szCs w:val="24"/>
              </w:rPr>
            </w:pPr>
          </w:p>
        </w:tc>
        <w:tc>
          <w:tcPr>
            <w:tcW w:w="1260" w:type="dxa"/>
            <w:tcBorders/>
            <w:shd w:val="clear" w:color="auto" w:fill="8db3e2"/>
          </w:tcPr>
          <w:p>
            <w:pPr>
              <w:pStyle w:val="style0"/>
              <w:spacing w:after="0" w:lineRule="auto" w:line="360"/>
              <w:jc w:val="both"/>
              <w:rPr>
                <w:rFonts w:ascii="Times New Roman" w:cs="Times New Roman" w:hAnsi="Times New Roman"/>
                <w:color w:val="000000"/>
                <w:sz w:val="24"/>
                <w:szCs w:val="24"/>
              </w:rPr>
            </w:pPr>
          </w:p>
        </w:tc>
        <w:tc>
          <w:tcPr>
            <w:tcW w:w="1080" w:type="dxa"/>
            <w:tcBorders/>
          </w:tcPr>
          <w:p>
            <w:pPr>
              <w:pStyle w:val="style0"/>
              <w:spacing w:after="0" w:lineRule="auto" w:line="360"/>
              <w:jc w:val="both"/>
              <w:rPr>
                <w:rFonts w:ascii="Times New Roman" w:cs="Times New Roman" w:hAnsi="Times New Roman"/>
                <w:color w:val="000000"/>
                <w:sz w:val="24"/>
                <w:szCs w:val="24"/>
              </w:rPr>
            </w:pPr>
          </w:p>
        </w:tc>
        <w:tc>
          <w:tcPr>
            <w:tcW w:w="990" w:type="dxa"/>
            <w:tcBorders/>
          </w:tcPr>
          <w:p>
            <w:pPr>
              <w:pStyle w:val="style0"/>
              <w:spacing w:after="0" w:lineRule="auto" w:line="360"/>
              <w:jc w:val="both"/>
              <w:rPr>
                <w:rFonts w:ascii="Times New Roman" w:cs="Times New Roman" w:hAnsi="Times New Roman"/>
                <w:color w:val="000000"/>
                <w:sz w:val="24"/>
                <w:szCs w:val="24"/>
              </w:rPr>
            </w:pPr>
          </w:p>
        </w:tc>
        <w:tc>
          <w:tcPr>
            <w:tcW w:w="990" w:type="dxa"/>
            <w:tcBorders/>
          </w:tcPr>
          <w:p>
            <w:pPr>
              <w:pStyle w:val="style0"/>
              <w:spacing w:after="0" w:lineRule="auto" w:line="360"/>
              <w:jc w:val="both"/>
              <w:rPr>
                <w:rFonts w:ascii="Times New Roman" w:cs="Times New Roman" w:hAnsi="Times New Roman"/>
                <w:color w:val="000000"/>
                <w:sz w:val="24"/>
                <w:szCs w:val="24"/>
              </w:rPr>
            </w:pPr>
          </w:p>
        </w:tc>
        <w:tc>
          <w:tcPr>
            <w:tcW w:w="1064" w:type="dxa"/>
            <w:tcBorders/>
          </w:tcPr>
          <w:p>
            <w:pPr>
              <w:pStyle w:val="style0"/>
              <w:spacing w:after="0" w:lineRule="auto" w:line="360"/>
              <w:jc w:val="both"/>
              <w:rPr>
                <w:rFonts w:ascii="Times New Roman" w:cs="Times New Roman" w:hAnsi="Times New Roman"/>
                <w:color w:val="000000"/>
                <w:sz w:val="24"/>
                <w:szCs w:val="24"/>
              </w:rPr>
            </w:pPr>
          </w:p>
        </w:tc>
      </w:tr>
      <w:tr>
        <w:tblPrEx/>
        <w:trPr>
          <w:trHeight w:val="1160" w:hRule="atLeast"/>
        </w:trPr>
        <w:tc>
          <w:tcPr>
            <w:tcW w:w="1886"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DATA COLLECTION</w:t>
            </w:r>
          </w:p>
        </w:tc>
        <w:tc>
          <w:tcPr>
            <w:tcW w:w="1350" w:type="dxa"/>
            <w:tcBorders/>
            <w:shd w:val="clear" w:color="auto" w:fill="ffffff"/>
          </w:tcPr>
          <w:p>
            <w:pPr>
              <w:pStyle w:val="style0"/>
              <w:spacing w:after="0" w:lineRule="auto" w:line="360"/>
              <w:jc w:val="both"/>
              <w:rPr>
                <w:rFonts w:ascii="Times New Roman" w:cs="Times New Roman" w:hAnsi="Times New Roman"/>
                <w:color w:val="000000"/>
                <w:sz w:val="24"/>
                <w:szCs w:val="24"/>
              </w:rPr>
            </w:pPr>
          </w:p>
        </w:tc>
        <w:tc>
          <w:tcPr>
            <w:tcW w:w="1440" w:type="dxa"/>
            <w:tcBorders/>
            <w:shd w:val="clear" w:color="auto" w:fill="ffffff"/>
          </w:tcPr>
          <w:p>
            <w:pPr>
              <w:pStyle w:val="style0"/>
              <w:spacing w:after="0" w:lineRule="auto" w:line="360"/>
              <w:jc w:val="both"/>
              <w:rPr>
                <w:rFonts w:ascii="Times New Roman" w:cs="Times New Roman" w:hAnsi="Times New Roman"/>
                <w:color w:val="000000"/>
                <w:sz w:val="24"/>
                <w:szCs w:val="24"/>
              </w:rPr>
            </w:pPr>
          </w:p>
        </w:tc>
        <w:tc>
          <w:tcPr>
            <w:tcW w:w="1260" w:type="dxa"/>
            <w:tcBorders/>
            <w:shd w:val="clear" w:color="auto" w:fill="ffffff"/>
          </w:tcPr>
          <w:p>
            <w:pPr>
              <w:pStyle w:val="style0"/>
              <w:spacing w:after="0" w:lineRule="auto" w:line="360"/>
              <w:jc w:val="both"/>
              <w:rPr>
                <w:rFonts w:ascii="Times New Roman" w:cs="Times New Roman" w:hAnsi="Times New Roman"/>
                <w:color w:val="000000"/>
                <w:sz w:val="24"/>
                <w:szCs w:val="24"/>
              </w:rPr>
            </w:pPr>
          </w:p>
        </w:tc>
        <w:tc>
          <w:tcPr>
            <w:tcW w:w="1260" w:type="dxa"/>
            <w:tcBorders/>
            <w:shd w:val="clear" w:color="auto" w:fill="ffffff"/>
          </w:tcPr>
          <w:p>
            <w:pPr>
              <w:pStyle w:val="style0"/>
              <w:spacing w:after="0" w:lineRule="auto" w:line="360"/>
              <w:jc w:val="both"/>
              <w:rPr>
                <w:rFonts w:ascii="Times New Roman" w:cs="Times New Roman" w:hAnsi="Times New Roman"/>
                <w:color w:val="000000"/>
                <w:sz w:val="24"/>
                <w:szCs w:val="24"/>
              </w:rPr>
            </w:pPr>
          </w:p>
        </w:tc>
        <w:tc>
          <w:tcPr>
            <w:tcW w:w="1080" w:type="dxa"/>
            <w:tcBorders/>
            <w:shd w:val="clear" w:color="auto" w:fill="8db3e2"/>
          </w:tcPr>
          <w:p>
            <w:pPr>
              <w:pStyle w:val="style0"/>
              <w:spacing w:after="0" w:lineRule="auto" w:line="360"/>
              <w:jc w:val="both"/>
              <w:rPr>
                <w:rFonts w:ascii="Times New Roman" w:cs="Times New Roman" w:hAnsi="Times New Roman"/>
                <w:color w:val="000000"/>
                <w:sz w:val="24"/>
                <w:szCs w:val="24"/>
              </w:rPr>
            </w:pPr>
          </w:p>
        </w:tc>
        <w:tc>
          <w:tcPr>
            <w:tcW w:w="990" w:type="dxa"/>
            <w:tcBorders/>
          </w:tcPr>
          <w:p>
            <w:pPr>
              <w:pStyle w:val="style0"/>
              <w:spacing w:after="0" w:lineRule="auto" w:line="360"/>
              <w:jc w:val="both"/>
              <w:rPr>
                <w:rFonts w:ascii="Times New Roman" w:cs="Times New Roman" w:hAnsi="Times New Roman"/>
                <w:color w:val="000000"/>
                <w:sz w:val="24"/>
                <w:szCs w:val="24"/>
              </w:rPr>
            </w:pPr>
          </w:p>
        </w:tc>
        <w:tc>
          <w:tcPr>
            <w:tcW w:w="990" w:type="dxa"/>
            <w:tcBorders/>
          </w:tcPr>
          <w:p>
            <w:pPr>
              <w:pStyle w:val="style0"/>
              <w:spacing w:after="0" w:lineRule="auto" w:line="360"/>
              <w:jc w:val="both"/>
              <w:rPr>
                <w:rFonts w:ascii="Times New Roman" w:cs="Times New Roman" w:hAnsi="Times New Roman"/>
                <w:color w:val="000000"/>
                <w:sz w:val="24"/>
                <w:szCs w:val="24"/>
              </w:rPr>
            </w:pPr>
          </w:p>
        </w:tc>
        <w:tc>
          <w:tcPr>
            <w:tcW w:w="1064" w:type="dxa"/>
            <w:tcBorders/>
          </w:tcPr>
          <w:p>
            <w:pPr>
              <w:pStyle w:val="style0"/>
              <w:spacing w:after="0" w:lineRule="auto" w:line="360"/>
              <w:jc w:val="both"/>
              <w:rPr>
                <w:rFonts w:ascii="Times New Roman" w:cs="Times New Roman" w:hAnsi="Times New Roman"/>
                <w:color w:val="000000"/>
                <w:sz w:val="24"/>
                <w:szCs w:val="24"/>
              </w:rPr>
            </w:pPr>
          </w:p>
        </w:tc>
      </w:tr>
      <w:tr>
        <w:tblPrEx/>
        <w:trPr>
          <w:cantSplit/>
          <w:trHeight w:val="1520" w:hRule="atLeast"/>
        </w:trPr>
        <w:tc>
          <w:tcPr>
            <w:tcW w:w="1886"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DATA ANALYSIS AND PRESENTATION</w:t>
            </w:r>
          </w:p>
        </w:tc>
        <w:tc>
          <w:tcPr>
            <w:tcW w:w="1350" w:type="dxa"/>
            <w:tcBorders/>
            <w:shd w:val="clear" w:color="auto" w:fill="ffffff"/>
          </w:tcPr>
          <w:p>
            <w:pPr>
              <w:pStyle w:val="style0"/>
              <w:spacing w:after="0" w:lineRule="auto" w:line="360"/>
              <w:jc w:val="both"/>
              <w:rPr>
                <w:rFonts w:ascii="Times New Roman" w:cs="Times New Roman" w:hAnsi="Times New Roman"/>
                <w:color w:val="000000"/>
                <w:sz w:val="24"/>
                <w:szCs w:val="24"/>
              </w:rPr>
            </w:pPr>
          </w:p>
        </w:tc>
        <w:tc>
          <w:tcPr>
            <w:tcW w:w="1440" w:type="dxa"/>
            <w:tcBorders/>
            <w:shd w:val="clear" w:color="auto" w:fill="ffffff"/>
          </w:tcPr>
          <w:p>
            <w:pPr>
              <w:pStyle w:val="style0"/>
              <w:spacing w:after="0" w:lineRule="auto" w:line="360"/>
              <w:jc w:val="both"/>
              <w:rPr>
                <w:rFonts w:ascii="Times New Roman" w:cs="Times New Roman" w:hAnsi="Times New Roman"/>
                <w:color w:val="000000"/>
                <w:sz w:val="24"/>
                <w:szCs w:val="24"/>
              </w:rPr>
            </w:pPr>
          </w:p>
        </w:tc>
        <w:tc>
          <w:tcPr>
            <w:tcW w:w="1260" w:type="dxa"/>
            <w:tcBorders/>
            <w:shd w:val="clear" w:color="auto" w:fill="ffffff"/>
          </w:tcPr>
          <w:p>
            <w:pPr>
              <w:pStyle w:val="style0"/>
              <w:spacing w:after="0" w:lineRule="auto" w:line="360"/>
              <w:jc w:val="both"/>
              <w:rPr>
                <w:rFonts w:ascii="Times New Roman" w:cs="Times New Roman" w:hAnsi="Times New Roman"/>
                <w:color w:val="000000"/>
                <w:sz w:val="24"/>
                <w:szCs w:val="24"/>
              </w:rPr>
            </w:pPr>
          </w:p>
        </w:tc>
        <w:tc>
          <w:tcPr>
            <w:tcW w:w="1260" w:type="dxa"/>
            <w:tcBorders/>
            <w:shd w:val="clear" w:color="auto" w:fill="ffffff"/>
          </w:tcPr>
          <w:p>
            <w:pPr>
              <w:pStyle w:val="style0"/>
              <w:spacing w:after="0" w:lineRule="auto" w:line="360"/>
              <w:jc w:val="both"/>
              <w:rPr>
                <w:rFonts w:ascii="Times New Roman" w:cs="Times New Roman" w:hAnsi="Times New Roman"/>
                <w:color w:val="000000"/>
                <w:sz w:val="24"/>
                <w:szCs w:val="24"/>
              </w:rPr>
            </w:pPr>
          </w:p>
        </w:tc>
        <w:tc>
          <w:tcPr>
            <w:tcW w:w="1080" w:type="dxa"/>
            <w:tcBorders/>
          </w:tcPr>
          <w:p>
            <w:pPr>
              <w:pStyle w:val="style0"/>
              <w:spacing w:after="0" w:lineRule="auto" w:line="360"/>
              <w:jc w:val="both"/>
              <w:rPr>
                <w:rFonts w:ascii="Times New Roman" w:cs="Times New Roman" w:hAnsi="Times New Roman"/>
                <w:color w:val="000000"/>
                <w:sz w:val="24"/>
                <w:szCs w:val="24"/>
              </w:rPr>
            </w:pPr>
          </w:p>
        </w:tc>
        <w:tc>
          <w:tcPr>
            <w:tcW w:w="990" w:type="dxa"/>
            <w:tcBorders/>
            <w:shd w:val="clear" w:color="auto" w:fill="8db3e2"/>
          </w:tcPr>
          <w:p>
            <w:pPr>
              <w:pStyle w:val="style0"/>
              <w:spacing w:after="0" w:lineRule="auto" w:line="360"/>
              <w:jc w:val="both"/>
              <w:rPr>
                <w:rFonts w:ascii="Times New Roman" w:cs="Times New Roman" w:hAnsi="Times New Roman"/>
                <w:color w:val="000000"/>
                <w:sz w:val="24"/>
                <w:szCs w:val="24"/>
              </w:rPr>
            </w:pPr>
          </w:p>
        </w:tc>
        <w:tc>
          <w:tcPr>
            <w:tcW w:w="990" w:type="dxa"/>
            <w:tcBorders/>
          </w:tcPr>
          <w:p>
            <w:pPr>
              <w:pStyle w:val="style0"/>
              <w:spacing w:after="0" w:lineRule="auto" w:line="360"/>
              <w:jc w:val="both"/>
              <w:rPr>
                <w:rFonts w:ascii="Times New Roman" w:cs="Times New Roman" w:hAnsi="Times New Roman"/>
                <w:color w:val="000000"/>
                <w:sz w:val="24"/>
                <w:szCs w:val="24"/>
              </w:rPr>
            </w:pPr>
          </w:p>
        </w:tc>
        <w:tc>
          <w:tcPr>
            <w:tcW w:w="1064" w:type="dxa"/>
            <w:tcBorders/>
          </w:tcPr>
          <w:p>
            <w:pPr>
              <w:pStyle w:val="style0"/>
              <w:spacing w:after="0" w:lineRule="auto" w:line="360"/>
              <w:jc w:val="both"/>
              <w:rPr>
                <w:rFonts w:ascii="Times New Roman" w:cs="Times New Roman" w:hAnsi="Times New Roman"/>
                <w:color w:val="000000"/>
                <w:sz w:val="24"/>
                <w:szCs w:val="24"/>
              </w:rPr>
            </w:pPr>
          </w:p>
        </w:tc>
      </w:tr>
      <w:tr>
        <w:tblPrEx/>
        <w:trPr>
          <w:trHeight w:val="1070" w:hRule="atLeast"/>
        </w:trPr>
        <w:tc>
          <w:tcPr>
            <w:tcW w:w="1886"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CORRECTIONS </w:t>
            </w:r>
          </w:p>
        </w:tc>
        <w:tc>
          <w:tcPr>
            <w:tcW w:w="1350" w:type="dxa"/>
            <w:tcBorders/>
            <w:shd w:val="clear" w:color="auto" w:fill="ffffff"/>
          </w:tcPr>
          <w:p>
            <w:pPr>
              <w:pStyle w:val="style0"/>
              <w:spacing w:after="0" w:lineRule="auto" w:line="360"/>
              <w:jc w:val="both"/>
              <w:rPr>
                <w:rFonts w:ascii="Times New Roman" w:cs="Times New Roman" w:hAnsi="Times New Roman"/>
                <w:color w:val="000000"/>
                <w:sz w:val="24"/>
                <w:szCs w:val="24"/>
              </w:rPr>
            </w:pPr>
          </w:p>
        </w:tc>
        <w:tc>
          <w:tcPr>
            <w:tcW w:w="1440" w:type="dxa"/>
            <w:tcBorders/>
            <w:shd w:val="clear" w:color="auto" w:fill="ffffff"/>
          </w:tcPr>
          <w:p>
            <w:pPr>
              <w:pStyle w:val="style0"/>
              <w:spacing w:after="0" w:lineRule="auto" w:line="360"/>
              <w:jc w:val="both"/>
              <w:rPr>
                <w:rFonts w:ascii="Times New Roman" w:cs="Times New Roman" w:hAnsi="Times New Roman"/>
                <w:color w:val="000000"/>
                <w:sz w:val="24"/>
                <w:szCs w:val="24"/>
              </w:rPr>
            </w:pPr>
          </w:p>
        </w:tc>
        <w:tc>
          <w:tcPr>
            <w:tcW w:w="1260" w:type="dxa"/>
            <w:tcBorders/>
          </w:tcPr>
          <w:p>
            <w:pPr>
              <w:pStyle w:val="style0"/>
              <w:spacing w:after="0" w:lineRule="auto" w:line="360"/>
              <w:jc w:val="both"/>
              <w:rPr>
                <w:rFonts w:ascii="Times New Roman" w:cs="Times New Roman" w:hAnsi="Times New Roman"/>
                <w:color w:val="000000"/>
                <w:sz w:val="24"/>
                <w:szCs w:val="24"/>
              </w:rPr>
            </w:pPr>
          </w:p>
        </w:tc>
        <w:tc>
          <w:tcPr>
            <w:tcW w:w="1260" w:type="dxa"/>
            <w:tcBorders/>
          </w:tcPr>
          <w:p>
            <w:pPr>
              <w:pStyle w:val="style0"/>
              <w:spacing w:after="0" w:lineRule="auto" w:line="360"/>
              <w:jc w:val="both"/>
              <w:rPr>
                <w:rFonts w:ascii="Times New Roman" w:cs="Times New Roman" w:hAnsi="Times New Roman"/>
                <w:color w:val="000000"/>
                <w:sz w:val="24"/>
                <w:szCs w:val="24"/>
              </w:rPr>
            </w:pPr>
          </w:p>
        </w:tc>
        <w:tc>
          <w:tcPr>
            <w:tcW w:w="1080" w:type="dxa"/>
            <w:tcBorders/>
          </w:tcPr>
          <w:p>
            <w:pPr>
              <w:pStyle w:val="style0"/>
              <w:spacing w:after="0" w:lineRule="auto" w:line="360"/>
              <w:jc w:val="both"/>
              <w:rPr>
                <w:rFonts w:ascii="Times New Roman" w:cs="Times New Roman" w:hAnsi="Times New Roman"/>
                <w:color w:val="000000"/>
                <w:sz w:val="24"/>
                <w:szCs w:val="24"/>
              </w:rPr>
            </w:pPr>
          </w:p>
        </w:tc>
        <w:tc>
          <w:tcPr>
            <w:tcW w:w="990" w:type="dxa"/>
            <w:tcBorders/>
          </w:tcPr>
          <w:p>
            <w:pPr>
              <w:pStyle w:val="style0"/>
              <w:spacing w:after="0" w:lineRule="auto" w:line="360"/>
              <w:jc w:val="both"/>
              <w:rPr>
                <w:rFonts w:ascii="Times New Roman" w:cs="Times New Roman" w:hAnsi="Times New Roman"/>
                <w:color w:val="000000"/>
                <w:sz w:val="24"/>
                <w:szCs w:val="24"/>
              </w:rPr>
            </w:pPr>
          </w:p>
        </w:tc>
        <w:tc>
          <w:tcPr>
            <w:tcW w:w="990" w:type="dxa"/>
            <w:tcBorders/>
            <w:shd w:val="clear" w:color="auto" w:fill="8db3e2"/>
          </w:tcPr>
          <w:p>
            <w:pPr>
              <w:pStyle w:val="style0"/>
              <w:spacing w:after="0" w:lineRule="auto" w:line="360"/>
              <w:jc w:val="both"/>
              <w:rPr>
                <w:rFonts w:ascii="Times New Roman" w:cs="Times New Roman" w:hAnsi="Times New Roman"/>
                <w:color w:val="000000"/>
                <w:sz w:val="24"/>
                <w:szCs w:val="24"/>
              </w:rPr>
            </w:pPr>
          </w:p>
        </w:tc>
        <w:tc>
          <w:tcPr>
            <w:tcW w:w="1064" w:type="dxa"/>
            <w:tcBorders/>
          </w:tcPr>
          <w:p>
            <w:pPr>
              <w:pStyle w:val="style0"/>
              <w:spacing w:after="0" w:lineRule="auto" w:line="360"/>
              <w:jc w:val="both"/>
              <w:rPr>
                <w:rFonts w:ascii="Times New Roman" w:cs="Times New Roman" w:hAnsi="Times New Roman"/>
                <w:color w:val="000000"/>
                <w:sz w:val="24"/>
                <w:szCs w:val="24"/>
              </w:rPr>
            </w:pPr>
          </w:p>
        </w:tc>
      </w:tr>
      <w:tr>
        <w:tblPrEx/>
        <w:trPr>
          <w:trHeight w:val="1250" w:hRule="atLeast"/>
        </w:trPr>
        <w:tc>
          <w:tcPr>
            <w:tcW w:w="1886" w:type="dxa"/>
            <w:tcBorders/>
          </w:tcPr>
          <w:p>
            <w:pPr>
              <w:pStyle w:val="style0"/>
              <w:spacing w:after="0"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FINAL SUBMISSION</w:t>
            </w:r>
          </w:p>
        </w:tc>
        <w:tc>
          <w:tcPr>
            <w:tcW w:w="1350" w:type="dxa"/>
            <w:tcBorders/>
            <w:shd w:val="clear" w:color="auto" w:fill="ffffff"/>
          </w:tcPr>
          <w:p>
            <w:pPr>
              <w:pStyle w:val="style0"/>
              <w:spacing w:after="0" w:lineRule="auto" w:line="360"/>
              <w:jc w:val="both"/>
              <w:rPr>
                <w:rFonts w:ascii="Times New Roman" w:cs="Times New Roman" w:hAnsi="Times New Roman"/>
                <w:color w:val="000000"/>
                <w:sz w:val="24"/>
                <w:szCs w:val="24"/>
              </w:rPr>
            </w:pPr>
          </w:p>
        </w:tc>
        <w:tc>
          <w:tcPr>
            <w:tcW w:w="1440" w:type="dxa"/>
            <w:tcBorders/>
            <w:shd w:val="clear" w:color="auto" w:fill="ffffff"/>
          </w:tcPr>
          <w:p>
            <w:pPr>
              <w:pStyle w:val="style0"/>
              <w:spacing w:after="0" w:lineRule="auto" w:line="360"/>
              <w:jc w:val="both"/>
              <w:rPr>
                <w:rFonts w:ascii="Times New Roman" w:cs="Times New Roman" w:hAnsi="Times New Roman"/>
                <w:color w:val="000000"/>
                <w:sz w:val="24"/>
                <w:szCs w:val="24"/>
              </w:rPr>
            </w:pPr>
          </w:p>
        </w:tc>
        <w:tc>
          <w:tcPr>
            <w:tcW w:w="1260" w:type="dxa"/>
            <w:tcBorders/>
          </w:tcPr>
          <w:p>
            <w:pPr>
              <w:pStyle w:val="style0"/>
              <w:spacing w:after="0" w:lineRule="auto" w:line="360"/>
              <w:jc w:val="both"/>
              <w:rPr>
                <w:rFonts w:ascii="Times New Roman" w:cs="Times New Roman" w:hAnsi="Times New Roman"/>
                <w:color w:val="000000"/>
                <w:sz w:val="24"/>
                <w:szCs w:val="24"/>
              </w:rPr>
            </w:pPr>
          </w:p>
        </w:tc>
        <w:tc>
          <w:tcPr>
            <w:tcW w:w="1260" w:type="dxa"/>
            <w:tcBorders/>
          </w:tcPr>
          <w:p>
            <w:pPr>
              <w:pStyle w:val="style0"/>
              <w:spacing w:after="0" w:lineRule="auto" w:line="360"/>
              <w:jc w:val="both"/>
              <w:rPr>
                <w:rFonts w:ascii="Times New Roman" w:cs="Times New Roman" w:hAnsi="Times New Roman"/>
                <w:color w:val="000000"/>
                <w:sz w:val="24"/>
                <w:szCs w:val="24"/>
              </w:rPr>
            </w:pPr>
          </w:p>
        </w:tc>
        <w:tc>
          <w:tcPr>
            <w:tcW w:w="1080" w:type="dxa"/>
            <w:tcBorders/>
          </w:tcPr>
          <w:p>
            <w:pPr>
              <w:pStyle w:val="style0"/>
              <w:spacing w:after="0" w:lineRule="auto" w:line="360"/>
              <w:jc w:val="both"/>
              <w:rPr>
                <w:rFonts w:ascii="Times New Roman" w:cs="Times New Roman" w:hAnsi="Times New Roman"/>
                <w:color w:val="000000"/>
                <w:sz w:val="24"/>
                <w:szCs w:val="24"/>
              </w:rPr>
            </w:pPr>
          </w:p>
        </w:tc>
        <w:tc>
          <w:tcPr>
            <w:tcW w:w="990" w:type="dxa"/>
            <w:tcBorders/>
          </w:tcPr>
          <w:p>
            <w:pPr>
              <w:pStyle w:val="style0"/>
              <w:spacing w:after="0" w:lineRule="auto" w:line="360"/>
              <w:jc w:val="both"/>
              <w:rPr>
                <w:rFonts w:ascii="Times New Roman" w:cs="Times New Roman" w:hAnsi="Times New Roman"/>
                <w:color w:val="000000"/>
                <w:sz w:val="24"/>
                <w:szCs w:val="24"/>
              </w:rPr>
            </w:pPr>
          </w:p>
        </w:tc>
        <w:tc>
          <w:tcPr>
            <w:tcW w:w="990" w:type="dxa"/>
            <w:tcBorders/>
          </w:tcPr>
          <w:p>
            <w:pPr>
              <w:pStyle w:val="style0"/>
              <w:spacing w:after="0" w:lineRule="auto" w:line="360"/>
              <w:jc w:val="both"/>
              <w:rPr>
                <w:rFonts w:ascii="Times New Roman" w:cs="Times New Roman" w:hAnsi="Times New Roman"/>
                <w:color w:val="000000"/>
                <w:sz w:val="24"/>
                <w:szCs w:val="24"/>
              </w:rPr>
            </w:pPr>
          </w:p>
        </w:tc>
        <w:tc>
          <w:tcPr>
            <w:tcW w:w="1064" w:type="dxa"/>
            <w:tcBorders/>
            <w:shd w:val="clear" w:color="auto" w:fill="8db3e2"/>
          </w:tcPr>
          <w:p>
            <w:pPr>
              <w:pStyle w:val="style0"/>
              <w:spacing w:after="0" w:lineRule="auto" w:line="360"/>
              <w:jc w:val="both"/>
              <w:rPr>
                <w:rFonts w:ascii="Times New Roman" w:cs="Times New Roman" w:hAnsi="Times New Roman"/>
                <w:color w:val="000000"/>
                <w:sz w:val="24"/>
                <w:szCs w:val="24"/>
              </w:rPr>
            </w:pPr>
          </w:p>
        </w:tc>
      </w:tr>
    </w:tbl>
    <w:p>
      <w:pPr>
        <w:pStyle w:val="style0"/>
        <w:spacing w:after="0" w:lineRule="auto" w:line="360"/>
        <w:jc w:val="both"/>
        <w:rPr>
          <w:rFonts w:ascii="Times New Roman" w:cs="Times New Roman" w:hAnsi="Times New Roman"/>
          <w:b/>
          <w:color w:val="000000"/>
          <w:sz w:val="24"/>
          <w:szCs w:val="24"/>
        </w:rPr>
      </w:pPr>
    </w:p>
    <w:p>
      <w:pPr>
        <w:pStyle w:val="style0"/>
        <w:spacing w:after="200" w:lineRule="auto" w:line="276"/>
        <w:rPr>
          <w:rFonts w:ascii="Times New Roman" w:cs="Times New Roman" w:hAnsi="Times New Roman"/>
          <w:b/>
          <w:color w:val="000000"/>
          <w:sz w:val="24"/>
          <w:szCs w:val="24"/>
        </w:rPr>
      </w:pPr>
      <w:r>
        <w:rPr>
          <w:rFonts w:ascii="Times New Roman" w:cs="Times New Roman" w:hAnsi="Times New Roman"/>
          <w:b/>
          <w:color w:val="000000"/>
          <w:sz w:val="24"/>
          <w:szCs w:val="24"/>
        </w:rPr>
        <w:br w:type="page"/>
      </w:r>
    </w:p>
    <w:bookmarkStart w:id="176" w:name="_Toc188281907"/>
    <w:bookmarkStart w:id="177" w:name="_Toc216513846"/>
    <w:bookmarkEnd w:id="171"/>
    <w:p>
      <w:pPr>
        <w:pStyle w:val="style1"/>
        <w:spacing w:lineRule="auto" w:line="360"/>
        <w:rPr>
          <w:color w:val="000000"/>
        </w:rPr>
      </w:pPr>
      <w:r>
        <w:rPr>
          <w:rFonts w:eastAsia="Times New Roman"/>
          <w:color w:val="000000"/>
        </w:rPr>
        <w:t>APPENDIX VI: PROPOSAL BUDGET</w:t>
      </w:r>
      <w:bookmarkEnd w:id="176"/>
      <w:bookmarkEnd w:id="177"/>
    </w:p>
    <w:tbl>
      <w:tblPr>
        <w:tblW w:w="8856" w:type="dxa"/>
        <w:tblInd w:w="-93"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000" w:firstRow="0" w:lastRow="0" w:firstColumn="0" w:lastColumn="0" w:noHBand="0" w:noVBand="0"/>
      </w:tblPr>
      <w:tblGrid>
        <w:gridCol w:w="4461"/>
        <w:gridCol w:w="4395"/>
      </w:tblGrid>
      <w:tr>
        <w:trPr/>
        <w:tc>
          <w:tcPr>
            <w:tcW w:w="446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b/>
                <w:color w:val="000000"/>
                <w:sz w:val="24"/>
                <w:szCs w:val="24"/>
              </w:rPr>
              <w:t>ACTIVITY</w:t>
            </w:r>
          </w:p>
        </w:tc>
        <w:tc>
          <w:tcPr>
            <w:tcW w:w="4395"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b/>
                <w:color w:val="000000"/>
                <w:sz w:val="24"/>
                <w:szCs w:val="24"/>
              </w:rPr>
              <w:t>COST (KSHs)</w:t>
            </w:r>
          </w:p>
        </w:tc>
      </w:tr>
      <w:tr>
        <w:tblPrEx/>
        <w:trPr/>
        <w:tc>
          <w:tcPr>
            <w:tcW w:w="446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Printing of research instruments</w:t>
            </w:r>
          </w:p>
        </w:tc>
        <w:tc>
          <w:tcPr>
            <w:tcW w:w="4395"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 15,000/-</w:t>
            </w:r>
          </w:p>
        </w:tc>
      </w:tr>
      <w:tr>
        <w:tblPrEx/>
        <w:trPr/>
        <w:tc>
          <w:tcPr>
            <w:tcW w:w="446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pPr>
              <w:pStyle w:val="style0"/>
              <w:tabs>
                <w:tab w:val="left" w:leader="none" w:pos="1380"/>
                <w:tab w:val="left" w:leader="none" w:pos="1410"/>
              </w:tabs>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Pilot study</w:t>
            </w:r>
          </w:p>
        </w:tc>
        <w:tc>
          <w:tcPr>
            <w:tcW w:w="4395"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25, 000/-</w:t>
            </w:r>
          </w:p>
        </w:tc>
      </w:tr>
      <w:tr>
        <w:tblPrEx/>
        <w:trPr/>
        <w:tc>
          <w:tcPr>
            <w:tcW w:w="446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Transport</w:t>
            </w:r>
          </w:p>
        </w:tc>
        <w:tc>
          <w:tcPr>
            <w:tcW w:w="4395"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10,000/-</w:t>
            </w:r>
          </w:p>
        </w:tc>
      </w:tr>
      <w:tr>
        <w:tblPrEx/>
        <w:trPr/>
        <w:tc>
          <w:tcPr>
            <w:tcW w:w="446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Communication</w:t>
            </w:r>
          </w:p>
        </w:tc>
        <w:tc>
          <w:tcPr>
            <w:tcW w:w="4395"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3,000/-</w:t>
            </w:r>
          </w:p>
        </w:tc>
      </w:tr>
      <w:tr>
        <w:tblPrEx/>
        <w:trPr/>
        <w:tc>
          <w:tcPr>
            <w:tcW w:w="446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Internet expenses</w:t>
            </w:r>
          </w:p>
        </w:tc>
        <w:tc>
          <w:tcPr>
            <w:tcW w:w="4395"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5,000/-</w:t>
            </w:r>
          </w:p>
        </w:tc>
      </w:tr>
      <w:tr>
        <w:tblPrEx/>
        <w:trPr/>
        <w:tc>
          <w:tcPr>
            <w:tcW w:w="446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Printing and Binding</w:t>
            </w:r>
          </w:p>
        </w:tc>
        <w:tc>
          <w:tcPr>
            <w:tcW w:w="4395"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color w:val="000000"/>
                <w:sz w:val="24"/>
                <w:szCs w:val="24"/>
              </w:rPr>
              <w:t>5,000/-</w:t>
            </w:r>
          </w:p>
        </w:tc>
      </w:tr>
      <w:tr>
        <w:tblPrEx/>
        <w:trPr/>
        <w:tc>
          <w:tcPr>
            <w:tcW w:w="446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b/>
                <w:color w:val="000000"/>
                <w:sz w:val="24"/>
                <w:szCs w:val="24"/>
              </w:rPr>
              <w:t>TOTAL</w:t>
            </w:r>
          </w:p>
        </w:tc>
        <w:tc>
          <w:tcPr>
            <w:tcW w:w="4395"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pPr>
              <w:pStyle w:val="style0"/>
              <w:spacing w:lineRule="auto" w:line="360"/>
              <w:jc w:val="both"/>
              <w:rPr>
                <w:rFonts w:ascii="Times New Roman" w:cs="Times New Roman" w:hAnsi="Times New Roman"/>
                <w:color w:val="000000"/>
                <w:sz w:val="24"/>
                <w:szCs w:val="24"/>
              </w:rPr>
            </w:pPr>
            <w:r>
              <w:rPr>
                <w:rFonts w:ascii="Times New Roman" w:cs="Times New Roman" w:hAnsi="Times New Roman"/>
                <w:b/>
                <w:color w:val="000000"/>
                <w:sz w:val="24"/>
                <w:szCs w:val="24"/>
              </w:rPr>
              <w:t>63,000/-</w:t>
            </w:r>
          </w:p>
        </w:tc>
      </w:tr>
    </w:tbl>
    <w:p>
      <w:pPr>
        <w:pStyle w:val="style0"/>
        <w:spacing w:after="0" w:lineRule="auto" w:line="360"/>
        <w:jc w:val="both"/>
        <w:rPr>
          <w:rFonts w:ascii="Times New Roman" w:cs="Times New Roman" w:hAnsi="Times New Roman"/>
          <w:color w:val="000000"/>
          <w:sz w:val="24"/>
          <w:szCs w:val="24"/>
        </w:rPr>
      </w:pPr>
    </w:p>
    <w:p>
      <w:pPr>
        <w:pStyle w:val="style0"/>
        <w:spacing w:lineRule="auto" w:line="360"/>
        <w:jc w:val="both"/>
        <w:rPr>
          <w:rFonts w:ascii="Times New Roman" w:cs="Times New Roman" w:hAnsi="Times New Roman"/>
          <w:color w:val="000000"/>
          <w:sz w:val="24"/>
          <w:szCs w:val="24"/>
        </w:rPr>
      </w:pPr>
    </w:p>
    <w:sectPr>
      <w:pgSz w:w="12240" w:h="15840" w:orient="portrait"/>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AFF" w:usb1="C0007841" w:usb2="00000009" w:usb3="00000000" w:csb0="000001FF" w:csb1="00000000"/>
  </w:font>
  <w:font w:name="Courier New">
    <w:altName w:val="Courier New"/>
    <w:panose1 w:val="02070309020002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10002FF" w:usb1="4000ACFF" w:usb2="00000009" w:usb3="00000000" w:csb0="0000019F" w:csb1="00000000"/>
  </w:font>
  <w:font w:name="SimSun">
    <w:altName w:val="宋体"/>
    <w:panose1 w:val="02010600030001010101"/>
    <w:charset w:val="86"/>
    <w:family w:val="auto"/>
    <w:pitch w:val="variable"/>
    <w:sig w:usb0="00000003" w:usb1="288F0000" w:usb2="00000016" w:usb3="00000000" w:csb0="00040001" w:csb1="00000000"/>
  </w:font>
  <w:font w:name="Cambria">
    <w:altName w:val="Cambria"/>
    <w:panose1 w:val="02040503050004030204"/>
    <w:charset w:val="00"/>
    <w:family w:val="roman"/>
    <w:pitch w:val="variable"/>
    <w:sig w:usb0="E00002FF" w:usb1="400004FF" w:usb2="00000000" w:usb3="00000000" w:csb0="0000019F" w:csb1="00000000"/>
  </w:font>
  <w:font w:name="Tahoma">
    <w:altName w:val="Tahoma"/>
    <w:panose1 w:val="020b0604030005040204"/>
    <w:charset w:val="00"/>
    <w:family w:val="swiss"/>
    <w:pitch w:val="variable"/>
    <w:sig w:usb0="E1002EFF" w:usb1="C000605B" w:usb2="00000029" w:usb3="00000000" w:csb0="000101FF" w:csb1="00000000"/>
  </w:font>
  <w:font w:name="TimesNewRoman">
    <w:altName w:val="Times New Roman"/>
    <w:panose1 w:val="00000000000000000000"/>
    <w:charset w:val="00"/>
    <w:family w:val="roman"/>
    <w:pitch w:val="variable"/>
    <w:sig w:usb0="20007A87" w:usb1="80000000" w:usb2="00000008"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rFonts w:ascii="Times New Roman" w:cs="Times New Roman" w:hAnsi="Times New Roman"/>
        <w:sz w:val="24"/>
        <w:szCs w:val="24"/>
      </w:rPr>
    </w:pPr>
    <w:r>
      <w:rPr>
        <w:rFonts w:ascii="Times New Roman" w:cs="Times New Roman" w:hAnsi="Times New Roman"/>
        <w:sz w:val="24"/>
        <w:szCs w:val="24"/>
      </w:rPr>
      <w:fldChar w:fldCharType="begin"/>
    </w:r>
    <w:r>
      <w:rPr>
        <w:rFonts w:ascii="Times New Roman" w:cs="Times New Roman" w:hAnsi="Times New Roman"/>
        <w:sz w:val="24"/>
        <w:szCs w:val="24"/>
      </w:rPr>
      <w:instrText xml:space="preserve"> PAGE   \* MERGEFORMAT </w:instrText>
    </w:r>
    <w:r>
      <w:rPr>
        <w:rFonts w:ascii="Times New Roman" w:cs="Times New Roman" w:hAnsi="Times New Roman"/>
        <w:sz w:val="24"/>
        <w:szCs w:val="24"/>
      </w:rPr>
      <w:fldChar w:fldCharType="separate"/>
    </w:r>
    <w:r>
      <w:rPr>
        <w:rFonts w:ascii="Times New Roman" w:cs="Times New Roman" w:hAnsi="Times New Roman"/>
        <w:noProof/>
        <w:sz w:val="24"/>
        <w:szCs w:val="24"/>
      </w:rPr>
      <w:t>ii</w:t>
    </w:r>
    <w:r>
      <w:rPr>
        <w:rFonts w:ascii="Times New Roman" w:cs="Times New Roman" w:hAnsi="Times New Roman"/>
        <w:sz w:val="24"/>
        <w:szCs w:val="24"/>
      </w:rPr>
      <w:fldChar w:fldCharType="end"/>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08948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nsid w:val="00000001"/>
    <w:multiLevelType w:val="hybridMultilevel"/>
    <w:tmpl w:val="A44A5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EA7ACD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E1FE4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3C2E0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61E28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6"/>
    <w:multiLevelType w:val="hybridMultilevel"/>
    <w:tmpl w:val="857C8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7"/>
    <w:multiLevelType w:val="hybridMultilevel"/>
    <w:tmpl w:val="B0702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8"/>
    <w:multiLevelType w:val="multilevel"/>
    <w:tmpl w:val="3C668238"/>
    <w:lvl w:ilvl="0">
      <w:start w:val="1"/>
      <w:numFmt w:val="decimal"/>
      <w:lvlText w:val="%1."/>
      <w:lvlJc w:val="left"/>
      <w:pPr>
        <w:ind w:left="9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320" w:hanging="720"/>
      </w:pPr>
      <w:rPr>
        <w:rFonts w:hint="default"/>
      </w:rPr>
    </w:lvl>
    <w:lvl w:ilvl="3">
      <w:start w:val="1"/>
      <w:numFmt w:val="decimal"/>
      <w:isLgl/>
      <w:lvlText w:val="%1.%2.%3.%4"/>
      <w:lvlJc w:val="left"/>
      <w:pPr>
        <w:ind w:left="132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680" w:hanging="1080"/>
      </w:pPr>
      <w:rPr>
        <w:rFonts w:hint="default"/>
      </w:rPr>
    </w:lvl>
    <w:lvl w:ilvl="6">
      <w:start w:val="1"/>
      <w:numFmt w:val="decimal"/>
      <w:isLgl/>
      <w:lvlText w:val="%1.%2.%3.%4.%5.%6.%7"/>
      <w:lvlJc w:val="left"/>
      <w:pPr>
        <w:ind w:left="2040" w:hanging="1440"/>
      </w:pPr>
      <w:rPr>
        <w:rFonts w:hint="default"/>
      </w:rPr>
    </w:lvl>
    <w:lvl w:ilvl="7">
      <w:start w:val="1"/>
      <w:numFmt w:val="decimal"/>
      <w:isLgl/>
      <w:lvlText w:val="%1.%2.%3.%4.%5.%6.%7.%8"/>
      <w:lvlJc w:val="left"/>
      <w:pPr>
        <w:ind w:left="2040" w:hanging="1440"/>
      </w:pPr>
      <w:rPr>
        <w:rFonts w:hint="default"/>
      </w:rPr>
    </w:lvl>
    <w:lvl w:ilvl="8">
      <w:start w:val="1"/>
      <w:numFmt w:val="decimal"/>
      <w:isLgl/>
      <w:lvlText w:val="%1.%2.%3.%4.%5.%6.%7.%8.%9"/>
      <w:lvlJc w:val="left"/>
      <w:pPr>
        <w:ind w:left="2040" w:hanging="1440"/>
      </w:pPr>
      <w:rPr>
        <w:rFonts w:hint="default"/>
      </w:rPr>
    </w:lvl>
  </w:abstractNum>
  <w:abstractNum w:abstractNumId="9">
    <w:nsid w:val="00000009"/>
    <w:multiLevelType w:val="hybridMultilevel"/>
    <w:tmpl w:val="3766A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A"/>
    <w:multiLevelType w:val="hybridMultilevel"/>
    <w:tmpl w:val="8896561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0000000B"/>
    <w:multiLevelType w:val="hybridMultilevel"/>
    <w:tmpl w:val="821E3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000000C"/>
    <w:multiLevelType w:val="multilevel"/>
    <w:tmpl w:val="ADD08698"/>
    <w:lvl w:ilvl="0">
      <w:start w:val="1"/>
      <w:numFmt w:val="decimal"/>
      <w:lvlText w:val="%1.0"/>
      <w:lvlJc w:val="left"/>
      <w:pPr>
        <w:ind w:left="360" w:hanging="360"/>
      </w:pPr>
      <w:rPr>
        <w:rFonts w:hint="default"/>
        <w:sz w:val="22"/>
      </w:rPr>
    </w:lvl>
    <w:lvl w:ilvl="1">
      <w:start w:val="1"/>
      <w:numFmt w:val="decimal"/>
      <w:lvlText w:val="%1.%2"/>
      <w:lvlJc w:val="left"/>
      <w:pPr>
        <w:ind w:left="1080" w:hanging="360"/>
      </w:pPr>
      <w:rPr>
        <w:rFonts w:hint="default"/>
        <w:sz w:val="22"/>
      </w:rPr>
    </w:lvl>
    <w:lvl w:ilvl="2">
      <w:start w:val="1"/>
      <w:numFmt w:val="decimal"/>
      <w:lvlText w:val="%1.%2.%3"/>
      <w:lvlJc w:val="left"/>
      <w:pPr>
        <w:ind w:left="2160" w:hanging="720"/>
      </w:pPr>
      <w:rPr>
        <w:rFonts w:hint="default"/>
        <w:sz w:val="22"/>
      </w:rPr>
    </w:lvl>
    <w:lvl w:ilvl="3">
      <w:start w:val="1"/>
      <w:numFmt w:val="decimal"/>
      <w:lvlText w:val="%1.%2.%3.%4"/>
      <w:lvlJc w:val="left"/>
      <w:pPr>
        <w:ind w:left="2880" w:hanging="720"/>
      </w:pPr>
      <w:rPr>
        <w:rFonts w:hint="default"/>
        <w:sz w:val="22"/>
      </w:rPr>
    </w:lvl>
    <w:lvl w:ilvl="4">
      <w:start w:val="1"/>
      <w:numFmt w:val="decimal"/>
      <w:lvlText w:val="%1.%2.%3.%4.%5"/>
      <w:lvlJc w:val="left"/>
      <w:pPr>
        <w:ind w:left="3960" w:hanging="1080"/>
      </w:pPr>
      <w:rPr>
        <w:rFonts w:hint="default"/>
        <w:sz w:val="22"/>
      </w:rPr>
    </w:lvl>
    <w:lvl w:ilvl="5">
      <w:start w:val="1"/>
      <w:numFmt w:val="decimal"/>
      <w:lvlText w:val="%1.%2.%3.%4.%5.%6"/>
      <w:lvlJc w:val="left"/>
      <w:pPr>
        <w:ind w:left="4680" w:hanging="1080"/>
      </w:pPr>
      <w:rPr>
        <w:rFonts w:hint="default"/>
        <w:sz w:val="22"/>
      </w:rPr>
    </w:lvl>
    <w:lvl w:ilvl="6">
      <w:start w:val="1"/>
      <w:numFmt w:val="decimal"/>
      <w:lvlText w:val="%1.%2.%3.%4.%5.%6.%7"/>
      <w:lvlJc w:val="left"/>
      <w:pPr>
        <w:ind w:left="5760" w:hanging="1440"/>
      </w:pPr>
      <w:rPr>
        <w:rFonts w:hint="default"/>
        <w:sz w:val="22"/>
      </w:rPr>
    </w:lvl>
    <w:lvl w:ilvl="7">
      <w:start w:val="1"/>
      <w:numFmt w:val="decimal"/>
      <w:lvlText w:val="%1.%2.%3.%4.%5.%6.%7.%8"/>
      <w:lvlJc w:val="left"/>
      <w:pPr>
        <w:ind w:left="6480" w:hanging="1440"/>
      </w:pPr>
      <w:rPr>
        <w:rFonts w:hint="default"/>
        <w:sz w:val="22"/>
      </w:rPr>
    </w:lvl>
    <w:lvl w:ilvl="8">
      <w:start w:val="1"/>
      <w:numFmt w:val="decimal"/>
      <w:lvlText w:val="%1.%2.%3.%4.%5.%6.%7.%8.%9"/>
      <w:lvlJc w:val="left"/>
      <w:pPr>
        <w:ind w:left="7560" w:hanging="1800"/>
      </w:pPr>
      <w:rPr>
        <w:rFonts w:hint="default"/>
        <w:sz w:val="22"/>
      </w:rPr>
    </w:lvl>
  </w:abstractNum>
  <w:abstractNum w:abstractNumId="13">
    <w:nsid w:val="0000000D"/>
    <w:multiLevelType w:val="hybridMultilevel"/>
    <w:tmpl w:val="2DB4A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E"/>
    <w:multiLevelType w:val="hybridMultilevel"/>
    <w:tmpl w:val="AE1E4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000000F"/>
    <w:multiLevelType w:val="hybridMultilevel"/>
    <w:tmpl w:val="4CEA2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0000010"/>
    <w:multiLevelType w:val="hybridMultilevel"/>
    <w:tmpl w:val="D76CC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0000011"/>
    <w:multiLevelType w:val="hybridMultilevel"/>
    <w:tmpl w:val="FCAC0B1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00000012"/>
    <w:multiLevelType w:val="multilevel"/>
    <w:tmpl w:val="26BAF658"/>
    <w:lvl w:ilvl="0">
      <w:start w:val="1"/>
      <w:numFmt w:val="decimal"/>
      <w:lvlText w:val="%1."/>
      <w:lvlJc w:val="left"/>
      <w:pPr>
        <w:ind w:left="360" w:hanging="360"/>
      </w:pPr>
    </w:lvl>
    <w:lvl w:ilvl="1">
      <w:start w:val="3"/>
      <w:numFmt w:val="decimal"/>
      <w:isLgl/>
      <w:lvlText w:val="%1.%2"/>
      <w:lvlJc w:val="left"/>
      <w:pPr>
        <w:ind w:left="540" w:hanging="54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nsid w:val="00000013"/>
    <w:multiLevelType w:val="multilevel"/>
    <w:tmpl w:val="507899BA"/>
    <w:lvl w:ilvl="0">
      <w:start w:val="1"/>
      <w:numFmt w:val="decimal"/>
      <w:lvlText w:val="%1"/>
      <w:lvlJc w:val="left"/>
      <w:pPr>
        <w:ind w:left="570" w:hanging="570"/>
      </w:pPr>
      <w:rPr>
        <w:rFonts w:hint="default"/>
      </w:rPr>
    </w:lvl>
    <w:lvl w:ilvl="1">
      <w:start w:val="1"/>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00000014"/>
    <w:multiLevelType w:val="multilevel"/>
    <w:tmpl w:val="4FAA904E"/>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nsid w:val="00000015"/>
    <w:multiLevelType w:val="multilevel"/>
    <w:tmpl w:val="0786FCE8"/>
    <w:lvl w:ilvl="0">
      <w:start w:val="1"/>
      <w:numFmt w:val="decimal"/>
      <w:lvlText w:val="%1.0"/>
      <w:lvlJc w:val="left"/>
      <w:pPr>
        <w:ind w:left="18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700" w:hanging="720"/>
      </w:pPr>
      <w:rPr>
        <w:rFonts w:hint="default"/>
      </w:rPr>
    </w:lvl>
    <w:lvl w:ilvl="4">
      <w:start w:val="1"/>
      <w:numFmt w:val="decimal"/>
      <w:lvlText w:val="%1.%2.%3.%4.%5"/>
      <w:lvlJc w:val="left"/>
      <w:pPr>
        <w:ind w:left="3780" w:hanging="1080"/>
      </w:pPr>
      <w:rPr>
        <w:rFonts w:hint="default"/>
      </w:rPr>
    </w:lvl>
    <w:lvl w:ilvl="5">
      <w:start w:val="1"/>
      <w:numFmt w:val="decimal"/>
      <w:lvlText w:val="%1.%2.%3.%4.%5.%6"/>
      <w:lvlJc w:val="left"/>
      <w:pPr>
        <w:ind w:left="4500" w:hanging="1080"/>
      </w:pPr>
      <w:rPr>
        <w:rFonts w:hint="default"/>
      </w:rPr>
    </w:lvl>
    <w:lvl w:ilvl="6">
      <w:start w:val="1"/>
      <w:numFmt w:val="decimal"/>
      <w:lvlText w:val="%1.%2.%3.%4.%5.%6.%7"/>
      <w:lvlJc w:val="left"/>
      <w:pPr>
        <w:ind w:left="5580" w:hanging="1440"/>
      </w:pPr>
      <w:rPr>
        <w:rFonts w:hint="default"/>
      </w:rPr>
    </w:lvl>
    <w:lvl w:ilvl="7">
      <w:start w:val="1"/>
      <w:numFmt w:val="decimal"/>
      <w:lvlText w:val="%1.%2.%3.%4.%5.%6.%7.%8"/>
      <w:lvlJc w:val="left"/>
      <w:pPr>
        <w:ind w:left="6300" w:hanging="1440"/>
      </w:pPr>
      <w:rPr>
        <w:rFonts w:hint="default"/>
      </w:rPr>
    </w:lvl>
    <w:lvl w:ilvl="8">
      <w:start w:val="1"/>
      <w:numFmt w:val="decimal"/>
      <w:lvlText w:val="%1.%2.%3.%4.%5.%6.%7.%8.%9"/>
      <w:lvlJc w:val="left"/>
      <w:pPr>
        <w:ind w:left="7020" w:hanging="1440"/>
      </w:pPr>
      <w:rPr>
        <w:rFonts w:hint="default"/>
      </w:rPr>
    </w:lvl>
  </w:abstractNum>
  <w:abstractNum w:abstractNumId="22">
    <w:nsid w:val="00000016"/>
    <w:multiLevelType w:val="hybridMultilevel"/>
    <w:tmpl w:val="3F3AFD74"/>
    <w:lvl w:ilvl="0" w:tplc="ED2C3B3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00000017"/>
    <w:multiLevelType w:val="multilevel"/>
    <w:tmpl w:val="81D64D7E"/>
    <w:lvl w:ilvl="0">
      <w:start w:val="4"/>
      <w:numFmt w:val="decimal"/>
      <w:lvlText w:val="%1"/>
      <w:lvlJc w:val="left"/>
      <w:pPr>
        <w:ind w:left="1500" w:hanging="421"/>
      </w:pPr>
      <w:rPr>
        <w:rFonts w:hint="default"/>
        <w:lang w:val="en-US" w:bidi="ar-SA" w:eastAsia="en-US"/>
      </w:rPr>
    </w:lvl>
    <w:lvl w:ilvl="1">
      <w:start w:val="2"/>
      <w:numFmt w:val="decimal"/>
      <w:lvlText w:val="%1.%2."/>
      <w:lvlJc w:val="left"/>
      <w:pPr>
        <w:ind w:left="1500" w:hanging="421"/>
      </w:pPr>
      <w:rPr>
        <w:rFonts w:ascii="Times New Roman" w:cs="Times New Roman" w:eastAsia="Times New Roman" w:hAnsi="Times New Roman" w:hint="default"/>
        <w:b/>
        <w:bCs/>
        <w:i w:val="false"/>
        <w:iCs w:val="false"/>
        <w:spacing w:val="0"/>
        <w:w w:val="100"/>
        <w:sz w:val="24"/>
        <w:szCs w:val="24"/>
        <w:lang w:val="en-US" w:bidi="ar-SA" w:eastAsia="en-US"/>
      </w:rPr>
    </w:lvl>
    <w:lvl w:ilvl="2">
      <w:start w:val="1"/>
      <w:numFmt w:val="decimal"/>
      <w:lvlText w:val="%1.%2.%3"/>
      <w:lvlJc w:val="left"/>
      <w:pPr>
        <w:ind w:left="1620" w:hanging="541"/>
      </w:pPr>
      <w:rPr>
        <w:rFonts w:ascii="Times New Roman" w:cs="Times New Roman" w:eastAsia="Times New Roman" w:hAnsi="Times New Roman" w:hint="default"/>
        <w:b/>
        <w:bCs/>
        <w:i w:val="false"/>
        <w:iCs w:val="false"/>
        <w:spacing w:val="0"/>
        <w:w w:val="100"/>
        <w:sz w:val="24"/>
        <w:szCs w:val="24"/>
        <w:lang w:val="en-US" w:bidi="ar-SA" w:eastAsia="en-US"/>
      </w:rPr>
    </w:lvl>
    <w:lvl w:ilvl="3">
      <w:start w:val="1"/>
      <w:numFmt w:val="bullet"/>
      <w:lvlText w:val="•"/>
      <w:lvlJc w:val="left"/>
      <w:pPr>
        <w:ind w:left="3500" w:hanging="541"/>
      </w:pPr>
      <w:rPr>
        <w:rFonts w:hint="default"/>
        <w:lang w:val="en-US" w:bidi="ar-SA" w:eastAsia="en-US"/>
      </w:rPr>
    </w:lvl>
    <w:lvl w:ilvl="4">
      <w:start w:val="1"/>
      <w:numFmt w:val="bullet"/>
      <w:lvlText w:val="•"/>
      <w:lvlJc w:val="left"/>
      <w:pPr>
        <w:ind w:left="4440" w:hanging="541"/>
      </w:pPr>
      <w:rPr>
        <w:rFonts w:hint="default"/>
        <w:lang w:val="en-US" w:bidi="ar-SA" w:eastAsia="en-US"/>
      </w:rPr>
    </w:lvl>
    <w:lvl w:ilvl="5">
      <w:start w:val="1"/>
      <w:numFmt w:val="bullet"/>
      <w:lvlText w:val="•"/>
      <w:lvlJc w:val="left"/>
      <w:pPr>
        <w:ind w:left="5380" w:hanging="541"/>
      </w:pPr>
      <w:rPr>
        <w:rFonts w:hint="default"/>
        <w:lang w:val="en-US" w:bidi="ar-SA" w:eastAsia="en-US"/>
      </w:rPr>
    </w:lvl>
    <w:lvl w:ilvl="6">
      <w:start w:val="1"/>
      <w:numFmt w:val="bullet"/>
      <w:lvlText w:val="•"/>
      <w:lvlJc w:val="left"/>
      <w:pPr>
        <w:ind w:left="6320" w:hanging="541"/>
      </w:pPr>
      <w:rPr>
        <w:rFonts w:hint="default"/>
        <w:lang w:val="en-US" w:bidi="ar-SA" w:eastAsia="en-US"/>
      </w:rPr>
    </w:lvl>
    <w:lvl w:ilvl="7">
      <w:start w:val="1"/>
      <w:numFmt w:val="bullet"/>
      <w:lvlText w:val="•"/>
      <w:lvlJc w:val="left"/>
      <w:pPr>
        <w:ind w:left="7260" w:hanging="541"/>
      </w:pPr>
      <w:rPr>
        <w:rFonts w:hint="default"/>
        <w:lang w:val="en-US" w:bidi="ar-SA" w:eastAsia="en-US"/>
      </w:rPr>
    </w:lvl>
    <w:lvl w:ilvl="8">
      <w:start w:val="1"/>
      <w:numFmt w:val="bullet"/>
      <w:lvlText w:val="•"/>
      <w:lvlJc w:val="left"/>
      <w:pPr>
        <w:ind w:left="8200" w:hanging="541"/>
      </w:pPr>
      <w:rPr>
        <w:rFonts w:hint="default"/>
        <w:lang w:val="en-US" w:bidi="ar-SA" w:eastAsia="en-US"/>
      </w:rPr>
    </w:lvl>
  </w:abstractNum>
  <w:abstractNum w:abstractNumId="24">
    <w:nsid w:val="00000018"/>
    <w:multiLevelType w:val="hybridMultilevel"/>
    <w:tmpl w:val="781E817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
    <w:nsid w:val="00000019"/>
    <w:multiLevelType w:val="multilevel"/>
    <w:tmpl w:val="26BAF658"/>
    <w:lvl w:ilvl="0">
      <w:start w:val="1"/>
      <w:numFmt w:val="decimal"/>
      <w:lvlText w:val="%1."/>
      <w:lvlJc w:val="left"/>
      <w:pPr>
        <w:ind w:left="360" w:hanging="360"/>
      </w:pPr>
    </w:lvl>
    <w:lvl w:ilvl="1">
      <w:start w:val="3"/>
      <w:numFmt w:val="decimal"/>
      <w:isLgl/>
      <w:lvlText w:val="%1.%2"/>
      <w:lvlJc w:val="left"/>
      <w:pPr>
        <w:ind w:left="540" w:hanging="54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nsid w:val="0000001A"/>
    <w:multiLevelType w:val="hybridMultilevel"/>
    <w:tmpl w:val="D980AC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0000001B"/>
    <w:multiLevelType w:val="hybridMultilevel"/>
    <w:tmpl w:val="C84A6F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7"/>
  </w:num>
  <w:num w:numId="3">
    <w:abstractNumId w:val="19"/>
  </w:num>
  <w:num w:numId="4">
    <w:abstractNumId w:val="2"/>
  </w:num>
  <w:num w:numId="5">
    <w:abstractNumId w:val="4"/>
  </w:num>
  <w:num w:numId="6">
    <w:abstractNumId w:val="3"/>
  </w:num>
  <w:num w:numId="7">
    <w:abstractNumId w:val="1"/>
  </w:num>
  <w:num w:numId="8">
    <w:abstractNumId w:val="24"/>
  </w:num>
  <w:num w:numId="9">
    <w:abstractNumId w:val="0"/>
  </w:num>
  <w:num w:numId="10">
    <w:abstractNumId w:val="11"/>
  </w:num>
  <w:num w:numId="11">
    <w:abstractNumId w:val="5"/>
  </w:num>
  <w:num w:numId="12">
    <w:abstractNumId w:val="9"/>
  </w:num>
  <w:num w:numId="13">
    <w:abstractNumId w:val="7"/>
  </w:num>
  <w:num w:numId="14">
    <w:abstractNumId w:val="16"/>
  </w:num>
  <w:num w:numId="15">
    <w:abstractNumId w:val="13"/>
  </w:num>
  <w:num w:numId="16">
    <w:abstractNumId w:val="6"/>
  </w:num>
  <w:num w:numId="17">
    <w:abstractNumId w:val="15"/>
  </w:num>
  <w:num w:numId="18">
    <w:abstractNumId w:val="14"/>
  </w:num>
  <w:num w:numId="19">
    <w:abstractNumId w:val="8"/>
  </w:num>
  <w:num w:numId="20">
    <w:abstractNumId w:val="12"/>
  </w:num>
  <w:num w:numId="21">
    <w:abstractNumId w:val="10"/>
  </w:num>
  <w:num w:numId="22">
    <w:abstractNumId w:val="18"/>
  </w:num>
  <w:num w:numId="23">
    <w:abstractNumId w:val="20"/>
  </w:num>
  <w:num w:numId="24">
    <w:abstractNumId w:val="23"/>
  </w:num>
  <w:num w:numId="25">
    <w:abstractNumId w:val="25"/>
  </w:num>
  <w:num w:numId="26">
    <w:abstractNumId w:val="26"/>
  </w:num>
  <w:num w:numId="27">
    <w:abstractNumId w:val="27"/>
  </w:num>
  <w:num w:numId="28">
    <w:abstractNumId w:val="2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60" w:lineRule="auto" w:line="259"/>
    </w:pPr>
    <w:rPr/>
  </w:style>
  <w:style w:type="paragraph" w:styleId="style1">
    <w:name w:val="heading 1"/>
    <w:basedOn w:val="style0"/>
    <w:next w:val="style0"/>
    <w:link w:val="style4099"/>
    <w:qFormat/>
    <w:uiPriority w:val="9"/>
    <w:pPr>
      <w:keepNext/>
      <w:keepLines/>
      <w:spacing w:after="0" w:lineRule="auto" w:line="480"/>
      <w:ind w:left="180" w:hanging="360"/>
      <w:jc w:val="center"/>
      <w:outlineLvl w:val="0"/>
    </w:pPr>
    <w:rPr>
      <w:rFonts w:ascii="Times New Roman" w:cs="Times New Roman" w:hAnsi="Times New Roman"/>
      <w:b/>
      <w:sz w:val="24"/>
      <w:szCs w:val="24"/>
    </w:rPr>
  </w:style>
  <w:style w:type="paragraph" w:styleId="style2">
    <w:name w:val="heading 2"/>
    <w:basedOn w:val="style0"/>
    <w:next w:val="style0"/>
    <w:link w:val="style4101"/>
    <w:qFormat/>
    <w:uiPriority w:val="9"/>
    <w:pPr>
      <w:keepNext/>
      <w:keepLines/>
      <w:spacing w:before="40" w:after="0"/>
      <w:outlineLvl w:val="1"/>
    </w:pPr>
    <w:rPr>
      <w:rFonts w:ascii="Cambria" w:eastAsia="SimSun" w:hAnsi="Cambria"/>
      <w:color w:val="365f91"/>
      <w:sz w:val="26"/>
      <w:szCs w:val="26"/>
    </w:rPr>
  </w:style>
  <w:style w:type="paragraph" w:styleId="style3">
    <w:name w:val="heading 3"/>
    <w:basedOn w:val="style0"/>
    <w:next w:val="style0"/>
    <w:link w:val="style4105"/>
    <w:qFormat/>
    <w:uiPriority w:val="9"/>
    <w:pPr>
      <w:keepNext/>
      <w:keepLines/>
      <w:spacing w:before="40" w:after="0"/>
      <w:outlineLvl w:val="2"/>
    </w:pPr>
    <w:rPr>
      <w:rFonts w:ascii="Cambria" w:cs="宋体" w:eastAsia="宋体" w:hAnsi="Cambria"/>
      <w:color w:val="243f60"/>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3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character" w:styleId="style87">
    <w:name w:val="Strong"/>
    <w:basedOn w:val="style65"/>
    <w:next w:val="style87"/>
    <w:qFormat/>
    <w:uiPriority w:val="22"/>
    <w:rPr>
      <w:b/>
      <w:bCs/>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62c65a51-7b6e-4f48-adb0-bbce0fcfac3f"/>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0d92e75e-7d4c-422e-9240-f4477671502f"/>
    <w:basedOn w:val="style65"/>
    <w:next w:val="style4098"/>
    <w:link w:val="style32"/>
    <w:uiPriority w:val="99"/>
  </w:style>
  <w:style w:type="character" w:customStyle="1" w:styleId="style4099">
    <w:name w:val="Heading 1 Char_d65cfa2d-4bc4-48c0-83e1-496a779c8d85"/>
    <w:basedOn w:val="style65"/>
    <w:next w:val="style4099"/>
    <w:link w:val="style1"/>
    <w:uiPriority w:val="9"/>
    <w:rPr>
      <w:rFonts w:ascii="Times New Roman" w:cs="Times New Roman" w:eastAsia="Calibri" w:hAnsi="Times New Roman"/>
      <w:b/>
      <w:sz w:val="24"/>
      <w:szCs w:val="24"/>
    </w:rPr>
  </w:style>
  <w:style w:type="paragraph" w:styleId="style66">
    <w:name w:val="Body Text"/>
    <w:basedOn w:val="style0"/>
    <w:next w:val="style66"/>
    <w:link w:val="style4100"/>
    <w:qFormat/>
    <w:uiPriority w:val="1"/>
    <w:pPr>
      <w:widowControl w:val="false"/>
      <w:spacing w:before="10" w:after="0" w:lineRule="auto" w:line="240"/>
      <w:ind w:left="223"/>
    </w:pPr>
    <w:rPr>
      <w:rFonts w:ascii="Times New Roman" w:cs="Times New Roman" w:eastAsia="Times New Roman" w:hAnsi="Times New Roman"/>
    </w:rPr>
  </w:style>
  <w:style w:type="character" w:customStyle="1" w:styleId="style4100">
    <w:name w:val="Body Text Char"/>
    <w:basedOn w:val="style65"/>
    <w:next w:val="style4100"/>
    <w:link w:val="style66"/>
    <w:uiPriority w:val="1"/>
    <w:rPr>
      <w:rFonts w:ascii="Times New Roman" w:cs="Times New Roman" w:eastAsia="Times New Roman" w:hAnsi="Times New Roman"/>
    </w:rPr>
  </w:style>
  <w:style w:type="paragraph" w:styleId="style157">
    <w:name w:val="No Spacing"/>
    <w:next w:val="style157"/>
    <w:qFormat/>
    <w:uiPriority w:val="1"/>
    <w:pPr>
      <w:spacing w:after="0" w:lineRule="auto" w:line="240"/>
    </w:pPr>
    <w:rPr/>
  </w:style>
  <w:style w:type="character" w:customStyle="1" w:styleId="style4101">
    <w:name w:val="Heading 2 Char_44e81d28-502a-4043-ae2d-55aa6f1981cc"/>
    <w:basedOn w:val="style65"/>
    <w:next w:val="style4101"/>
    <w:link w:val="style2"/>
    <w:uiPriority w:val="9"/>
    <w:rPr>
      <w:rFonts w:ascii="Cambria" w:cs="SimSun" w:eastAsia="SimSun" w:hAnsi="Cambria"/>
      <w:color w:val="365f91"/>
      <w:sz w:val="26"/>
      <w:szCs w:val="26"/>
    </w:rPr>
  </w:style>
  <w:style w:type="paragraph" w:styleId="style266">
    <w:name w:val="TOC Heading"/>
    <w:basedOn w:val="style1"/>
    <w:next w:val="style0"/>
    <w:qFormat/>
    <w:uiPriority w:val="39"/>
    <w:pPr>
      <w:spacing w:before="240" w:lineRule="auto" w:line="259"/>
      <w:ind w:left="0" w:firstLine="0"/>
      <w:jc w:val="left"/>
      <w:outlineLvl w:val="9"/>
    </w:pPr>
    <w:rPr>
      <w:rFonts w:ascii="Cambria" w:cs="SimSun" w:eastAsia="SimSun" w:hAnsi="Cambria"/>
      <w:b w:val="false"/>
      <w:color w:val="365f91"/>
      <w:sz w:val="32"/>
      <w:szCs w:val="32"/>
    </w:rPr>
  </w:style>
  <w:style w:type="paragraph" w:styleId="style19">
    <w:name w:val="toc 1"/>
    <w:basedOn w:val="style0"/>
    <w:next w:val="style0"/>
    <w:uiPriority w:val="39"/>
    <w:pPr>
      <w:spacing w:after="100"/>
    </w:pPr>
    <w:rPr/>
  </w:style>
  <w:style w:type="character" w:styleId="style85">
    <w:name w:val="Hyperlink"/>
    <w:basedOn w:val="style65"/>
    <w:next w:val="style85"/>
    <w:uiPriority w:val="99"/>
    <w:rPr>
      <w:color w:val="0000ff"/>
      <w:u w:val="single"/>
    </w:rPr>
  </w:style>
  <w:style w:type="paragraph" w:styleId="style153">
    <w:name w:val="Balloon Text"/>
    <w:basedOn w:val="style0"/>
    <w:next w:val="style153"/>
    <w:link w:val="style4102"/>
    <w:uiPriority w:val="99"/>
    <w:pPr>
      <w:spacing w:after="0" w:lineRule="auto" w:line="240"/>
    </w:pPr>
    <w:rPr>
      <w:rFonts w:ascii="Tahoma" w:cs="Tahoma" w:hAnsi="Tahoma"/>
      <w:sz w:val="16"/>
      <w:szCs w:val="16"/>
    </w:rPr>
  </w:style>
  <w:style w:type="character" w:customStyle="1" w:styleId="style4102">
    <w:name w:val="Balloon Text Char"/>
    <w:basedOn w:val="style65"/>
    <w:next w:val="style4102"/>
    <w:link w:val="style153"/>
    <w:uiPriority w:val="99"/>
    <w:rPr>
      <w:rFonts w:ascii="Tahoma" w:cs="Tahoma" w:hAnsi="Tahoma"/>
      <w:sz w:val="16"/>
      <w:szCs w:val="16"/>
    </w:rPr>
  </w:style>
  <w:style w:type="paragraph" w:styleId="style20">
    <w:name w:val="toc 2"/>
    <w:basedOn w:val="style0"/>
    <w:next w:val="style0"/>
    <w:uiPriority w:val="39"/>
    <w:pPr>
      <w:spacing w:after="100"/>
      <w:ind w:left="220"/>
    </w:pPr>
    <w:rPr/>
  </w:style>
  <w:style w:type="paragraph" w:styleId="style21">
    <w:name w:val="toc 3"/>
    <w:basedOn w:val="style0"/>
    <w:next w:val="style0"/>
    <w:uiPriority w:val="39"/>
    <w:pPr>
      <w:spacing w:after="100"/>
      <w:ind w:left="440"/>
    </w:pPr>
    <w:rPr/>
  </w:style>
  <w:style w:type="character" w:customStyle="1" w:styleId="style4103">
    <w:name w:val="ams"/>
    <w:basedOn w:val="style65"/>
    <w:next w:val="style4103"/>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paragraph" w:customStyle="1" w:styleId="style4104">
    <w:name w:val="TOT"/>
    <w:basedOn w:val="style34"/>
    <w:next w:val="style34"/>
    <w:qFormat/>
    <w:pPr>
      <w:spacing w:before="240" w:after="240" w:lineRule="auto" w:line="480"/>
      <w:jc w:val="both"/>
    </w:pPr>
    <w:rPr>
      <w:rFonts w:ascii="Times New Roman" w:cs="Times New Roman" w:hAnsi="Times New Roman"/>
      <w:color w:val="000000"/>
      <w:sz w:val="24"/>
      <w:szCs w:val="24"/>
    </w:rPr>
  </w:style>
  <w:style w:type="character" w:customStyle="1" w:styleId="style4105">
    <w:name w:val="Heading 3 Char_79d7a0ad-6c63-4966-bcdc-31e8c4f7180e"/>
    <w:basedOn w:val="style65"/>
    <w:next w:val="style4105"/>
    <w:link w:val="style3"/>
    <w:uiPriority w:val="9"/>
    <w:rPr>
      <w:rFonts w:ascii="Cambria" w:cs="宋体" w:eastAsia="宋体" w:hAnsi="Cambria"/>
      <w:color w:val="243f60"/>
      <w:sz w:val="24"/>
      <w:szCs w:val="24"/>
    </w:rPr>
  </w:style>
  <w:style w:type="paragraph" w:styleId="style34">
    <w:name w:val="caption"/>
    <w:basedOn w:val="style0"/>
    <w:next w:val="style0"/>
    <w:qFormat/>
    <w:uiPriority w:val="35"/>
    <w:pPr>
      <w:spacing w:after="200" w:lineRule="auto" w:line="240"/>
    </w:pPr>
    <w:rPr>
      <w:i/>
      <w:iCs/>
      <w:color w:val="1f497d"/>
      <w:sz w:val="18"/>
      <w:szCs w:val="18"/>
    </w:rPr>
  </w:style>
  <w:style w:type="character" w:styleId="style88">
    <w:name w:val="Emphasis"/>
    <w:basedOn w:val="style65"/>
    <w:next w:val="style88"/>
    <w:qFormat/>
    <w:uiPriority w:val="20"/>
    <w:rPr>
      <w:i/>
      <w:iCs/>
    </w:rPr>
  </w:style>
  <w:style w:type="character" w:customStyle="1" w:styleId="style4106">
    <w:name w:val="ms-1"/>
    <w:basedOn w:val="style65"/>
    <w:next w:val="style4106"/>
  </w:style>
  <w:style w:type="character" w:customStyle="1" w:styleId="style4107">
    <w:name w:val="max-w-[15ch]"/>
    <w:basedOn w:val="style65"/>
    <w:next w:val="style4107"/>
  </w:style>
  <w:style w:type="character" w:customStyle="1" w:styleId="style4108">
    <w:name w:val="-me-1"/>
    <w:basedOn w:val="style65"/>
    <w:next w:val="style4108"/>
  </w:style>
  <w:style w:type="paragraph" w:customStyle="1" w:styleId="style4109">
    <w:name w:val="font-claude-response-body"/>
    <w:basedOn w:val="style0"/>
    <w:next w:val="style4109"/>
    <w:pPr>
      <w:spacing w:before="100" w:beforeAutospacing="true" w:after="100" w:afterAutospacing="true" w:lineRule="auto" w:line="240"/>
    </w:pPr>
    <w:rPr>
      <w:rFonts w:ascii="Times New Roman" w:cs="Times New Roman" w:eastAsia="Times New Roman" w:hAnsi="Times New Roman"/>
      <w:sz w:val="24"/>
      <w:szCs w:val="24"/>
    </w:rPr>
  </w:style>
  <w:style w:type="paragraph" w:styleId="style35">
    <w:name w:val="table of figures"/>
    <w:basedOn w:val="style0"/>
    <w:next w:val="style0"/>
    <w:uiPriority w:val="99"/>
    <w:pPr>
      <w:spacing w:after="0"/>
    </w:pPr>
    <w:rPr/>
  </w:style>
  <w:style w:type="paragraph" w:customStyle="1" w:styleId="style4110">
    <w:name w:val="FOG"/>
    <w:basedOn w:val="style34"/>
    <w:next w:val="style34"/>
    <w:qFormat/>
    <w:pPr>
      <w:spacing w:before="240" w:after="0" w:lineRule="auto" w:line="480"/>
      <w:jc w:val="both"/>
    </w:pPr>
    <w:rPr>
      <w:rFonts w:ascii="Times New Roman" w:cs="Times New Roman" w:hAnsi="Times New Roman"/>
      <w:b/>
      <w:color w:val="000000"/>
      <w:sz w:val="24"/>
      <w:szCs w:val="24"/>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image" Target="media/image1.emf"/><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D8E1F609-7726-4BC9-8D41-D31EFE520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Words>30109</Words>
  <Pages>125</Pages>
  <Characters>178561</Characters>
  <Application>WPS Office</Application>
  <DocSecurity>0</DocSecurity>
  <Paragraphs>1493</Paragraphs>
  <ScaleCrop>false</ScaleCrop>
  <LinksUpToDate>false</LinksUpToDate>
  <CharactersWithSpaces>208529</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2025-12-13T07:27:00Z</dcterms:created>
  <dc:creator>Ifrah</dc:creator>
  <lastModifiedBy>SM-A165F</lastModifiedBy>
  <dcterms:modified xsi:type="dcterms:W3CDTF">2025-12-13T08:39:39Z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68516dc2038f4a58aa9a77ef025a3158</vt:lpwstr>
  </property>
</Properties>
</file>