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lineRule="auto" w:line="276"/>
        <w:rPr>
          <w:b w:val="false"/>
          <w:bCs w:val="false"/>
          <w:i w:val="false"/>
          <w:iCs w:val="false"/>
          <w:color w:val="000000"/>
          <w:sz w:val="24"/>
          <w:szCs w:val="24"/>
          <w:highlight w:val="none"/>
          <w:u w:val="single" w:color="000000"/>
        </w:rPr>
      </w:pPr>
      <w:r>
        <w:rPr>
          <w:color w:val="000000"/>
          <w:sz w:val="28"/>
          <w:szCs w:val="28"/>
          <w:lang w:val="en-US"/>
        </w:rPr>
        <w:t>Question 4: Describe the evolution (History) of Instructional Supervision showing its Stages/Phases.</w:t>
      </w:r>
    </w:p>
    <w:p>
      <w:pPr>
        <w:pStyle w:val="style1"/>
        <w:rPr/>
      </w:pPr>
    </w:p>
    <w:p>
      <w:pPr>
        <w:pStyle w:val="style0"/>
        <w:rPr/>
      </w:pPr>
      <w:r>
        <w:t xml:space="preserve">Instructional supervision </w:t>
      </w:r>
      <w:r>
        <w:rPr>
          <w:lang w:val="en-US"/>
        </w:rPr>
        <w:t>underwent changes</w:t>
      </w:r>
      <w:r>
        <w:t xml:space="preserve"> significantly over the past </w:t>
      </w:r>
      <w:r>
        <w:rPr>
          <w:lang w:val="en-US"/>
        </w:rPr>
        <w:t>years.The changes includes ;</w:t>
      </w:r>
      <w:r>
        <w:t>transitioning from rigid inspection models to dynamic, collaborative, and technology-integrated approaches. Instructional supervision is a</w:t>
      </w:r>
      <w:r>
        <w:rPr>
          <w:lang w:val="en-US"/>
        </w:rPr>
        <w:t xml:space="preserve">n important aspect </w:t>
      </w:r>
      <w:r>
        <w:t xml:space="preserve">of educational leadership, </w:t>
      </w:r>
      <w:r>
        <w:rPr>
          <w:lang w:val="en-US"/>
        </w:rPr>
        <w:t xml:space="preserve">that targets improving </w:t>
      </w:r>
      <w:r>
        <w:t xml:space="preserve"> teaching quality and student learning outcomes. Over time, the concept and practice of supervision have undergone substantial </w:t>
      </w:r>
      <w:r>
        <w:rPr>
          <w:lang w:val="en-US"/>
        </w:rPr>
        <w:t>change</w:t>
      </w:r>
      <w:r>
        <w:t xml:space="preserve">, </w:t>
      </w:r>
      <w:r>
        <w:rPr>
          <w:lang w:val="en-US"/>
        </w:rPr>
        <w:t>that is brought about by</w:t>
      </w:r>
      <w:r>
        <w:t xml:space="preserve"> shifts in educational philosophy, societal needs, and technological progress. Understanding this evolution provides insight into current practices and future directions in educational supervision (Gordon, 2019).</w:t>
      </w:r>
    </w:p>
    <w:p>
      <w:pPr>
        <w:pStyle w:val="style1"/>
        <w:rPr>
          <w:color w:val="000000"/>
        </w:rPr>
      </w:pPr>
      <w:r>
        <w:rPr>
          <w:color w:val="000000"/>
        </w:rPr>
        <w:t>The Historical Evolution of Instructional Supervision</w:t>
      </w:r>
    </w:p>
    <w:p>
      <w:pPr>
        <w:pStyle w:val="style2"/>
        <w:rPr>
          <w:color w:val="000000"/>
        </w:rPr>
      </w:pPr>
      <w:r>
        <w:rPr>
          <w:color w:val="000000"/>
        </w:rPr>
        <w:t>The Inspection Phase (Pre-1900s)</w:t>
      </w:r>
    </w:p>
    <w:p>
      <w:pPr>
        <w:pStyle w:val="style0"/>
        <w:rPr>
          <w:color w:val="000000"/>
        </w:rPr>
      </w:pPr>
      <w:r>
        <w:t>In the earliest form, instructional supervision was synonymous with inspection. Supervisors, often external authorities or headmasters, focused on enforcing compliance and identifying teacher deficiencies. This model was authoritarian and evaluative, with little regard for teacher development (Glickman et al., 2018)</w:t>
      </w:r>
      <w:r>
        <w:rPr>
          <w:lang w:val="en-US"/>
        </w:rPr>
        <w:t xml:space="preserve">     </w:t>
      </w:r>
    </w:p>
    <w:p>
      <w:pPr>
        <w:pStyle w:val="style0"/>
        <w:rPr>
          <w:b/>
          <w:bCs/>
          <w:color w:val="000000"/>
        </w:rPr>
      </w:pPr>
      <w:r>
        <w:rPr>
          <w:b/>
          <w:bCs/>
          <w:color w:val="000000"/>
        </w:rPr>
        <w:t xml:space="preserve"> Scientific Management Phase (1900s–1930s)</w:t>
      </w:r>
    </w:p>
    <w:p>
      <w:pPr>
        <w:pStyle w:val="style0"/>
        <w:rPr/>
      </w:pPr>
      <w:r>
        <w:t>Influenced by Frederick Taylor’s principles of scientific management, this phase emphasized efficiency, standardization, and productivity. Supervisors used checklists and observation tools to monitor teacher performance, treating education as a mechanistic process (Gordon, 2019).</w:t>
      </w:r>
    </w:p>
    <w:p>
      <w:pPr>
        <w:pStyle w:val="style0"/>
        <w:rPr>
          <w:b/>
          <w:bCs/>
          <w:color w:val="000000"/>
        </w:rPr>
      </w:pPr>
      <w:r>
        <w:rPr>
          <w:b/>
          <w:bCs/>
        </w:rPr>
        <w:t xml:space="preserve"> Human Relations Phase (1940s–1950s)</w:t>
      </w:r>
    </w:p>
    <w:p>
      <w:pPr>
        <w:pStyle w:val="style0"/>
        <w:rPr/>
      </w:pPr>
      <w:r>
        <w:t>The human relations movement shifted the focus toward teacher morale and interpersonal relationships. Supervision became more supportive, recognizing the importance of motivation and collaboration in improving instructional quality (Glickman et al., 2018).</w:t>
      </w:r>
    </w:p>
    <w:p>
      <w:pPr>
        <w:pStyle w:val="style0"/>
        <w:rPr/>
      </w:pPr>
    </w:p>
    <w:p>
      <w:pPr>
        <w:pStyle w:val="style0"/>
        <w:rPr>
          <w:b/>
          <w:bCs/>
        </w:rPr>
      </w:pPr>
      <w:r>
        <w:rPr>
          <w:b/>
          <w:bCs/>
        </w:rPr>
        <w:t>Clinical Supervision Phase (1960s–1970s)</w:t>
      </w:r>
    </w:p>
    <w:p>
      <w:pPr>
        <w:pStyle w:val="style0"/>
        <w:rPr/>
      </w:pPr>
      <w:r>
        <w:t>Pioneered by Morris Cogan and Robert Goldhammer, clinical supervision introduced a structured, cyclical process involving pre-observation, observation, and post-observation conferences. This model emphasized reflective practice and professional dialogue between supervisors and teachers (Gordon, 2019).</w:t>
      </w:r>
    </w:p>
    <w:p>
      <w:pPr>
        <w:pStyle w:val="style0"/>
        <w:rPr>
          <w:b/>
          <w:bCs/>
        </w:rPr>
      </w:pPr>
      <w:r>
        <w:rPr>
          <w:b/>
          <w:bCs/>
        </w:rPr>
        <w:t xml:space="preserve"> Collegial/Collaborative Supervision Phase (1980s–1990s)</w:t>
      </w:r>
    </w:p>
    <w:p>
      <w:pPr>
        <w:pStyle w:val="style0"/>
        <w:rPr/>
      </w:pPr>
      <w:r>
        <w:t>This phase marked a shift toward shared leadership and peer support. Teachers engaged in mentoring, coaching, and professional learning communities (PLCs), fostering a culture of trust and mutual respect (Zepeda, 2012).</w:t>
      </w:r>
    </w:p>
    <w:p>
      <w:pPr>
        <w:pStyle w:val="style0"/>
        <w:rPr>
          <w:b/>
          <w:bCs/>
        </w:rPr>
      </w:pPr>
      <w:r>
        <w:rPr>
          <w:b/>
          <w:bCs/>
        </w:rPr>
        <w:t xml:space="preserve"> Differentiated/Developmental Supervision Phase (2000s–2010s)</w:t>
      </w:r>
    </w:p>
    <w:p>
      <w:pPr>
        <w:pStyle w:val="style0"/>
        <w:rPr/>
      </w:pPr>
      <w:r>
        <w:t>Recognizing the diverse needs of teachers, this phase introduced differentiated supervision models. Supervisors adapted their approaches based on teacher experience, competence, and goals, promoting autonomy and continuous growth (Glickman et al., 2018).</w:t>
      </w:r>
    </w:p>
    <w:p>
      <w:pPr>
        <w:pStyle w:val="style0"/>
        <w:rPr>
          <w:b/>
          <w:bCs/>
        </w:rPr>
      </w:pPr>
      <w:r>
        <w:rPr>
          <w:b/>
          <w:bCs/>
        </w:rPr>
        <w:t xml:space="preserve"> Technology-Integrated and Transformational Supervision (2010s–Present)</w:t>
      </w:r>
    </w:p>
    <w:p>
      <w:pPr>
        <w:pStyle w:val="style0"/>
        <w:rPr/>
      </w:pPr>
      <w:r>
        <w:t>The digital age has transformed instructional supervision through the integration of technology, data analytics, and virtual platforms. Supervisors now act as instructional leaders and change agents, supporting innovation, equity, and student-centered learning (Gordon, 2019).</w:t>
      </w:r>
    </w:p>
    <w:p>
      <w:pPr>
        <w:pStyle w:val="style0"/>
        <w:rPr>
          <w:b/>
          <w:bCs/>
        </w:rPr>
      </w:pPr>
      <w:r>
        <w:rPr>
          <w:b/>
          <w:bCs/>
        </w:rPr>
        <w:t>Contemporary Perspectives and Challenges</w:t>
      </w:r>
    </w:p>
    <w:p>
      <w:pPr>
        <w:pStyle w:val="style0"/>
        <w:rPr/>
      </w:pPr>
      <w:r>
        <w:t>Modern instructional supervision emphasizes collaboration, reflection, and continuous improvement. However, challenges such as limited resources, resistance to change, and the need for professional development persist. The COVID-19 pandemic further accelerated the adoption of digital tools, highlighting the need for flexible and resilient supervisory models (Gordon, 2019). Additionally, the increasing diversity in schools necessitates culturally responsive supervision practices to ensure equity and inclusion (Zepeda, 2012).</w:t>
      </w:r>
    </w:p>
    <w:p>
      <w:pPr>
        <w:pStyle w:val="style0"/>
        <w:rPr/>
      </w:pPr>
      <w:r>
        <w:t>The evolution of instructional supervision reflects broader changes in education and society. From inspection to innovation, supervision has become a multifaceted process that supports teacher development and enhances student learning. As education continues to evolve, so too must the practices and philosophies of instructional supervision.</w:t>
      </w:r>
    </w:p>
    <w:p>
      <w:pPr>
        <w:pStyle w:val="style1"/>
        <w:rPr>
          <w:color w:val="000000"/>
        </w:rPr>
      </w:pPr>
    </w:p>
    <w:p>
      <w:pPr>
        <w:pStyle w:val="style0"/>
        <w:numPr>
          <w:ilvl w:val="0"/>
          <w:numId w:val="0"/>
        </w:numPr>
        <w:rPr>
          <w:color w:val="000000"/>
        </w:rPr>
      </w:pPr>
    </w:p>
    <w:p>
      <w:pPr>
        <w:pStyle w:val="style0"/>
        <w:rPr>
          <w:b/>
          <w:bCs/>
        </w:rPr>
      </w:pPr>
      <w:r>
        <w:rPr>
          <w:b/>
          <w:bCs/>
          <w:lang w:val="en-US"/>
        </w:rPr>
        <w:t>References</w:t>
      </w:r>
    </w:p>
    <w:p>
      <w:pPr>
        <w:pStyle w:val="style0"/>
        <w:rPr/>
      </w:pPr>
      <w:r>
        <w:rPr>
          <w:lang w:val="en-US"/>
        </w:rPr>
        <w:t xml:space="preserve">1. </w:t>
      </w:r>
      <w:r>
        <w:t>Glickman, C. D., Gordon, S. P., &amp; Ross-Gordon, J. M. (2017). SuperVision and instructional leadership: A developmental approach</w:t>
      </w:r>
      <w:r>
        <w:rPr>
          <w:lang w:val="en-US"/>
        </w:rPr>
        <w:t xml:space="preserve"> </w:t>
      </w:r>
      <w:r>
        <w:t>(10th ed.). Pearson.</w:t>
      </w:r>
    </w:p>
    <w:p>
      <w:pPr>
        <w:pStyle w:val="style0"/>
        <w:rPr/>
      </w:pPr>
      <w:r>
        <w:rPr>
          <w:lang w:val="en-US"/>
        </w:rPr>
        <w:t xml:space="preserve">2. </w:t>
      </w:r>
      <w:r>
        <w:t xml:space="preserve">Gordon, S. P. (2019). Educational supervision: Reflections on its past, present, and future. Journal of Educational Supervision, 2(2), 27–52. </w:t>
      </w:r>
    </w:p>
    <w:p>
      <w:pPr>
        <w:pStyle w:val="style0"/>
        <w:rPr/>
      </w:pPr>
      <w:r>
        <w:rPr>
          <w:lang w:val="en-US"/>
        </w:rPr>
        <w:t xml:space="preserve">3. </w:t>
      </w:r>
      <w:r>
        <w:t>Zepeda, S. J. (2012). Instructional supervision: Applying tools and concepts (3rd ed.). Routledge.</w:t>
      </w:r>
    </w:p>
    <w:p>
      <w:pPr>
        <w:pStyle w:val="style0"/>
        <w:rPr/>
      </w:pPr>
      <w:r>
        <w:rPr>
          <w:lang w:val="en-US"/>
        </w:rPr>
        <w:t xml:space="preserve">4. </w:t>
      </w:r>
      <w:r>
        <w:t>Sullivan, S., &amp; Glanz, J. (2013). Supervision that improves teaching and learning: Strategies and techniques (4th ed.). Corwin Press.</w:t>
      </w:r>
    </w:p>
    <w:p>
      <w:pPr>
        <w:pStyle w:val="style0"/>
        <w:rPr/>
      </w:pPr>
      <w:r>
        <w:rPr>
          <w:lang w:val="en-US"/>
        </w:rPr>
        <w:t xml:space="preserve">5. </w:t>
      </w:r>
      <w:r>
        <w:t>Pajak, E. (2003). Approaches to clinical supervision: Alternatives for improving instruction (2nd ed.). Christopher-Gordon Publishers.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051829e-ab28-44d1-a3b4-92a01e3c4fd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b001ba9-3eb2-4a0e-9cc1-3f8e3f0829c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72069f3-b665-4ac8-bea2-17e2383e1fa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d191702-8734-4533-b944-2e06ef848e6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d9e56d9-141e-4f18-bfdd-99fbfa9c5b4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88cab2a-c52f-44e5-9997-8f42a458960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7174551-a75a-4ac6-8dbf-a90dad6268c8"/>
    <w:basedOn w:val="style65"/>
    <w:next w:val="style4108"/>
    <w:link w:val="style180"/>
    <w:uiPriority w:val="29"/>
    <w:rPr>
      <w:i/>
      <w:iCs/>
      <w:color w:val="000000"/>
    </w:rPr>
  </w:style>
  <w:style w:type="character" w:customStyle="1" w:styleId="style4109">
    <w:name w:val="Heading 4 Char_b6e6e6ae-41a9-40d5-93f4-2950e886a20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012c8c9-92ca-43d7-b3a3-95b6d4385459"/>
    <w:basedOn w:val="style65"/>
    <w:next w:val="style4110"/>
    <w:link w:val="style5"/>
    <w:uiPriority w:val="9"/>
    <w:rPr>
      <w:rFonts w:ascii="Calibri" w:cs="宋体" w:eastAsia="ＭＳ ゴシック" w:hAnsi="Calibri"/>
      <w:color w:val="243f60"/>
    </w:rPr>
  </w:style>
  <w:style w:type="character" w:customStyle="1" w:styleId="style4111">
    <w:name w:val="Heading 6 Char_f6013e2e-4645-4733-ba54-46759de34043"/>
    <w:basedOn w:val="style65"/>
    <w:next w:val="style4111"/>
    <w:link w:val="style6"/>
    <w:uiPriority w:val="9"/>
    <w:rPr>
      <w:rFonts w:ascii="Calibri" w:cs="宋体" w:eastAsia="ＭＳ ゴシック" w:hAnsi="Calibri"/>
      <w:i/>
      <w:iCs/>
      <w:color w:val="243f60"/>
    </w:rPr>
  </w:style>
  <w:style w:type="character" w:customStyle="1" w:styleId="style4112">
    <w:name w:val="Heading 7 Char_9e714bce-0c4a-43a2-9840-463cd9f5374c"/>
    <w:basedOn w:val="style65"/>
    <w:next w:val="style4112"/>
    <w:link w:val="style7"/>
    <w:uiPriority w:val="9"/>
    <w:rPr>
      <w:rFonts w:ascii="Calibri" w:cs="宋体" w:eastAsia="ＭＳ ゴシック" w:hAnsi="Calibri"/>
      <w:i/>
      <w:iCs/>
      <w:color w:val="404040"/>
    </w:rPr>
  </w:style>
  <w:style w:type="character" w:customStyle="1" w:styleId="style4113">
    <w:name w:val="Heading 8 Char_94ad6dcf-4bc6-4d37-9b89-04edec854a4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e3e1f0d-899b-48f6-9a4f-de9e83e71023"/>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1aa4e6d-5a39-43bf-a738-d827a6c0cf0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578</Words>
  <Pages>1</Pages>
  <Characters>4112</Characters>
  <Application>WPS Office</Application>
  <DocSecurity>0</DocSecurity>
  <Paragraphs>30</Paragraphs>
  <ScaleCrop>false</ScaleCrop>
  <LinksUpToDate>false</LinksUpToDate>
  <CharactersWithSpaces>4669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23106RN0DA</lastModifiedBy>
  <dcterms:modified xsi:type="dcterms:W3CDTF">2025-07-09T15:58:05Z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79c5fc219a8642a6b155789f67bf2b7c</vt:lpwstr>
  </property>
</Properties>
</file>