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activeX/activeX2.bin" ContentType="application/vnd.ms-office.activeX"/>
  <Override PartName="/word/activeX/activeX2.xml" ContentType="application/vnd.ms-office.activeX+xml"/>
  <Override PartName="/word/activeX/activeX20.bin" ContentType="application/vnd.ms-office.activeX"/>
  <Override PartName="/word/activeX/activeX20.xml" ContentType="application/vnd.ms-office.activeX+xml"/>
  <Override PartName="/word/activeX/activeX21.bin" ContentType="application/vnd.ms-office.activeX"/>
  <Override PartName="/word/activeX/activeX21.xml" ContentType="application/vnd.ms-office.activeX+xml"/>
  <Override PartName="/word/activeX/activeX22.bin" ContentType="application/vnd.ms-office.activeX"/>
  <Override PartName="/word/activeX/activeX22.xml" ContentType="application/vnd.ms-office.activeX+xml"/>
  <Override PartName="/word/activeX/activeX23.bin" ContentType="application/vnd.ms-office.activeX"/>
  <Override PartName="/word/activeX/activeX23.xml" ContentType="application/vnd.ms-office.activeX+xml"/>
  <Override PartName="/word/activeX/activeX24.bin" ContentType="application/vnd.ms-office.activeX"/>
  <Override PartName="/word/activeX/activeX24.xml" ContentType="application/vnd.ms-office.activeX+xml"/>
  <Override PartName="/word/activeX/activeX25.bin" ContentType="application/vnd.ms-office.activeX"/>
  <Override PartName="/word/activeX/activeX25.xml" ContentType="application/vnd.ms-office.activeX+xml"/>
  <Override PartName="/word/activeX/activeX26.bin" ContentType="application/vnd.ms-office.activeX"/>
  <Override PartName="/word/activeX/activeX26.xml" ContentType="application/vnd.ms-office.activeX+xml"/>
  <Override PartName="/word/activeX/activeX27.bin" ContentType="application/vnd.ms-office.activeX"/>
  <Override PartName="/word/activeX/activeX27.xml" ContentType="application/vnd.ms-office.activeX+xml"/>
  <Override PartName="/word/activeX/activeX28.bin" ContentType="application/vnd.ms-office.activeX"/>
  <Override PartName="/word/activeX/activeX28.xml" ContentType="application/vnd.ms-office.activeX+xml"/>
  <Override PartName="/word/activeX/activeX29.bin" ContentType="application/vnd.ms-office.activeX"/>
  <Override PartName="/word/activeX/activeX29.xml" ContentType="application/vnd.ms-office.activeX+xml"/>
  <Override PartName="/word/activeX/activeX3.bin" ContentType="application/vnd.ms-office.activeX"/>
  <Override PartName="/word/activeX/activeX3.xml" ContentType="application/vnd.ms-office.activeX+xml"/>
  <Override PartName="/word/activeX/activeX30.bin" ContentType="application/vnd.ms-office.activeX"/>
  <Override PartName="/word/activeX/activeX30.xml" ContentType="application/vnd.ms-office.activeX+xml"/>
  <Override PartName="/word/activeX/activeX31.bin" ContentType="application/vnd.ms-office.activeX"/>
  <Override PartName="/word/activeX/activeX31.xml" ContentType="application/vnd.ms-office.activeX+xml"/>
  <Override PartName="/word/activeX/activeX32.bin" ContentType="application/vnd.ms-office.activeX"/>
  <Override PartName="/word/activeX/activeX32.xml" ContentType="application/vnd.ms-office.activeX+xml"/>
  <Override PartName="/word/activeX/activeX33.bin" ContentType="application/vnd.ms-office.activeX"/>
  <Override PartName="/word/activeX/activeX33.xml" ContentType="application/vnd.ms-office.activeX+xml"/>
  <Override PartName="/word/activeX/activeX34.bin" ContentType="application/vnd.ms-office.activeX"/>
  <Override PartName="/word/activeX/activeX34.xml" ContentType="application/vnd.ms-office.activeX+xml"/>
  <Override PartName="/word/activeX/activeX35.bin" ContentType="application/vnd.ms-office.activeX"/>
  <Override PartName="/word/activeX/activeX35.xml" ContentType="application/vnd.ms-office.activeX+xml"/>
  <Override PartName="/word/activeX/activeX36.bin" ContentType="application/vnd.ms-office.activeX"/>
  <Override PartName="/word/activeX/activeX36.xml" ContentType="application/vnd.ms-office.activeX+xml"/>
  <Override PartName="/word/activeX/activeX37.bin" ContentType="application/vnd.ms-office.activeX"/>
  <Override PartName="/word/activeX/activeX37.xml" ContentType="application/vnd.ms-office.activeX+xml"/>
  <Override PartName="/word/activeX/activeX38.bin" ContentType="application/vnd.ms-office.activeX"/>
  <Override PartName="/word/activeX/activeX38.xml" ContentType="application/vnd.ms-office.activeX+xml"/>
  <Override PartName="/word/activeX/activeX39.bin" ContentType="application/vnd.ms-office.activeX"/>
  <Override PartName="/word/activeX/activeX39.xml" ContentType="application/vnd.ms-office.activeX+xml"/>
  <Override PartName="/word/activeX/activeX4.bin" ContentType="application/vnd.ms-office.activeX"/>
  <Override PartName="/word/activeX/activeX4.xml" ContentType="application/vnd.ms-office.activeX+xml"/>
  <Override PartName="/word/activeX/activeX40.bin" ContentType="application/vnd.ms-office.activeX"/>
  <Override PartName="/word/activeX/activeX40.xml" ContentType="application/vnd.ms-office.activeX+xml"/>
  <Override PartName="/word/activeX/activeX41.bin" ContentType="application/vnd.ms-office.activeX"/>
  <Override PartName="/word/activeX/activeX41.xml" ContentType="application/vnd.ms-office.activeX+xml"/>
  <Override PartName="/word/activeX/activeX42.bin" ContentType="application/vnd.ms-office.activeX"/>
  <Override PartName="/word/activeX/activeX42.xml" ContentType="application/vnd.ms-office.activeX+xml"/>
  <Override PartName="/word/activeX/activeX43.bin" ContentType="application/vnd.ms-office.activeX"/>
  <Override PartName="/word/activeX/activeX43.xml" ContentType="application/vnd.ms-office.activeX+xml"/>
  <Override PartName="/word/activeX/activeX44.bin" ContentType="application/vnd.ms-office.activeX"/>
  <Override PartName="/word/activeX/activeX44.xml" ContentType="application/vnd.ms-office.activeX+xml"/>
  <Override PartName="/word/activeX/activeX45.bin" ContentType="application/vnd.ms-office.activeX"/>
  <Override PartName="/word/activeX/activeX45.xml" ContentType="application/vnd.ms-office.activeX+xml"/>
  <Override PartName="/word/activeX/activeX46.bin" ContentType="application/vnd.ms-office.activeX"/>
  <Override PartName="/word/activeX/activeX46.xml" ContentType="application/vnd.ms-office.activeX+xml"/>
  <Override PartName="/word/activeX/activeX47.bin" ContentType="application/vnd.ms-office.activeX"/>
  <Override PartName="/word/activeX/activeX47.xml" ContentType="application/vnd.ms-office.activeX+xml"/>
  <Override PartName="/word/activeX/activeX48.bin" ContentType="application/vnd.ms-office.activeX"/>
  <Override PartName="/word/activeX/activeX48.xml" ContentType="application/vnd.ms-office.activeX+xml"/>
  <Override PartName="/word/activeX/activeX49.bin" ContentType="application/vnd.ms-office.activeX"/>
  <Override PartName="/word/activeX/activeX49.xml" ContentType="application/vnd.ms-office.activeX+xml"/>
  <Override PartName="/word/activeX/activeX5.bin" ContentType="application/vnd.ms-office.activeX"/>
  <Override PartName="/word/activeX/activeX5.xml" ContentType="application/vnd.ms-office.activeX+xml"/>
  <Override PartName="/word/activeX/activeX50.bin" ContentType="application/vnd.ms-office.activeX"/>
  <Override PartName="/word/activeX/activeX50.xml" ContentType="application/vnd.ms-office.activeX+xml"/>
  <Override PartName="/word/activeX/activeX51.bin" ContentType="application/vnd.ms-office.activeX"/>
  <Override PartName="/word/activeX/activeX51.xml" ContentType="application/vnd.ms-office.activeX+xml"/>
  <Override PartName="/word/activeX/activeX52.bin" ContentType="application/vnd.ms-office.activeX"/>
  <Override PartName="/word/activeX/activeX52.xml" ContentType="application/vnd.ms-office.activeX+xml"/>
  <Override PartName="/word/activeX/activeX53.bin" ContentType="application/vnd.ms-office.activeX"/>
  <Override PartName="/word/activeX/activeX53.xml" ContentType="application/vnd.ms-office.activeX+xml"/>
  <Override PartName="/word/activeX/activeX54.bin" ContentType="application/vnd.ms-office.activeX"/>
  <Override PartName="/word/activeX/activeX54.xml" ContentType="application/vnd.ms-office.activeX+xml"/>
  <Override PartName="/word/activeX/activeX55.bin" ContentType="application/vnd.ms-office.activeX"/>
  <Override PartName="/word/activeX/activeX55.xml" ContentType="application/vnd.ms-office.activeX+xml"/>
  <Override PartName="/word/activeX/activeX56.bin" ContentType="application/vnd.ms-office.activeX"/>
  <Override PartName="/word/activeX/activeX56.xml" ContentType="application/vnd.ms-office.activeX+xml"/>
  <Override PartName="/word/activeX/activeX57.bin" ContentType="application/vnd.ms-office.activeX"/>
  <Override PartName="/word/activeX/activeX57.xml" ContentType="application/vnd.ms-office.activeX+xml"/>
  <Override PartName="/word/activeX/activeX58.bin" ContentType="application/vnd.ms-office.activeX"/>
  <Override PartName="/word/activeX/activeX58.xml" ContentType="application/vnd.ms-office.activeX+xml"/>
  <Override PartName="/word/activeX/activeX59.bin" ContentType="application/vnd.ms-office.activeX"/>
  <Override PartName="/word/activeX/activeX59.xml" ContentType="application/vnd.ms-office.activeX+xml"/>
  <Override PartName="/word/activeX/activeX6.bin" ContentType="application/vnd.ms-office.activeX"/>
  <Override PartName="/word/activeX/activeX6.xml" ContentType="application/vnd.ms-office.activeX+xml"/>
  <Override PartName="/word/activeX/activeX60.bin" ContentType="application/vnd.ms-office.activeX"/>
  <Override PartName="/word/activeX/activeX60.xml" ContentType="application/vnd.ms-office.activeX+xml"/>
  <Override PartName="/word/activeX/activeX61.bin" ContentType="application/vnd.ms-office.activeX"/>
  <Override PartName="/word/activeX/activeX61.xml" ContentType="application/vnd.ms-office.activeX+xml"/>
  <Override PartName="/word/activeX/activeX62.bin" ContentType="application/vnd.ms-office.activeX"/>
  <Override PartName="/word/activeX/activeX62.xml" ContentType="application/vnd.ms-office.activeX+xml"/>
  <Override PartName="/word/activeX/activeX63.bin" ContentType="application/vnd.ms-office.activeX"/>
  <Override PartName="/word/activeX/activeX63.xml" ContentType="application/vnd.ms-office.activeX+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3A2EB">
      <w:pPr>
        <w:jc w:val="center"/>
        <w:rPr>
          <w:rFonts w:hint="default" w:eastAsia="docs-Roboto" w:cs="Times New Roman" w:asciiTheme="minorAscii" w:hAnsiTheme="minorAscii"/>
          <w:i w:val="0"/>
          <w:iCs w:val="0"/>
          <w:caps w:val="0"/>
          <w:color w:val="202124"/>
          <w:spacing w:val="0"/>
          <w:sz w:val="48"/>
          <w:szCs w:val="48"/>
          <w:shd w:val="clear" w:fill="FFFFFF"/>
        </w:rPr>
      </w:pPr>
      <w:r>
        <w:rPr>
          <w:rFonts w:hint="default" w:eastAsia="docs-Roboto" w:cs="Times New Roman" w:asciiTheme="minorAscii" w:hAnsiTheme="minorAscii"/>
          <w:b/>
          <w:bCs/>
          <w:i w:val="0"/>
          <w:iCs w:val="0"/>
          <w:caps w:val="0"/>
          <w:color w:val="202124"/>
          <w:spacing w:val="0"/>
          <w:sz w:val="48"/>
          <w:szCs w:val="48"/>
          <w:shd w:val="clear" w:fill="FFFFFF"/>
        </w:rPr>
        <w:t>CONTRIBUTION OF DOMESTIC CHORES TO GIRLS’</w:t>
      </w:r>
      <w:r>
        <w:rPr>
          <w:rFonts w:hint="default" w:eastAsia="docs-Roboto" w:cs="Times New Roman" w:asciiTheme="minorAscii" w:hAnsiTheme="minorAscii"/>
          <w:b/>
          <w:bCs/>
          <w:i w:val="0"/>
          <w:iCs w:val="0"/>
          <w:caps w:val="0"/>
          <w:color w:val="202124"/>
          <w:spacing w:val="0"/>
          <w:sz w:val="48"/>
          <w:szCs w:val="48"/>
          <w:shd w:val="clear" w:fill="FFFFFF"/>
          <w:lang w:val="en-US"/>
        </w:rPr>
        <w:t xml:space="preserve"> </w:t>
      </w:r>
      <w:r>
        <w:rPr>
          <w:rFonts w:hint="default" w:eastAsia="docs-Roboto" w:cs="Times New Roman" w:asciiTheme="minorAscii" w:hAnsiTheme="minorAscii"/>
          <w:b/>
          <w:bCs/>
          <w:i w:val="0"/>
          <w:iCs w:val="0"/>
          <w:caps w:val="0"/>
          <w:color w:val="202124"/>
          <w:spacing w:val="0"/>
          <w:sz w:val="48"/>
          <w:szCs w:val="48"/>
          <w:shd w:val="clear" w:fill="FFFFFF"/>
        </w:rPr>
        <w:t xml:space="preserve">DROPOUT RATE IN PUBLIC DAY </w:t>
      </w:r>
      <w:r>
        <w:rPr>
          <w:rFonts w:hint="default" w:eastAsia="docs-Roboto" w:cs="Times New Roman" w:asciiTheme="minorAscii" w:hAnsiTheme="minorAscii"/>
          <w:b/>
          <w:bCs/>
          <w:i w:val="0"/>
          <w:iCs w:val="0"/>
          <w:caps w:val="0"/>
          <w:color w:val="202124"/>
          <w:spacing w:val="0"/>
          <w:sz w:val="48"/>
          <w:szCs w:val="48"/>
          <w:shd w:val="clear" w:fill="FFFFFF"/>
          <w:lang w:val="en-US"/>
        </w:rPr>
        <w:t>JUNIOR SCHOOLS</w:t>
      </w:r>
      <w:r>
        <w:rPr>
          <w:rFonts w:hint="default" w:eastAsia="docs-Roboto" w:cs="Times New Roman" w:asciiTheme="minorAscii" w:hAnsiTheme="minorAscii"/>
          <w:b/>
          <w:bCs/>
          <w:i w:val="0"/>
          <w:iCs w:val="0"/>
          <w:caps w:val="0"/>
          <w:color w:val="202124"/>
          <w:spacing w:val="0"/>
          <w:sz w:val="48"/>
          <w:szCs w:val="48"/>
          <w:shd w:val="clear" w:fill="FFFFFF"/>
        </w:rPr>
        <w:t xml:space="preserve"> IN LAGDERA SUB-COUNTY, KENYA.</w:t>
      </w:r>
      <w:r>
        <w:rPr>
          <w:rFonts w:hint="default" w:eastAsia="docs-Roboto" w:cs="Times New Roman" w:asciiTheme="minorAscii" w:hAnsiTheme="minorAscii"/>
          <w:i w:val="0"/>
          <w:iCs w:val="0"/>
          <w:caps w:val="0"/>
          <w:color w:val="202124"/>
          <w:spacing w:val="0"/>
          <w:sz w:val="48"/>
          <w:szCs w:val="48"/>
          <w:shd w:val="clear" w:fill="FFFFFF"/>
        </w:rPr>
        <w:t> </w:t>
      </w:r>
    </w:p>
    <w:sdt>
      <w:sdtPr>
        <w:rPr>
          <w:rFonts w:hint="default" w:ascii="Times New Roman" w:hAnsi="Times New Roman" w:cs="Times New Roman"/>
        </w:rPr>
        <w:id w:val="-502511067"/>
        <w:docPartObj>
          <w:docPartGallery w:val="autotext"/>
        </w:docPartObj>
      </w:sdtPr>
      <w:sdtEndPr>
        <w:rPr>
          <w:rFonts w:hint="default" w:ascii="Times New Roman" w:hAnsi="Times New Roman" w:cs="Times New Roman"/>
        </w:rPr>
      </w:sdtEndPr>
      <w:sdtContent>
        <w:p w14:paraId="29C22BA2">
          <w:pPr>
            <w:jc w:val="center"/>
            <w:rPr>
              <w:b/>
              <w:sz w:val="36"/>
            </w:rPr>
          </w:pPr>
          <w:r>
            <w:rPr>
              <w:b/>
              <w:sz w:val="36"/>
            </w:rPr>
            <w:t>PATRICK SAITOTI NYAKORA</w:t>
          </w:r>
        </w:p>
        <w:p w14:paraId="2EA6FFBA">
          <w:pPr>
            <w:jc w:val="center"/>
            <w:rPr>
              <w:b/>
              <w:sz w:val="36"/>
            </w:rPr>
          </w:pPr>
          <w:r>
            <w:rPr>
              <w:b/>
              <w:sz w:val="36"/>
            </w:rPr>
            <w:t>E301/P2783/24</w:t>
          </w:r>
        </w:p>
        <w:p w14:paraId="03974066">
          <w:pPr>
            <w:jc w:val="center"/>
            <w:rPr>
              <w:b/>
              <w:sz w:val="36"/>
            </w:rPr>
          </w:pPr>
        </w:p>
        <w:p w14:paraId="487E3B7D">
          <w:pPr>
            <w:jc w:val="center"/>
            <w:rPr>
              <w:b/>
              <w:sz w:val="36"/>
            </w:rPr>
          </w:pPr>
          <w:r>
            <w:rPr>
              <w:b/>
              <w:sz w:val="36"/>
            </w:rPr>
            <w:t>A RESEARCH PROPOSAL SUBMITTED TO THE SCHOOL OF EDUCATON, ARTS AND SOCIAL SCIENCES AS PART OF THE REQUIREMENTS FOR THE CONFERMENT OF DEGREE OF MASTER OF EDUCATION IN CURRICULUM STUDIES,</w:t>
          </w:r>
        </w:p>
        <w:p w14:paraId="4D62CD14">
          <w:pPr>
            <w:jc w:val="center"/>
            <w:rPr>
              <w:b/>
              <w:sz w:val="36"/>
            </w:rPr>
          </w:pPr>
          <w:r>
            <w:rPr>
              <w:b/>
              <w:sz w:val="36"/>
            </w:rPr>
            <w:t>GARISSA UNIVERSITY</w:t>
          </w:r>
        </w:p>
        <w:p w14:paraId="54342531">
          <w:pPr>
            <w:jc w:val="center"/>
          </w:pPr>
          <w:r>
            <w:rPr>
              <w:b/>
              <w:sz w:val="36"/>
            </w:rPr>
            <w:t>AUGUST, 2025</w:t>
          </w:r>
          <w:r>
            <w:br w:type="page"/>
          </w:r>
        </w:p>
      </w:sdtContent>
    </w:sdt>
    <w:p w14:paraId="3E9E9AD9">
      <w:pPr>
        <w:jc w:val="center"/>
        <w:rPr>
          <w:b/>
          <w:sz w:val="24"/>
        </w:rPr>
      </w:pPr>
      <w:r>
        <w:rPr>
          <w:b/>
          <w:sz w:val="24"/>
        </w:rPr>
        <w:t>DECLARATION</w:t>
      </w:r>
    </w:p>
    <w:p w14:paraId="68FE2ACE">
      <w:pPr>
        <w:rPr>
          <w:b/>
          <w:sz w:val="24"/>
        </w:rPr>
      </w:pPr>
    </w:p>
    <w:p w14:paraId="66ED753C">
      <w:pPr>
        <w:rPr>
          <w:b/>
          <w:sz w:val="24"/>
        </w:rPr>
      </w:pPr>
      <w:r>
        <w:rPr>
          <w:b/>
          <w:sz w:val="24"/>
        </w:rPr>
        <w:t>Declaration by Candidate</w:t>
      </w:r>
    </w:p>
    <w:p w14:paraId="02DF9BA3">
      <w:r>
        <w:t>This is my work and not previously submitted in any institution. No part may be reproduced without prior written permission from the author</w:t>
      </w:r>
    </w:p>
    <w:p w14:paraId="26E3A2E3">
      <w:r>
        <w:t xml:space="preserve">Signature:…………………… Date:……………………………                                                                           </w:t>
      </w:r>
    </w:p>
    <w:p w14:paraId="75C74813">
      <w:r>
        <w:t>PATRICK SAITOTI NYAKORA</w:t>
      </w:r>
    </w:p>
    <w:p w14:paraId="6B245CF4">
      <w:r>
        <w:t>REG. NO. E301/P2783/24</w:t>
      </w:r>
    </w:p>
    <w:p w14:paraId="22CCCBBC">
      <w:pPr>
        <w:rPr>
          <w:b/>
          <w:sz w:val="24"/>
          <w:szCs w:val="24"/>
        </w:rPr>
      </w:pPr>
      <w:r>
        <w:t xml:space="preserve"> </w:t>
      </w:r>
      <w:r>
        <w:rPr>
          <w:b/>
          <w:sz w:val="24"/>
          <w:szCs w:val="24"/>
        </w:rPr>
        <w:t>Approval by Supervisors</w:t>
      </w:r>
    </w:p>
    <w:p w14:paraId="14AC24AD">
      <w:r>
        <w:t xml:space="preserve">The undersigned, university supervisors hereby declared this research proposal. </w:t>
      </w:r>
    </w:p>
    <w:p w14:paraId="14D82F94">
      <w:r>
        <w:t>NAME OF THE SUPERVISOR</w:t>
      </w:r>
    </w:p>
    <w:p w14:paraId="5D965F82">
      <w:r>
        <w:t>School of Education, Arts and Social Sciences,</w:t>
      </w:r>
    </w:p>
    <w:p w14:paraId="5BF9BE30">
      <w:r>
        <w:t>Garissa University</w:t>
      </w:r>
    </w:p>
    <w:p w14:paraId="1F809D62">
      <w:r>
        <w:t>Signature……………………………...Date …………………</w:t>
      </w:r>
    </w:p>
    <w:p w14:paraId="091C6BA5">
      <w:r>
        <w:t>NAME OF THE SUPERVISOR</w:t>
      </w:r>
    </w:p>
    <w:p w14:paraId="40878C41">
      <w:r>
        <w:t>School of Education, Arts and Social Sciences,</w:t>
      </w:r>
    </w:p>
    <w:p w14:paraId="51A14652">
      <w:r>
        <w:t>Garissa University</w:t>
      </w:r>
    </w:p>
    <w:p w14:paraId="5ADECD52">
      <w:r>
        <w:t>Signature…………………………...Date ………………………</w:t>
      </w:r>
    </w:p>
    <w:p w14:paraId="2C8C3B51">
      <w:r>
        <w:br w:type="page"/>
      </w:r>
    </w:p>
    <w:p w14:paraId="68A1F8BC">
      <w:pPr>
        <w:jc w:val="center"/>
        <w:rPr>
          <w:b/>
          <w:sz w:val="24"/>
        </w:rPr>
      </w:pPr>
      <w:r>
        <w:rPr>
          <w:b/>
          <w:sz w:val="24"/>
        </w:rPr>
        <w:t>DEDICATION</w:t>
      </w:r>
    </w:p>
    <w:p w14:paraId="763C225C">
      <w:pPr>
        <w:rPr>
          <w:sz w:val="24"/>
        </w:rPr>
      </w:pPr>
      <w:r>
        <w:rPr>
          <w:sz w:val="24"/>
        </w:rPr>
        <w:t>This proposal is dedicated to my guardians, Mr. Evans Ongaga, Mrs. Jane Mosiori and ADRA Kenya whose unwavering support and noble inspiration have guided me in my academic journey. Thank you and may God bless you and your families abundantly.</w:t>
      </w:r>
    </w:p>
    <w:p w14:paraId="40AABFF9">
      <w:pPr>
        <w:rPr>
          <w:sz w:val="24"/>
        </w:rPr>
      </w:pPr>
      <w:r>
        <w:rPr>
          <w:sz w:val="24"/>
        </w:rPr>
        <w:br w:type="page"/>
      </w:r>
    </w:p>
    <w:p w14:paraId="17752137">
      <w:pPr>
        <w:jc w:val="center"/>
        <w:rPr>
          <w:b/>
          <w:sz w:val="24"/>
        </w:rPr>
      </w:pPr>
      <w:r>
        <w:rPr>
          <w:b/>
          <w:sz w:val="24"/>
        </w:rPr>
        <w:t>ACKNOWLEDGEMENT</w:t>
      </w:r>
    </w:p>
    <w:p w14:paraId="2B26EE04">
      <w:pPr>
        <w:rPr>
          <w:sz w:val="24"/>
        </w:rPr>
      </w:pPr>
      <w:r>
        <w:rPr>
          <w:sz w:val="24"/>
        </w:rPr>
        <w:t>I sincerely thank my supervisors Prof. Stephen Rotich and Dr. Rosalia Mumo for their guidance and my course mates for their word of encouragement.</w:t>
      </w:r>
    </w:p>
    <w:p w14:paraId="6B0F0BE2">
      <w:pPr>
        <w:rPr>
          <w:sz w:val="24"/>
        </w:rPr>
      </w:pPr>
      <w:r>
        <w:rPr>
          <w:sz w:val="24"/>
        </w:rPr>
        <w:br w:type="page"/>
      </w:r>
    </w:p>
    <w:sdt>
      <w:sdtPr>
        <w:id w:val="-1275170714"/>
        <w:docPartObj>
          <w:docPartGallery w:val="Table of Contents"/>
          <w:docPartUnique/>
        </w:docPartObj>
      </w:sdtPr>
      <w:sdtEndPr>
        <w:rPr>
          <w:rFonts w:asciiTheme="minorHAnsi" w:hAnsiTheme="minorHAnsi" w:eastAsiaTheme="minorHAnsi" w:cstheme="minorBidi"/>
          <w:color w:val="auto"/>
          <w:sz w:val="22"/>
          <w:szCs w:val="22"/>
          <w:lang w:eastAsia="en-US"/>
        </w:rPr>
      </w:sdtEndPr>
      <w:sdtContent>
        <w:p w14:paraId="419EF8E5">
          <w:pPr>
            <w:pStyle w:val="10"/>
          </w:pPr>
          <w:r>
            <w:t>Table of Contents</w:t>
          </w:r>
        </w:p>
        <w:p w14:paraId="3530D452">
          <w:r>
            <w:fldChar w:fldCharType="begin"/>
          </w:r>
          <w:r>
            <w:instrText xml:space="preserve"> TOC \o "1-3" \h \z \u </w:instrText>
          </w:r>
          <w:r>
            <w:fldChar w:fldCharType="separate"/>
          </w:r>
          <w:r>
            <w:rPr>
              <w:b/>
              <w:bCs/>
            </w:rPr>
            <w:t>No table of contents entries found.</w:t>
          </w:r>
          <w:r>
            <w:rPr>
              <w:b/>
              <w:bCs/>
            </w:rPr>
            <w:fldChar w:fldCharType="end"/>
          </w:r>
        </w:p>
      </w:sdtContent>
    </w:sdt>
    <w:p w14:paraId="779237B7">
      <w:pPr>
        <w:rPr>
          <w:sz w:val="24"/>
        </w:rPr>
      </w:pPr>
    </w:p>
    <w:p w14:paraId="2D761608">
      <w:pPr>
        <w:rPr>
          <w:sz w:val="24"/>
        </w:rPr>
      </w:pPr>
      <w:r>
        <w:rPr>
          <w:sz w:val="24"/>
        </w:rPr>
        <w:br w:type="page"/>
      </w:r>
    </w:p>
    <w:p w14:paraId="0929EFFF">
      <w:pPr>
        <w:rPr>
          <w:sz w:val="24"/>
        </w:rPr>
      </w:pPr>
    </w:p>
    <w:p w14:paraId="7F87953F">
      <w:pPr>
        <w:rPr>
          <w:sz w:val="24"/>
        </w:rPr>
      </w:pPr>
      <w:r>
        <w:rPr>
          <w:sz w:val="24"/>
        </w:rPr>
        <w:br w:type="page"/>
      </w:r>
    </w:p>
    <w:p w14:paraId="274C2E87">
      <w:pPr>
        <w:rPr>
          <w:sz w:val="24"/>
        </w:rPr>
      </w:pPr>
    </w:p>
    <w:p w14:paraId="00B1883C">
      <w:pPr>
        <w:rPr>
          <w:sz w:val="24"/>
        </w:rPr>
      </w:pPr>
      <w:r>
        <w:rPr>
          <w:sz w:val="24"/>
        </w:rPr>
        <w:br w:type="page"/>
      </w:r>
    </w:p>
    <w:p w14:paraId="61E80299">
      <w:pPr>
        <w:jc w:val="center"/>
        <w:rPr>
          <w:b/>
          <w:sz w:val="24"/>
        </w:rPr>
      </w:pPr>
      <w:r>
        <w:rPr>
          <w:b/>
          <w:sz w:val="24"/>
        </w:rPr>
        <w:t>LIST OF FIGURES</w:t>
      </w:r>
    </w:p>
    <w:p w14:paraId="68B78E9C">
      <w:pPr>
        <w:rPr>
          <w:sz w:val="24"/>
        </w:rPr>
      </w:pPr>
    </w:p>
    <w:p w14:paraId="6A9662C7">
      <w:pPr>
        <w:rPr>
          <w:sz w:val="24"/>
        </w:rPr>
      </w:pPr>
    </w:p>
    <w:p w14:paraId="7004D945">
      <w:pPr>
        <w:rPr>
          <w:sz w:val="24"/>
        </w:rPr>
      </w:pPr>
    </w:p>
    <w:p w14:paraId="6C46AB9C">
      <w:pPr>
        <w:rPr>
          <w:sz w:val="24"/>
        </w:rPr>
      </w:pPr>
    </w:p>
    <w:p w14:paraId="1BA7F460">
      <w:pPr>
        <w:rPr>
          <w:sz w:val="24"/>
        </w:rPr>
      </w:pPr>
    </w:p>
    <w:p w14:paraId="3311C7D6">
      <w:pPr>
        <w:rPr>
          <w:sz w:val="24"/>
        </w:rPr>
      </w:pPr>
    </w:p>
    <w:p w14:paraId="533147A0">
      <w:pPr>
        <w:rPr>
          <w:sz w:val="24"/>
        </w:rPr>
      </w:pPr>
    </w:p>
    <w:p w14:paraId="02C42206">
      <w:pPr>
        <w:rPr>
          <w:sz w:val="24"/>
        </w:rPr>
      </w:pPr>
    </w:p>
    <w:p w14:paraId="4AD54BDA">
      <w:pPr>
        <w:rPr>
          <w:sz w:val="24"/>
        </w:rPr>
      </w:pPr>
    </w:p>
    <w:p w14:paraId="7BCD8A5B">
      <w:pPr>
        <w:rPr>
          <w:sz w:val="24"/>
        </w:rPr>
      </w:pPr>
    </w:p>
    <w:p w14:paraId="740438DB">
      <w:pPr>
        <w:rPr>
          <w:sz w:val="24"/>
        </w:rPr>
      </w:pPr>
    </w:p>
    <w:p w14:paraId="49C4134C">
      <w:pPr>
        <w:rPr>
          <w:sz w:val="24"/>
        </w:rPr>
      </w:pPr>
    </w:p>
    <w:p w14:paraId="7FA41331">
      <w:pPr>
        <w:rPr>
          <w:sz w:val="24"/>
        </w:rPr>
      </w:pPr>
    </w:p>
    <w:p w14:paraId="59E42BA0">
      <w:pPr>
        <w:tabs>
          <w:tab w:val="left" w:pos="3674"/>
        </w:tabs>
        <w:rPr>
          <w:sz w:val="24"/>
        </w:rPr>
      </w:pPr>
      <w:r>
        <w:rPr>
          <w:sz w:val="24"/>
        </w:rPr>
        <w:tab/>
      </w:r>
    </w:p>
    <w:p w14:paraId="1517218D">
      <w:pPr>
        <w:rPr>
          <w:sz w:val="24"/>
        </w:rPr>
      </w:pPr>
      <w:r>
        <w:rPr>
          <w:sz w:val="24"/>
        </w:rPr>
        <w:br w:type="page"/>
      </w:r>
    </w:p>
    <w:p w14:paraId="3B85C152">
      <w:pPr>
        <w:tabs>
          <w:tab w:val="left" w:pos="3674"/>
        </w:tabs>
        <w:jc w:val="center"/>
        <w:rPr>
          <w:b/>
          <w:sz w:val="24"/>
        </w:rPr>
      </w:pPr>
      <w:r>
        <w:rPr>
          <w:b/>
          <w:sz w:val="24"/>
        </w:rPr>
        <w:t>LIST OF ABBREVIATIONS AND ACRONYMS</w:t>
      </w:r>
    </w:p>
    <w:p w14:paraId="1D42E71F">
      <w:pPr>
        <w:tabs>
          <w:tab w:val="left" w:pos="3674"/>
        </w:tabs>
        <w:rPr>
          <w:sz w:val="24"/>
        </w:rPr>
      </w:pPr>
    </w:p>
    <w:p w14:paraId="75FCCE1B">
      <w:pPr>
        <w:tabs>
          <w:tab w:val="left" w:pos="3674"/>
        </w:tabs>
        <w:rPr>
          <w:sz w:val="24"/>
        </w:rPr>
      </w:pPr>
      <w:r>
        <w:rPr>
          <w:sz w:val="24"/>
        </w:rPr>
        <w:t>CBC – Competence Based Curriculum</w:t>
      </w:r>
    </w:p>
    <w:p w14:paraId="2904C342">
      <w:pPr>
        <w:tabs>
          <w:tab w:val="left" w:pos="3674"/>
        </w:tabs>
        <w:rPr>
          <w:sz w:val="24"/>
        </w:rPr>
      </w:pPr>
      <w:r>
        <w:rPr>
          <w:sz w:val="24"/>
        </w:rPr>
        <w:t>HOIs – Head of Institutions</w:t>
      </w:r>
    </w:p>
    <w:p w14:paraId="539EECC9">
      <w:pPr>
        <w:rPr>
          <w:sz w:val="24"/>
        </w:rPr>
      </w:pPr>
      <w:r>
        <w:rPr>
          <w:sz w:val="24"/>
        </w:rPr>
        <w:br w:type="page"/>
      </w:r>
    </w:p>
    <w:p w14:paraId="0A23B641">
      <w:pPr>
        <w:tabs>
          <w:tab w:val="left" w:pos="3674"/>
        </w:tabs>
        <w:jc w:val="center"/>
        <w:rPr>
          <w:b/>
          <w:sz w:val="24"/>
        </w:rPr>
      </w:pPr>
      <w:r>
        <w:rPr>
          <w:b/>
          <w:sz w:val="24"/>
        </w:rPr>
        <w:t>ABSTRACT</w:t>
      </w:r>
    </w:p>
    <w:p w14:paraId="282F2940">
      <w:pPr>
        <w:tabs>
          <w:tab w:val="left" w:pos="3674"/>
        </w:tabs>
        <w:rPr>
          <w:sz w:val="24"/>
        </w:rPr>
      </w:pPr>
      <w:r>
        <w:rPr>
          <w:sz w:val="24"/>
        </w:rPr>
        <w:t xml:space="preserve">Despite national and global efforts to promote equitable access to education, girls in marginalized regions such as Lagdera Sub-County in Kenya continue to experience high dropout rates in </w:t>
      </w:r>
      <w:r>
        <w:rPr>
          <w:sz w:val="24"/>
          <w:lang w:val="en-US"/>
        </w:rPr>
        <w:t>junior schools</w:t>
      </w:r>
      <w:r>
        <w:rPr>
          <w:sz w:val="24"/>
        </w:rPr>
        <w:t xml:space="preserve">. This study investigates the relationship between domestic chores and dropout rates of girls, with a focus on types of domestic duties, their effects on school participation of girls, the level of parental sensitization in schooling of girls, and the enforcement of child labour policies in Lagdera Sub-County. The study is guided by four key objectives: </w:t>
      </w:r>
      <w:r>
        <w:rPr>
          <w:rFonts w:hint="default"/>
          <w:sz w:val="24"/>
          <w:lang w:val="en-US"/>
        </w:rPr>
        <w:t>T</w:t>
      </w:r>
      <w:r>
        <w:rPr>
          <w:sz w:val="24"/>
        </w:rPr>
        <w:t xml:space="preserve">o examine the types of domestic chores assigned to girls; </w:t>
      </w:r>
      <w:r>
        <w:rPr>
          <w:rFonts w:hint="default"/>
          <w:sz w:val="24"/>
          <w:lang w:val="en-US"/>
        </w:rPr>
        <w:t>T</w:t>
      </w:r>
      <w:r>
        <w:rPr>
          <w:sz w:val="24"/>
        </w:rPr>
        <w:t xml:space="preserve">o assess the effects of these chores on their school attendance and retention; </w:t>
      </w:r>
      <w:r>
        <w:rPr>
          <w:rFonts w:hint="default"/>
          <w:sz w:val="24"/>
          <w:lang w:val="en-US"/>
        </w:rPr>
        <w:t>T</w:t>
      </w:r>
      <w:r>
        <w:rPr>
          <w:sz w:val="24"/>
        </w:rPr>
        <w:t xml:space="preserve">o evaluate parental awareness of girls' education; and </w:t>
      </w:r>
      <w:r>
        <w:rPr>
          <w:rFonts w:hint="default"/>
          <w:sz w:val="24"/>
          <w:lang w:val="en-US"/>
        </w:rPr>
        <w:t>T</w:t>
      </w:r>
      <w:r>
        <w:rPr>
          <w:sz w:val="24"/>
        </w:rPr>
        <w:t xml:space="preserve">o determine the effectiveness of child labour policy enforcement in the Lagdera Sub-County. The findings aim to inform educators, policymakers, and community stakeholders on the </w:t>
      </w:r>
      <w:r>
        <w:rPr>
          <w:rFonts w:hint="default"/>
          <w:sz w:val="24"/>
          <w:lang w:val="en-US"/>
        </w:rPr>
        <w:t>domestic chores</w:t>
      </w:r>
      <w:r>
        <w:rPr>
          <w:sz w:val="24"/>
        </w:rPr>
        <w:t xml:space="preserve"> influencing school dropout of girls and propose strategies to support educational continuity of girls in Lagdera Sub-County. </w:t>
      </w:r>
    </w:p>
    <w:p w14:paraId="544FB79E">
      <w:pPr>
        <w:rPr>
          <w:sz w:val="24"/>
        </w:rPr>
      </w:pPr>
      <w:r>
        <w:rPr>
          <w:sz w:val="24"/>
        </w:rPr>
        <w:br w:type="page"/>
      </w:r>
    </w:p>
    <w:p w14:paraId="5598E537">
      <w:pPr>
        <w:tabs>
          <w:tab w:val="left" w:pos="3674"/>
        </w:tabs>
        <w:jc w:val="center"/>
        <w:rPr>
          <w:b/>
          <w:sz w:val="24"/>
        </w:rPr>
      </w:pPr>
      <w:r>
        <w:rPr>
          <w:b/>
          <w:sz w:val="24"/>
        </w:rPr>
        <w:t>CHAPTER ONE</w:t>
      </w:r>
    </w:p>
    <w:p w14:paraId="0071C631">
      <w:pPr>
        <w:tabs>
          <w:tab w:val="left" w:pos="3674"/>
        </w:tabs>
        <w:rPr>
          <w:b/>
          <w:sz w:val="24"/>
        </w:rPr>
      </w:pPr>
      <w:r>
        <w:rPr>
          <w:b/>
          <w:sz w:val="24"/>
        </w:rPr>
        <w:t>INTRODUCTION</w:t>
      </w:r>
    </w:p>
    <w:p w14:paraId="170020DD">
      <w:pPr>
        <w:tabs>
          <w:tab w:val="left" w:pos="3674"/>
        </w:tabs>
        <w:rPr>
          <w:b/>
          <w:sz w:val="24"/>
        </w:rPr>
      </w:pPr>
      <w:r>
        <w:rPr>
          <w:b/>
          <w:sz w:val="24"/>
        </w:rPr>
        <w:t>1.1 Overview</w:t>
      </w:r>
    </w:p>
    <w:p w14:paraId="4FE4B536">
      <w:pPr>
        <w:tabs>
          <w:tab w:val="left" w:pos="3674"/>
        </w:tabs>
        <w:rPr>
          <w:sz w:val="24"/>
        </w:rPr>
      </w:pPr>
      <w:r>
        <w:rPr>
          <w:sz w:val="24"/>
        </w:rPr>
        <w:t xml:space="preserve">The education of the girl child remains a central pillar in the pursuit of gender equality and national development. In Kenya, the implementation of the Competency-Based Curriculum (CBC) and the establishment of </w:t>
      </w:r>
      <w:r>
        <w:rPr>
          <w:sz w:val="24"/>
          <w:lang w:val="en-US"/>
        </w:rPr>
        <w:t>junior schools</w:t>
      </w:r>
      <w:r>
        <w:rPr>
          <w:sz w:val="24"/>
        </w:rPr>
        <w:t xml:space="preserve"> (JSS) have been key milestones in expanding access to quality education. However, despite these reforms, girls in arid and semi-arid regions such as Lagdera Sub-County in Garissa County continue to face significant barriers to educational retention. Among the most pressing of these barriers is the burden of domestic chores, which disproportionately affects girls enrolled in public day </w:t>
      </w:r>
      <w:r>
        <w:rPr>
          <w:sz w:val="24"/>
          <w:lang w:val="en-US"/>
        </w:rPr>
        <w:t>junior schools</w:t>
      </w:r>
      <w:r>
        <w:rPr>
          <w:sz w:val="24"/>
        </w:rPr>
        <w:t>.</w:t>
      </w:r>
    </w:p>
    <w:p w14:paraId="7C35F9D7">
      <w:pPr>
        <w:tabs>
          <w:tab w:val="left" w:pos="3674"/>
        </w:tabs>
        <w:rPr>
          <w:sz w:val="24"/>
        </w:rPr>
      </w:pPr>
      <w:r>
        <w:rPr>
          <w:sz w:val="24"/>
        </w:rPr>
        <w:t>Domestic chores</w:t>
      </w:r>
      <w:r>
        <w:rPr>
          <w:rFonts w:hint="default"/>
          <w:sz w:val="24"/>
          <w:lang w:val="en-US"/>
        </w:rPr>
        <w:t xml:space="preserve"> </w:t>
      </w:r>
      <w:r>
        <w:rPr>
          <w:sz w:val="24"/>
        </w:rPr>
        <w:t>such as cooking, cleaning, fetching water, and caring for siblings</w:t>
      </w:r>
      <w:r>
        <w:rPr>
          <w:rFonts w:hint="default"/>
          <w:sz w:val="24"/>
          <w:lang w:val="en-US"/>
        </w:rPr>
        <w:t xml:space="preserve"> </w:t>
      </w:r>
      <w:r>
        <w:rPr>
          <w:sz w:val="24"/>
        </w:rPr>
        <w:t>are often assigned to girls within the household, limiting their time and energy for academic engagement. In public day schools, where learners return home daily, these responsibilities are more pronounced compared to boarding schools. The result is frequent absenteeism, poor academic performance, and ultimately, school dropout. This phenomenon is particularly concerning in Lagdera, a region characterized by pastoralist livelihoods, socio-economic hardship, and deeply rooted gender norms.</w:t>
      </w:r>
      <w:bookmarkStart w:id="0" w:name="_GoBack"/>
      <w:bookmarkEnd w:id="0"/>
    </w:p>
    <w:p w14:paraId="17375BE6">
      <w:pPr>
        <w:tabs>
          <w:tab w:val="left" w:pos="3674"/>
        </w:tabs>
        <w:rPr>
          <w:sz w:val="24"/>
        </w:rPr>
      </w:pPr>
      <w:r>
        <w:rPr>
          <w:sz w:val="24"/>
        </w:rPr>
        <w:t>While national and international studies have explored the impact of domestic work on girls’ education, there is a notable lack of localized research focusing specifically on Lagdera Sub-County. The unique socio-cultural and economic dynamics of the region necessitate a context-specific investigation into how domestic chores influence girls’ dropout rates. Understanding these dynamics is essential for designing effective interventions that can support girls’ retention and success in school.</w:t>
      </w:r>
    </w:p>
    <w:p w14:paraId="534DF55E">
      <w:pPr>
        <w:tabs>
          <w:tab w:val="left" w:pos="3674"/>
        </w:tabs>
        <w:rPr>
          <w:sz w:val="24"/>
        </w:rPr>
      </w:pPr>
      <w:r>
        <w:rPr>
          <w:sz w:val="24"/>
        </w:rPr>
        <w:t xml:space="preserve">This study, therefore, seeks to examine the relationship between domestic chores and the dropout rate among girls in public day </w:t>
      </w:r>
      <w:r>
        <w:rPr>
          <w:sz w:val="24"/>
          <w:lang w:val="en-US"/>
        </w:rPr>
        <w:t>junior schools</w:t>
      </w:r>
      <w:r>
        <w:rPr>
          <w:sz w:val="24"/>
        </w:rPr>
        <w:t xml:space="preserve"> in Lagdera Sub-County. It aims to identify the types of domestic responsibilities assigned to girls, assess their impact on school attendance and academic performance, and evaluate the role of parental awareness and policy enforcement in mitigating dropout. The findings will contribute to evidence-based strategies for promoting gender equity in education within marginalized communities.</w:t>
      </w:r>
    </w:p>
    <w:p w14:paraId="58C65C11">
      <w:pPr>
        <w:tabs>
          <w:tab w:val="left" w:pos="3674"/>
        </w:tabs>
        <w:rPr>
          <w:b/>
          <w:sz w:val="24"/>
        </w:rPr>
      </w:pPr>
      <w:r>
        <w:rPr>
          <w:b/>
          <w:sz w:val="24"/>
        </w:rPr>
        <w:t>1.2 Background of the Study</w:t>
      </w:r>
    </w:p>
    <w:p w14:paraId="1A1D4389">
      <w:pPr>
        <w:tabs>
          <w:tab w:val="left" w:pos="3674"/>
        </w:tabs>
        <w:rPr>
          <w:sz w:val="24"/>
        </w:rPr>
      </w:pPr>
      <w:r>
        <w:rPr>
          <w:sz w:val="24"/>
        </w:rPr>
        <w:t xml:space="preserve">Education is a fundamental human right and a critical driver of social and economic development. In Kenya, the introduction of the Competency-Based Curriculum (CBC) and the establishment of </w:t>
      </w:r>
      <w:r>
        <w:rPr>
          <w:sz w:val="24"/>
          <w:lang w:val="en-US"/>
        </w:rPr>
        <w:t>junior schools</w:t>
      </w:r>
      <w:r>
        <w:rPr>
          <w:sz w:val="24"/>
        </w:rPr>
        <w:t xml:space="preserve"> (JS) under the Basic Education framework have aimed to enhance access, equity, and quality in education. Despite these reforms, dropout rates among girls remain a persistent challenge, particularly in marginalized and arid regions such as Lagdera Sub-County in Garissa County. This region faces unique socio-cultural and economic barriers that disproportionately affect girls’ ability to remain in school, especially in public day </w:t>
      </w:r>
      <w:r>
        <w:rPr>
          <w:sz w:val="24"/>
          <w:lang w:val="en-US"/>
        </w:rPr>
        <w:t>junior schools</w:t>
      </w:r>
      <w:r>
        <w:rPr>
          <w:sz w:val="24"/>
        </w:rPr>
        <w:t xml:space="preserve"> where support systems are often limited.</w:t>
      </w:r>
    </w:p>
    <w:p w14:paraId="79DDA508">
      <w:pPr>
        <w:tabs>
          <w:tab w:val="left" w:pos="3674"/>
        </w:tabs>
        <w:rPr>
          <w:sz w:val="24"/>
        </w:rPr>
      </w:pPr>
      <w:r>
        <w:rPr>
          <w:sz w:val="24"/>
        </w:rPr>
        <w:t>One of the most significant but underexplored contributors to girls’ dropout is the burden of domestic chores. In many households within Lagdera, girls are expected to perform time-consuming tasks such as cooking, fetching water, cleaning, and caring for younger siblings.</w:t>
      </w:r>
    </w:p>
    <w:p w14:paraId="6BCAF5DA">
      <w:pPr>
        <w:tabs>
          <w:tab w:val="left" w:pos="3674"/>
        </w:tabs>
        <w:rPr>
          <w:sz w:val="24"/>
        </w:rPr>
      </w:pPr>
      <w:r>
        <w:rPr>
          <w:sz w:val="24"/>
        </w:rPr>
        <w:t>These responsibilities often conflict with school schedules, leading to chronic absenteeism, poor academic performance, and eventual withdrawal from school. Unlike boarding schools, public day schools do not shield girls from these daily obligations, making them particularly vulnerable to educational disruption.</w:t>
      </w:r>
    </w:p>
    <w:p w14:paraId="102FD708">
      <w:pPr>
        <w:tabs>
          <w:tab w:val="left" w:pos="3674"/>
        </w:tabs>
        <w:rPr>
          <w:sz w:val="24"/>
        </w:rPr>
      </w:pPr>
      <w:r>
        <w:rPr>
          <w:sz w:val="24"/>
        </w:rPr>
        <w:t>Existing literature from other regions, including studies in Uganda, Kajiado, and the Dadaab refugee camps, has shown a strong correlation between domestic work and school dropout among girls. However, there is a notable lack of localized research focusing specifically on Lagdera Sub-County. The region’s pastoralist lifestyle, entrenched gender norms, and limited enforcement of child protection policies further complicate the educational experiences of girls. Moreover, the absence of structured parental sensitization programs and weak community engagement exacerbate the problem, as many families undervalue girls’ education in favor of traditional domestic roles.</w:t>
      </w:r>
    </w:p>
    <w:p w14:paraId="15A9B83C">
      <w:pPr>
        <w:tabs>
          <w:tab w:val="left" w:pos="3674"/>
        </w:tabs>
        <w:rPr>
          <w:sz w:val="24"/>
        </w:rPr>
      </w:pPr>
      <w:r>
        <w:rPr>
          <w:sz w:val="24"/>
        </w:rPr>
        <w:t xml:space="preserve">This study seeks to address this gap by investigating how domestic chores influence the dropout rate among girls in public day </w:t>
      </w:r>
      <w:r>
        <w:rPr>
          <w:sz w:val="24"/>
          <w:lang w:val="en-US"/>
        </w:rPr>
        <w:t>junior schools</w:t>
      </w:r>
      <w:r>
        <w:rPr>
          <w:sz w:val="24"/>
        </w:rPr>
        <w:t xml:space="preserve"> in Lagdera Sub-County. By examining the types and intensity of domestic responsibilities, the level of parental awareness, and the effectiveness of policy enforcement, the research aims to generate evidence-based insights that can inform targeted interventions and policy reforms to enhance girls’ retention and success in education within this underserved region.</w:t>
      </w:r>
    </w:p>
    <w:p w14:paraId="45E4934B">
      <w:pPr>
        <w:tabs>
          <w:tab w:val="left" w:pos="3674"/>
        </w:tabs>
        <w:rPr>
          <w:b/>
          <w:sz w:val="24"/>
        </w:rPr>
      </w:pPr>
      <w:r>
        <w:rPr>
          <w:b/>
          <w:sz w:val="24"/>
        </w:rPr>
        <w:t>1.3 Statement of the Problem</w:t>
      </w:r>
    </w:p>
    <w:p w14:paraId="20EDF9F8">
      <w:pPr>
        <w:tabs>
          <w:tab w:val="left" w:pos="3674"/>
        </w:tabs>
        <w:rPr>
          <w:sz w:val="24"/>
        </w:rPr>
      </w:pPr>
      <w:r>
        <w:rPr>
          <w:sz w:val="24"/>
        </w:rPr>
        <w:t xml:space="preserve">Despite Kenya’s commitment to achieving universal basic education and gender parity through policies such as Free Day Secondary Education and the Competency-Based Curriculum (CBC), dropout rates among girls in arid and semi-arid regions remain alarmingly high. In Lagdera Sub-County, Garissa County, public day </w:t>
      </w:r>
      <w:r>
        <w:rPr>
          <w:sz w:val="24"/>
          <w:lang w:val="en-US"/>
        </w:rPr>
        <w:t>junior schools</w:t>
      </w:r>
      <w:r>
        <w:rPr>
          <w:sz w:val="24"/>
        </w:rPr>
        <w:t xml:space="preserve"> continue to experience significant challenges in retaining female learners. One of the most overlooked yet critical contributors to this trend is the burden of domestic chores placed on girls within their households. These responsibilities often interfere with school attendance, reduce study time, and lead to fatigue and disengagement from learning.</w:t>
      </w:r>
    </w:p>
    <w:p w14:paraId="44043977">
      <w:pPr>
        <w:tabs>
          <w:tab w:val="left" w:pos="3674"/>
        </w:tabs>
        <w:rPr>
          <w:sz w:val="24"/>
        </w:rPr>
      </w:pPr>
      <w:r>
        <w:rPr>
          <w:sz w:val="24"/>
        </w:rPr>
        <w:t>Unlike their counterparts in boarding schools, girls in public day schools return home daily and are expected to perform time-consuming tasks such as cooking, cleaning, fetching water, and caring for siblings. These chores not only compromise their academic performance but also increase the likelihood of chronic absenteeism and eventual dropout. While national statistics and broader studies have acknowledged the role of socio-economic and cultural factors in girls’ education, there is limited empirical evidence specifically addressing how domestic chores influence dropout rates in the unique socio-cultural context of Lagdera.</w:t>
      </w:r>
    </w:p>
    <w:p w14:paraId="5EB3EC7F">
      <w:pPr>
        <w:tabs>
          <w:tab w:val="left" w:pos="3674"/>
        </w:tabs>
        <w:rPr>
          <w:sz w:val="24"/>
        </w:rPr>
      </w:pPr>
      <w:r>
        <w:rPr>
          <w:sz w:val="24"/>
        </w:rPr>
        <w:t>Furthermore, existing interventions and policies aimed at promoting girls’ education often fail to account for the lived realities of girls in pastoralist communities, where gender roles are deeply entrenched and parental sensitization is minimal. The lack of localized data and targeted strategies has resulted in a gap between policy intentions and actual outcomes on the ground. Without a clear understanding of how domestic responsibilities affect girls’ schooling in Lagdera, efforts to improve retention and transition rates will remain ineffective.</w:t>
      </w:r>
    </w:p>
    <w:p w14:paraId="2C57DC84">
      <w:pPr>
        <w:tabs>
          <w:tab w:val="left" w:pos="3674"/>
        </w:tabs>
        <w:rPr>
          <w:sz w:val="24"/>
        </w:rPr>
      </w:pPr>
      <w:r>
        <w:rPr>
          <w:sz w:val="24"/>
        </w:rPr>
        <w:t xml:space="preserve">This study, therefore, seeks to investigate the relationship between domestic chores and the dropout rate among girls in public day </w:t>
      </w:r>
      <w:r>
        <w:rPr>
          <w:sz w:val="24"/>
          <w:lang w:val="en-US"/>
        </w:rPr>
        <w:t>junior schools</w:t>
      </w:r>
      <w:r>
        <w:rPr>
          <w:sz w:val="24"/>
        </w:rPr>
        <w:t xml:space="preserve"> in Lagdera Sub-County. By identifying the types of chores assigned, assessing their impact on school participation, and evaluating the role of parental awareness and policy enforcement, the research aims to generate actionable insights that can inform more inclusive and context-sensitive educational interventions.</w:t>
      </w:r>
    </w:p>
    <w:p w14:paraId="7B318CB8">
      <w:pPr>
        <w:tabs>
          <w:tab w:val="left" w:pos="3674"/>
        </w:tabs>
        <w:rPr>
          <w:b/>
          <w:sz w:val="24"/>
        </w:rPr>
      </w:pPr>
      <w:r>
        <w:rPr>
          <w:b/>
          <w:sz w:val="24"/>
        </w:rPr>
        <w:t>1.4 Purpose of the Study</w:t>
      </w:r>
    </w:p>
    <w:p w14:paraId="48EDA962">
      <w:pPr>
        <w:tabs>
          <w:tab w:val="left" w:pos="3674"/>
        </w:tabs>
        <w:rPr>
          <w:sz w:val="24"/>
        </w:rPr>
      </w:pPr>
      <w:r>
        <w:rPr>
          <w:sz w:val="24"/>
        </w:rPr>
        <w:t xml:space="preserve">The purpose of this study is to investigate the influence of domestic chores on the dropout rate among girls in public day </w:t>
      </w:r>
      <w:r>
        <w:rPr>
          <w:sz w:val="24"/>
          <w:lang w:val="en-US"/>
        </w:rPr>
        <w:t>junior schools</w:t>
      </w:r>
      <w:r>
        <w:rPr>
          <w:sz w:val="24"/>
        </w:rPr>
        <w:t xml:space="preserve"> in Lagdera Sub-County, Garissa County, Kenya. The study aims to explore the types and extent of domestic responsibilities assigned to girls, assess how these responsibilities affect their school attendance, academic performance, and overall participation in education. Additionally, the study seeks to evaluate the level of parental awareness regarding the impact of domestic chores on girls’ education and examine the enforcement of relevant child protection and education policies within the local context. The findings are expected to inform targeted interventions and policy recommendations aimed at improving girls’ retention and educational outcomes in marginalized regions.</w:t>
      </w:r>
    </w:p>
    <w:p w14:paraId="03696B7F">
      <w:pPr>
        <w:tabs>
          <w:tab w:val="left" w:pos="3674"/>
        </w:tabs>
        <w:rPr>
          <w:b/>
          <w:sz w:val="24"/>
        </w:rPr>
      </w:pPr>
      <w:r>
        <w:rPr>
          <w:b/>
          <w:sz w:val="24"/>
        </w:rPr>
        <w:t>1.5 Research Objectives</w:t>
      </w:r>
    </w:p>
    <w:p w14:paraId="0B63B026">
      <w:pPr>
        <w:tabs>
          <w:tab w:val="left" w:pos="3674"/>
        </w:tabs>
        <w:rPr>
          <w:sz w:val="24"/>
        </w:rPr>
      </w:pPr>
      <w:r>
        <w:rPr>
          <w:sz w:val="24"/>
        </w:rPr>
        <w:t>The study will be guided by the following objectives:</w:t>
      </w:r>
    </w:p>
    <w:p w14:paraId="6320CEB4">
      <w:pPr>
        <w:tabs>
          <w:tab w:val="left" w:pos="3674"/>
        </w:tabs>
        <w:rPr>
          <w:sz w:val="24"/>
        </w:rPr>
      </w:pPr>
      <w:r>
        <w:rPr>
          <w:sz w:val="24"/>
        </w:rPr>
        <w:t xml:space="preserve">a. To examine types of domestic chores and girls' dropout rates in </w:t>
      </w:r>
      <w:r>
        <w:rPr>
          <w:sz w:val="24"/>
          <w:lang w:val="en-US"/>
        </w:rPr>
        <w:t>junior schools</w:t>
      </w:r>
      <w:r>
        <w:rPr>
          <w:sz w:val="24"/>
        </w:rPr>
        <w:t xml:space="preserve"> in Lagdera Sub-County.</w:t>
      </w:r>
    </w:p>
    <w:p w14:paraId="663DF88D">
      <w:pPr>
        <w:tabs>
          <w:tab w:val="left" w:pos="3674"/>
        </w:tabs>
        <w:rPr>
          <w:sz w:val="24"/>
        </w:rPr>
      </w:pPr>
      <w:r>
        <w:rPr>
          <w:sz w:val="24"/>
        </w:rPr>
        <w:t xml:space="preserve">b. To assess the effects of domestic chores on girls' dropout rates in </w:t>
      </w:r>
      <w:r>
        <w:rPr>
          <w:sz w:val="24"/>
          <w:lang w:val="en-US"/>
        </w:rPr>
        <w:t>junior schools</w:t>
      </w:r>
      <w:r>
        <w:rPr>
          <w:sz w:val="24"/>
        </w:rPr>
        <w:t xml:space="preserve"> in Lagdera Sub-County.</w:t>
      </w:r>
    </w:p>
    <w:p w14:paraId="2CEFF364">
      <w:pPr>
        <w:tabs>
          <w:tab w:val="left" w:pos="3674"/>
        </w:tabs>
        <w:rPr>
          <w:sz w:val="24"/>
        </w:rPr>
      </w:pPr>
      <w:r>
        <w:rPr>
          <w:sz w:val="24"/>
        </w:rPr>
        <w:t xml:space="preserve">C. To assess parental sensitization and girls' dropout rates in </w:t>
      </w:r>
      <w:r>
        <w:rPr>
          <w:sz w:val="24"/>
          <w:lang w:val="en-US"/>
        </w:rPr>
        <w:t>junior schools</w:t>
      </w:r>
      <w:r>
        <w:rPr>
          <w:sz w:val="24"/>
        </w:rPr>
        <w:t xml:space="preserve"> in Lagdera Sub-County.</w:t>
      </w:r>
    </w:p>
    <w:p w14:paraId="09AA4C96">
      <w:pPr>
        <w:tabs>
          <w:tab w:val="left" w:pos="3674"/>
        </w:tabs>
        <w:rPr>
          <w:sz w:val="24"/>
        </w:rPr>
      </w:pPr>
      <w:r>
        <w:rPr>
          <w:sz w:val="24"/>
        </w:rPr>
        <w:t xml:space="preserve">d. To evaluate the enforcement of child labour policies and the dropout rates of girls in </w:t>
      </w:r>
      <w:r>
        <w:rPr>
          <w:sz w:val="24"/>
          <w:lang w:val="en-US"/>
        </w:rPr>
        <w:t>junior schools</w:t>
      </w:r>
      <w:r>
        <w:rPr>
          <w:sz w:val="24"/>
        </w:rPr>
        <w:t xml:space="preserve"> in Lagdera Sub-County.</w:t>
      </w:r>
    </w:p>
    <w:p w14:paraId="24B2B16E">
      <w:pPr>
        <w:tabs>
          <w:tab w:val="left" w:pos="3674"/>
        </w:tabs>
        <w:rPr>
          <w:b/>
          <w:sz w:val="24"/>
        </w:rPr>
      </w:pPr>
      <w:r>
        <w:rPr>
          <w:b/>
          <w:sz w:val="24"/>
        </w:rPr>
        <w:t>1.6 Research Questions</w:t>
      </w:r>
    </w:p>
    <w:p w14:paraId="20E619FF">
      <w:pPr>
        <w:tabs>
          <w:tab w:val="left" w:pos="3674"/>
        </w:tabs>
        <w:rPr>
          <w:sz w:val="24"/>
        </w:rPr>
      </w:pPr>
      <w:r>
        <w:rPr>
          <w:sz w:val="24"/>
        </w:rPr>
        <w:t xml:space="preserve">1. What types of domestic chores are commonly assigned to girls in public day </w:t>
      </w:r>
      <w:r>
        <w:rPr>
          <w:sz w:val="24"/>
          <w:lang w:val="en-US"/>
        </w:rPr>
        <w:t>junior schools</w:t>
      </w:r>
      <w:r>
        <w:rPr>
          <w:sz w:val="24"/>
        </w:rPr>
        <w:t xml:space="preserve"> in Lagdera Sub-County?</w:t>
      </w:r>
    </w:p>
    <w:p w14:paraId="30356B78">
      <w:pPr>
        <w:tabs>
          <w:tab w:val="left" w:pos="3674"/>
        </w:tabs>
        <w:rPr>
          <w:sz w:val="24"/>
        </w:rPr>
      </w:pPr>
      <w:r>
        <w:rPr>
          <w:sz w:val="24"/>
        </w:rPr>
        <w:t>2. How do domestic chores affect girls’ school attendance, academic performance, and dropout rates in Lagdera Sub-County?</w:t>
      </w:r>
    </w:p>
    <w:p w14:paraId="124D42EA">
      <w:pPr>
        <w:tabs>
          <w:tab w:val="left" w:pos="3674"/>
        </w:tabs>
        <w:rPr>
          <w:sz w:val="24"/>
        </w:rPr>
      </w:pPr>
      <w:r>
        <w:rPr>
          <w:sz w:val="24"/>
        </w:rPr>
        <w:t>3. What is the level of parental awareness regarding the impact of domestic chores on girls’ education in Lagdera Sub-County?</w:t>
      </w:r>
    </w:p>
    <w:p w14:paraId="052A6954">
      <w:pPr>
        <w:tabs>
          <w:tab w:val="left" w:pos="3674"/>
        </w:tabs>
        <w:rPr>
          <w:sz w:val="24"/>
        </w:rPr>
      </w:pPr>
      <w:r>
        <w:rPr>
          <w:sz w:val="24"/>
        </w:rPr>
        <w:t xml:space="preserve">4. How effectively are child protection and labor policies enforced in relation to girls’ dropout rates in public day </w:t>
      </w:r>
      <w:r>
        <w:rPr>
          <w:sz w:val="24"/>
          <w:lang w:val="en-US"/>
        </w:rPr>
        <w:t>junior schools</w:t>
      </w:r>
      <w:r>
        <w:rPr>
          <w:sz w:val="24"/>
        </w:rPr>
        <w:t xml:space="preserve"> in Lagdera Sub-County?</w:t>
      </w:r>
    </w:p>
    <w:p w14:paraId="1603C43A">
      <w:pPr>
        <w:tabs>
          <w:tab w:val="left" w:pos="3674"/>
        </w:tabs>
        <w:rPr>
          <w:b/>
          <w:sz w:val="24"/>
        </w:rPr>
      </w:pPr>
      <w:r>
        <w:rPr>
          <w:b/>
          <w:sz w:val="24"/>
        </w:rPr>
        <w:t>1.7 Hypotheses</w:t>
      </w:r>
    </w:p>
    <w:p w14:paraId="5432C89D">
      <w:pPr>
        <w:tabs>
          <w:tab w:val="left" w:pos="3674"/>
        </w:tabs>
        <w:rPr>
          <w:sz w:val="24"/>
        </w:rPr>
      </w:pPr>
      <w:r>
        <w:rPr>
          <w:sz w:val="24"/>
        </w:rPr>
        <w:t>The study will be guided by the following nul</w:t>
      </w:r>
      <w:r>
        <w:rPr>
          <w:rFonts w:hint="default"/>
          <w:sz w:val="24"/>
          <w:lang w:val="en-US"/>
        </w:rPr>
        <w:t>l</w:t>
      </w:r>
      <w:r>
        <w:rPr>
          <w:sz w:val="24"/>
        </w:rPr>
        <w:t xml:space="preserve"> hypotheses:</w:t>
      </w:r>
    </w:p>
    <w:p w14:paraId="313F11C5">
      <w:pPr>
        <w:pStyle w:val="11"/>
        <w:numPr>
          <w:ilvl w:val="0"/>
          <w:numId w:val="1"/>
        </w:numPr>
        <w:tabs>
          <w:tab w:val="left" w:pos="3674"/>
        </w:tabs>
        <w:rPr>
          <w:sz w:val="24"/>
        </w:rPr>
      </w:pPr>
      <w:r>
        <w:rPr>
          <w:sz w:val="24"/>
        </w:rPr>
        <w:t xml:space="preserve">H₀₁: There is no significant relationship between the types of domestic chores assigned to girls and their dropout rate in public day </w:t>
      </w:r>
      <w:r>
        <w:rPr>
          <w:sz w:val="24"/>
          <w:lang w:val="en-US"/>
        </w:rPr>
        <w:t>junior schools</w:t>
      </w:r>
      <w:r>
        <w:rPr>
          <w:sz w:val="24"/>
        </w:rPr>
        <w:t xml:space="preserve"> in Lagdera Sub-County.</w:t>
      </w:r>
    </w:p>
    <w:p w14:paraId="47A495A6">
      <w:pPr>
        <w:pStyle w:val="11"/>
        <w:numPr>
          <w:ilvl w:val="0"/>
          <w:numId w:val="1"/>
        </w:numPr>
        <w:tabs>
          <w:tab w:val="left" w:pos="3674"/>
        </w:tabs>
        <w:rPr>
          <w:sz w:val="24"/>
        </w:rPr>
      </w:pPr>
      <w:r>
        <w:rPr>
          <w:sz w:val="24"/>
        </w:rPr>
        <w:t>H₀₂: Domestic chores have no significant effect on girls’ school attendance and academic performance in Lagdera Sub-County.</w:t>
      </w:r>
    </w:p>
    <w:p w14:paraId="29B698E3">
      <w:pPr>
        <w:pStyle w:val="11"/>
        <w:numPr>
          <w:ilvl w:val="0"/>
          <w:numId w:val="1"/>
        </w:numPr>
        <w:tabs>
          <w:tab w:val="left" w:pos="3674"/>
        </w:tabs>
        <w:rPr>
          <w:sz w:val="24"/>
        </w:rPr>
      </w:pPr>
      <w:r>
        <w:rPr>
          <w:sz w:val="24"/>
        </w:rPr>
        <w:t xml:space="preserve">H₀₃: Parental sensitization has no significant influence on girls’ dropout rates in public day </w:t>
      </w:r>
      <w:r>
        <w:rPr>
          <w:sz w:val="24"/>
          <w:lang w:val="en-US"/>
        </w:rPr>
        <w:t>junior schools</w:t>
      </w:r>
      <w:r>
        <w:rPr>
          <w:sz w:val="24"/>
        </w:rPr>
        <w:t xml:space="preserve"> in Lagdera Sub-County.</w:t>
      </w:r>
    </w:p>
    <w:p w14:paraId="1418A8EE">
      <w:pPr>
        <w:pStyle w:val="11"/>
        <w:numPr>
          <w:ilvl w:val="0"/>
          <w:numId w:val="1"/>
        </w:numPr>
        <w:tabs>
          <w:tab w:val="left" w:pos="3674"/>
        </w:tabs>
        <w:rPr>
          <w:sz w:val="24"/>
        </w:rPr>
      </w:pPr>
      <w:r>
        <w:rPr>
          <w:sz w:val="24"/>
        </w:rPr>
        <w:t>H₀₄: Enforcement of child labor and education policies has no significant relationship with girls’ dropout rates in Lagdera Sub-County.</w:t>
      </w:r>
    </w:p>
    <w:p w14:paraId="783912C4">
      <w:pPr>
        <w:tabs>
          <w:tab w:val="left" w:pos="3674"/>
        </w:tabs>
        <w:rPr>
          <w:b/>
          <w:sz w:val="24"/>
        </w:rPr>
      </w:pPr>
      <w:r>
        <w:rPr>
          <w:b/>
          <w:sz w:val="24"/>
        </w:rPr>
        <w:t>1.8 Theoretical Framework</w:t>
      </w:r>
    </w:p>
    <w:p w14:paraId="07E2B368">
      <w:pPr>
        <w:tabs>
          <w:tab w:val="left" w:pos="3674"/>
        </w:tabs>
        <w:rPr>
          <w:sz w:val="24"/>
        </w:rPr>
      </w:pPr>
      <w:r>
        <w:rPr>
          <w:sz w:val="24"/>
        </w:rPr>
        <w:t>This study is anchored in the Systems Theory developed by Kurt Lewin (1947), which views an institution—such as a school—as a system composed of interrelated and interdependent parts. According to this theory, the effectiveness of the whole system depends on the proper functioning and interaction of its individual components. In the context of education, these components include the learner, the family, the school environment, community structures, and policy frameworks. A disruption in any one of these subsystems can negatively affect the overall performance and outcomes of the educational system.</w:t>
      </w:r>
    </w:p>
    <w:p w14:paraId="28E993F7">
      <w:pPr>
        <w:tabs>
          <w:tab w:val="left" w:pos="3674"/>
        </w:tabs>
        <w:rPr>
          <w:sz w:val="24"/>
        </w:rPr>
      </w:pPr>
      <w:r>
        <w:rPr>
          <w:sz w:val="24"/>
        </w:rPr>
        <w:t xml:space="preserve">In relation to this study, the dropout of girls from public day </w:t>
      </w:r>
      <w:r>
        <w:rPr>
          <w:sz w:val="24"/>
          <w:lang w:val="en-US"/>
        </w:rPr>
        <w:t>junior schools</w:t>
      </w:r>
      <w:r>
        <w:rPr>
          <w:sz w:val="24"/>
        </w:rPr>
        <w:t xml:space="preserve"> in Lagdera Sub-County can be understood as a systemic failure resulting from the interaction of multiple factors. Domestic chores, for instance, represent a home-based subsystem that directly competes with the academic demands placed on girls. When this subsystem is overburdened, it disrupts the learner’s ability to participate effectively in school. Similarly, the level of parental sensitization, the enforcement of child protection policies, and the availability of school support structures are all subsystems that either reinforce or undermine girls’ educational retention.</w:t>
      </w:r>
    </w:p>
    <w:p w14:paraId="650CE9DD">
      <w:pPr>
        <w:tabs>
          <w:tab w:val="left" w:pos="3674"/>
        </w:tabs>
        <w:rPr>
          <w:sz w:val="24"/>
        </w:rPr>
      </w:pPr>
      <w:r>
        <w:rPr>
          <w:sz w:val="24"/>
        </w:rPr>
        <w:t>The Systems Theory is particularly relevant to this study because it allows for a holistic examination of how domestic responsibilities, cultural expectations, socio-economic conditions, and institutional responses interact to influence girls’ dropout rates. It emphasizes that addressing the problem of school dropout requires coordinated efforts across all subsystems—home, school, community, and government. If one part of the system fails to support the learner, the entire educational process is compromised.</w:t>
      </w:r>
    </w:p>
    <w:p w14:paraId="01D5A786">
      <w:pPr>
        <w:tabs>
          <w:tab w:val="left" w:pos="3674"/>
        </w:tabs>
        <w:rPr>
          <w:sz w:val="24"/>
        </w:rPr>
      </w:pPr>
      <w:r>
        <w:rPr>
          <w:sz w:val="24"/>
        </w:rPr>
        <w:t>By applying this theoretical lens, the study seeks to identify which components of the system are contributing most significantly to the dropout of girls in Lagdera and how these components can be strengthened or restructured to promote better educational outcomes. The Systems Theory thus provides a comprehensive framework for analyzing the complex, interconnected factors that influence girls’ education in marginalized settings.</w:t>
      </w:r>
    </w:p>
    <w:p w14:paraId="6C9B9A34">
      <w:pPr>
        <w:tabs>
          <w:tab w:val="left" w:pos="3674"/>
        </w:tabs>
        <w:rPr>
          <w:b/>
          <w:sz w:val="24"/>
        </w:rPr>
      </w:pPr>
      <w:r>
        <w:rPr>
          <w:b/>
          <w:sz w:val="24"/>
        </w:rPr>
        <w:t>1.8.1 Social Learning Theory</w:t>
      </w:r>
    </w:p>
    <w:p w14:paraId="146C84B2">
      <w:pPr>
        <w:tabs>
          <w:tab w:val="left" w:pos="3674"/>
        </w:tabs>
        <w:rPr>
          <w:sz w:val="24"/>
        </w:rPr>
      </w:pPr>
      <w:r>
        <w:rPr>
          <w:sz w:val="24"/>
        </w:rPr>
        <w:t>This study is also grounded in the Social Learning Theory developed by Albert Bandura (1977), which emphasizes that individuals learn behaviors, attitudes, and values through observation, imitation, and modeling. According to this theory, learning occurs not only through direct experience but also by observing the actions of others and the consequences of those actions. In the context of education, children—especially girls—internalize social roles and expectations by observing the behaviors modeled by parents, siblings, peers, and community members.</w:t>
      </w:r>
    </w:p>
    <w:p w14:paraId="3B6EEB3A">
      <w:pPr>
        <w:tabs>
          <w:tab w:val="left" w:pos="3674"/>
        </w:tabs>
        <w:rPr>
          <w:sz w:val="24"/>
        </w:rPr>
      </w:pPr>
      <w:r>
        <w:rPr>
          <w:sz w:val="24"/>
        </w:rPr>
        <w:t>In many households within Lagdera Sub-County, girls observe and internalize the expectation that their primary role is to perform domestic chores such as cooking, cleaning, and caregiving. These roles are often reinforced by parents and older female relatives, who serve as primary models of behavior. As a result, girls may come to view domestic responsibilities as more important than formal education, leading to reduced motivation, irregular attendance, and eventual dropout. The normalization of these roles through social learning perpetuates gender disparities in education.</w:t>
      </w:r>
    </w:p>
    <w:p w14:paraId="0357D17E">
      <w:pPr>
        <w:tabs>
          <w:tab w:val="left" w:pos="3674"/>
        </w:tabs>
        <w:rPr>
          <w:sz w:val="24"/>
        </w:rPr>
      </w:pPr>
      <w:r>
        <w:rPr>
          <w:sz w:val="24"/>
        </w:rPr>
        <w:t>Social Learning Theory also highlights the importance of reinforcement and punishment in shaping behavior. In some cases, girls who prioritize school over household duties may face criticism or punishment, while those who conform to domestic expectations may be praised. This dynamic discourages educational persistence and reinforces the cycle of early dropout. Conversely, when girls observe peers or role models who successfully balance education and domestic life—or who are supported by their families to prioritize schooling—they are more likely to emulate those behaviors.</w:t>
      </w:r>
    </w:p>
    <w:p w14:paraId="1FEEA3EA">
      <w:pPr>
        <w:tabs>
          <w:tab w:val="left" w:pos="3674"/>
        </w:tabs>
        <w:rPr>
          <w:sz w:val="24"/>
        </w:rPr>
      </w:pPr>
      <w:r>
        <w:rPr>
          <w:sz w:val="24"/>
        </w:rPr>
        <w:t>By applying Social Learning Theory, this study seeks to understand how observed behaviors and social expectations within the home and community influence girls’ attitudes toward education and their likelihood of remaining in school. The theory provides a valuable lens for examining how cultural norms and family dynamics shape educational outcomes, particularly in marginalized settings like Lagdera Sub-County.</w:t>
      </w:r>
    </w:p>
    <w:p w14:paraId="4A04E4B5">
      <w:pPr>
        <w:tabs>
          <w:tab w:val="left" w:pos="3674"/>
        </w:tabs>
        <w:rPr>
          <w:b/>
          <w:sz w:val="24"/>
        </w:rPr>
      </w:pPr>
      <w:r>
        <w:rPr>
          <w:b/>
          <w:sz w:val="24"/>
        </w:rPr>
        <w:t>1.8.2 Feminist Theory</w:t>
      </w:r>
    </w:p>
    <w:p w14:paraId="4B8D1BF1">
      <w:pPr>
        <w:tabs>
          <w:tab w:val="left" w:pos="3674"/>
        </w:tabs>
        <w:rPr>
          <w:sz w:val="24"/>
        </w:rPr>
      </w:pPr>
      <w:r>
        <w:rPr>
          <w:sz w:val="24"/>
        </w:rPr>
        <w:t>This study is further informed by Feminist Theory, which critically examines the ways in which gender inequalities are embedded in social, cultural, and institutional structures. Feminist theorists argue that patriarchal systems systematically disadvantage women and girls by assigning them subordinate roles, limiting their access to resources, and reinforcing gendered expectations. In the context of education, Feminist Theory highlights how societal norms and power relations shape girls’ experiences, often marginalizing them through unequal access, expectations, and treatment within both the home and school environments.</w:t>
      </w:r>
    </w:p>
    <w:p w14:paraId="32BA9B12">
      <w:pPr>
        <w:tabs>
          <w:tab w:val="left" w:pos="3674"/>
        </w:tabs>
        <w:rPr>
          <w:sz w:val="24"/>
        </w:rPr>
      </w:pPr>
      <w:r>
        <w:rPr>
          <w:sz w:val="24"/>
        </w:rPr>
        <w:t>In Lagdera Sub-County, girls are often expected to perform domestic chores such as cooking, cleaning, and caregiving—tasks that are culturally assigned based on gender. These responsibilities are not only time-consuming but also reinforce the belief that a girl’s primary role is within the household, rather than in academic or professional spaces. Feminist Theory helps to unpack how these gendered expectations are internalized and perpetuated across generations, contributing to the normalization of girls’ school dropout as a consequence of fulfilling their “domestic role.”</w:t>
      </w:r>
    </w:p>
    <w:p w14:paraId="6DAEB0F1">
      <w:pPr>
        <w:tabs>
          <w:tab w:val="left" w:pos="3674"/>
        </w:tabs>
        <w:rPr>
          <w:sz w:val="24"/>
        </w:rPr>
      </w:pPr>
      <w:r>
        <w:rPr>
          <w:sz w:val="24"/>
        </w:rPr>
        <w:t>Moreover, Feminist Theory draws attention to the structural barriers that hinder girls’ educational advancement, such as the lack of gender-sensitive policies, limited female representation in school leadership, and inadequate support systems for girls facing challenges like early marriage or pregnancy. It also critiques the absence of community-level interventions that challenge harmful gender norms and promote equitable educational opportunities. In this study, the theory provides a lens through which to analyze how domestic chores, parental attitudes, and policy enforcement reflect and reinforce gender-based inequalities in education.</w:t>
      </w:r>
    </w:p>
    <w:p w14:paraId="7FD079CE">
      <w:pPr>
        <w:tabs>
          <w:tab w:val="left" w:pos="3674"/>
        </w:tabs>
        <w:rPr>
          <w:sz w:val="24"/>
        </w:rPr>
      </w:pPr>
      <w:r>
        <w:rPr>
          <w:sz w:val="24"/>
        </w:rPr>
        <w:t>By applying Feminist Theory, this study seeks not only to document the impact of domestic chores on girls’ dropout rates but also to challenge the underlying gender ideologies that sustain this problem. It advocates for transformative approaches that empower girls, engage communities, and reform institutional practices to promote gender equity in education—particularly in marginalized regions like Lagdera Sub-County.</w:t>
      </w:r>
    </w:p>
    <w:p w14:paraId="61FF868B">
      <w:pPr>
        <w:tabs>
          <w:tab w:val="left" w:pos="3674"/>
        </w:tabs>
        <w:rPr>
          <w:b/>
          <w:sz w:val="24"/>
        </w:rPr>
      </w:pPr>
      <w:r>
        <w:rPr>
          <w:b/>
          <w:sz w:val="24"/>
        </w:rPr>
        <w:t>1.8.3 Structural Functionalism Theory</w:t>
      </w:r>
    </w:p>
    <w:p w14:paraId="7C5B29D4">
      <w:pPr>
        <w:tabs>
          <w:tab w:val="left" w:pos="3674"/>
        </w:tabs>
        <w:rPr>
          <w:sz w:val="24"/>
        </w:rPr>
      </w:pPr>
      <w:r>
        <w:rPr>
          <w:sz w:val="24"/>
        </w:rPr>
        <w:t>The Structural Functionalism Theory, rooted in the works of Emile Durkheim and later advanced by Talcott Parsons, provides a useful lens for understanding the role of education in maintaining social stability and cohesion. According to this theory, society is viewed as a complex system composed of interdependent parts, each serving a specific function to ensure the smooth operation of the whole. Education, within this framework, is seen as a key institution responsible for socializing individuals, transmitting cultural values, and preparing citizens to fulfill societal roles.</w:t>
      </w:r>
    </w:p>
    <w:p w14:paraId="6781D24F">
      <w:pPr>
        <w:tabs>
          <w:tab w:val="left" w:pos="3674"/>
        </w:tabs>
        <w:rPr>
          <w:sz w:val="24"/>
        </w:rPr>
      </w:pPr>
      <w:r>
        <w:rPr>
          <w:sz w:val="24"/>
        </w:rPr>
        <w:t xml:space="preserve">In the context of this study, Structural Functionalism helps explain how domestic chores and gender roles are socially constructed and reinforced through the family unit—another key institution. In many households in Lagdera Sub-County, girls are assigned domestic responsibilities based on traditional expectations. These roles, while functional within the family structure, often conflict with the educational demands placed on girls, especially those attending public day </w:t>
      </w:r>
      <w:r>
        <w:rPr>
          <w:sz w:val="24"/>
          <w:lang w:val="en-US"/>
        </w:rPr>
        <w:t>junior schools</w:t>
      </w:r>
      <w:r>
        <w:rPr>
          <w:sz w:val="24"/>
        </w:rPr>
        <w:t>. As a result, the educational system’s function of equal opportunity and skill development is disrupted, leading to higher dropout rates among girls.</w:t>
      </w:r>
    </w:p>
    <w:p w14:paraId="326F50A2">
      <w:pPr>
        <w:tabs>
          <w:tab w:val="left" w:pos="3674"/>
        </w:tabs>
        <w:rPr>
          <w:sz w:val="24"/>
        </w:rPr>
      </w:pPr>
      <w:r>
        <w:rPr>
          <w:sz w:val="24"/>
        </w:rPr>
        <w:t>The theory also highlights the dysfunctions that arise when institutions fail to adapt to changing societal needs. For instance, when schools do not provide gender-sensitive support systems or when policies meant to protect girls from excessive domestic labor are poorly enforced, the education system fails to fulfill its integrative and developmental roles. This dysfunction contributes to social inequality and limits the potential of half the population—girls—from contributing meaningfully to national development.</w:t>
      </w:r>
    </w:p>
    <w:p w14:paraId="744EB563">
      <w:pPr>
        <w:tabs>
          <w:tab w:val="left" w:pos="3674"/>
        </w:tabs>
        <w:rPr>
          <w:sz w:val="24"/>
        </w:rPr>
      </w:pPr>
      <w:r>
        <w:rPr>
          <w:sz w:val="24"/>
        </w:rPr>
        <w:t>By applying Structural Functionalism, this study seeks to understand how the interplay between family roles, school structures, and policy frameworks either supports or hinders girls’ educational participation. It emphasizes the need for institutional reforms that align the functions of the family, school, and government to promote gender equity and reduce dropout rates among girls in marginalized regions like Lagdera Sub-County.</w:t>
      </w:r>
    </w:p>
    <w:p w14:paraId="4306D131">
      <w:pPr>
        <w:tabs>
          <w:tab w:val="left" w:pos="3674"/>
        </w:tabs>
        <w:rPr>
          <w:sz w:val="24"/>
        </w:rPr>
      </w:pPr>
    </w:p>
    <w:p w14:paraId="09BDDED5">
      <w:pPr>
        <w:tabs>
          <w:tab w:val="left" w:pos="3674"/>
        </w:tabs>
        <w:rPr>
          <w:sz w:val="24"/>
        </w:rPr>
      </w:pPr>
    </w:p>
    <w:p w14:paraId="266E7CAF">
      <w:pPr>
        <w:tabs>
          <w:tab w:val="left" w:pos="3674"/>
        </w:tabs>
        <w:rPr>
          <w:b/>
          <w:sz w:val="24"/>
        </w:rPr>
      </w:pPr>
      <w:r>
        <w:rPr>
          <w:b/>
          <w:sz w:val="24"/>
        </w:rPr>
        <w:t>1.9 Conceptual Framework</w:t>
      </w:r>
    </w:p>
    <w:p w14:paraId="7AE7A4D6">
      <w:pPr>
        <w:tabs>
          <w:tab w:val="left" w:pos="3674"/>
        </w:tabs>
        <w:rPr>
          <w:sz w:val="24"/>
        </w:rPr>
      </w:pPr>
      <w:r>
        <w:rPr>
          <w:rFonts w:ascii="Times New Roman" w:hAnsi="Times New Roman" w:cs="Times New Roman"/>
        </w:rPr>
        <mc:AlternateContent>
          <mc:Choice Requires="wps">
            <w:drawing>
              <wp:anchor distT="0" distB="0" distL="114300" distR="114300" simplePos="0" relativeHeight="251662336" behindDoc="0" locked="0" layoutInCell="1" allowOverlap="1">
                <wp:simplePos x="0" y="0"/>
                <wp:positionH relativeFrom="column">
                  <wp:posOffset>-356235</wp:posOffset>
                </wp:positionH>
                <wp:positionV relativeFrom="paragraph">
                  <wp:posOffset>1078865</wp:posOffset>
                </wp:positionV>
                <wp:extent cx="1638300" cy="1552575"/>
                <wp:effectExtent l="0" t="0" r="19050" b="28575"/>
                <wp:wrapNone/>
                <wp:docPr id="2" name="Oval 2"/>
                <wp:cNvGraphicFramePr/>
                <a:graphic xmlns:a="http://schemas.openxmlformats.org/drawingml/2006/main">
                  <a:graphicData uri="http://schemas.microsoft.com/office/word/2010/wordprocessingShape">
                    <wps:wsp>
                      <wps:cNvSpPr/>
                      <wps:spPr>
                        <a:xfrm>
                          <a:off x="0" y="0"/>
                          <a:ext cx="1638300" cy="1552575"/>
                        </a:xfrm>
                        <a:prstGeom prst="ellipse">
                          <a:avLst/>
                        </a:prstGeom>
                        <a:solidFill>
                          <a:sysClr val="window" lastClr="FFFFFF"/>
                        </a:solidFill>
                        <a:ln w="25400" cap="flat" cmpd="sng" algn="ctr">
                          <a:solidFill>
                            <a:sysClr val="windowText" lastClr="000000"/>
                          </a:solidFill>
                          <a:prstDash val="solid"/>
                        </a:ln>
                        <a:effectLst/>
                      </wps:spPr>
                      <wps:txbx>
                        <w:txbxContent>
                          <w:p w14:paraId="4F5835BD">
                            <w:pPr>
                              <w:rPr>
                                <w:sz w:val="24"/>
                              </w:rPr>
                            </w:pPr>
                            <w:r>
                              <w:rPr>
                                <w:sz w:val="24"/>
                              </w:rPr>
                              <w:t xml:space="preserve">Parental Sensitization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05pt;margin-top:84.95pt;height:122.25pt;width:129pt;z-index:251662336;v-text-anchor:middle;mso-width-relative:page;mso-height-relative:page;" fillcolor="#FFFFFF" filled="t" stroked="t" coordsize="21600,21600" o:gfxdata="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tNu9gAAAALAQAADwAAAAAAAAABACAAAAAiAAAAZHJzL2Rv&#10;d25yZXYueG1sUEsBAhQAFAAAAAgAh07iQHFB1gJzAgAAHAUAAA4AAAAAAAAAAQAgAAAAJwEAAGRy&#10;cy9lMm9Eb2MueG1sUEsFBgAAAAAGAAYAWQEAAAwGAAAAAA==&#10;">
                <v:fill on="t" focussize="0,0"/>
                <v:stroke weight="2pt" color="#000000" joinstyle="round"/>
                <v:imagedata o:title=""/>
                <o:lock v:ext="edit" aspectratio="f"/>
                <v:textbox>
                  <w:txbxContent>
                    <w:p w14:paraId="4F5835BD">
                      <w:pPr>
                        <w:rPr>
                          <w:sz w:val="24"/>
                        </w:rPr>
                      </w:pPr>
                      <w:r>
                        <w:rPr>
                          <w:sz w:val="24"/>
                        </w:rPr>
                        <w:t xml:space="preserve">Parental Sensitization                   </w:t>
                      </w:r>
                    </w:p>
                  </w:txbxContent>
                </v:textbox>
              </v:shape>
            </w:pict>
          </mc:Fallback>
        </mc:AlternateContent>
      </w:r>
      <w:r>
        <w:rPr>
          <w:sz w:val="24"/>
        </w:rPr>
        <w:t xml:space="preserve">The conceptual framework illustrates how domestic chores influence the dropout rate of girls in public day </w:t>
      </w:r>
      <w:r>
        <w:rPr>
          <w:sz w:val="24"/>
          <w:lang w:val="en-US"/>
        </w:rPr>
        <w:t>junior schools</w:t>
      </w:r>
      <w:r>
        <w:rPr>
          <w:sz w:val="24"/>
        </w:rPr>
        <w:t xml:space="preserve"> in Lagdera Sub-County. The framework shows that the types and </w:t>
      </w:r>
    </w:p>
    <w:p w14:paraId="1490295B">
      <w:pPr>
        <w:tabs>
          <w:tab w:val="left" w:pos="3674"/>
        </w:tabs>
        <w:rPr>
          <w:sz w:val="24"/>
        </w:rPr>
      </w:pPr>
    </w:p>
    <w:p w14:paraId="71D52F81">
      <w:pPr>
        <w:tabs>
          <w:tab w:val="left" w:pos="3674"/>
        </w:tabs>
        <w:rPr>
          <w:sz w:val="24"/>
        </w:rPr>
      </w:pPr>
      <w:r>
        <w:rPr>
          <w:sz w:val="24"/>
        </w:rPr>
        <w:t>intensity of domestic chores affect school attendance and academic performance, which in turn impacts the dropout rate. Parental sensitization and policy enforcement serve as moderating variables.</w:t>
      </w:r>
    </w:p>
    <w:p w14:paraId="2430089A">
      <w:pPr>
        <w:tabs>
          <w:tab w:val="left" w:pos="3674"/>
        </w:tabs>
        <w:rPr>
          <w:sz w:val="24"/>
        </w:rPr>
      </w:pPr>
    </w:p>
    <w:p w14:paraId="34BCA27B">
      <w:pPr>
        <w:tabs>
          <w:tab w:val="left" w:pos="2244"/>
          <w:tab w:val="left" w:pos="7920"/>
        </w:tabs>
        <w:rPr>
          <w:sz w:val="24"/>
        </w:rPr>
      </w:pPr>
      <w:r>
        <w:rPr>
          <w:rFonts w:ascii="Times New Roman" w:hAnsi="Times New Roman" w:cs="Times New Roman"/>
        </w:rPr>
        <mc:AlternateContent>
          <mc:Choice Requires="wps">
            <w:drawing>
              <wp:anchor distT="0" distB="0" distL="114300" distR="114300" simplePos="0" relativeHeight="251664384" behindDoc="0" locked="0" layoutInCell="1" allowOverlap="1">
                <wp:simplePos x="0" y="0"/>
                <wp:positionH relativeFrom="column">
                  <wp:posOffset>2392045</wp:posOffset>
                </wp:positionH>
                <wp:positionV relativeFrom="paragraph">
                  <wp:posOffset>1130300</wp:posOffset>
                </wp:positionV>
                <wp:extent cx="382905" cy="0"/>
                <wp:effectExtent l="0" t="76200" r="17780" b="114300"/>
                <wp:wrapNone/>
                <wp:docPr id="11" name="Straight Arrow Connector 11"/>
                <wp:cNvGraphicFramePr/>
                <a:graphic xmlns:a="http://schemas.openxmlformats.org/drawingml/2006/main">
                  <a:graphicData uri="http://schemas.microsoft.com/office/word/2010/wordprocessingShape">
                    <wps:wsp>
                      <wps:cNvCnPr/>
                      <wps:spPr>
                        <a:xfrm>
                          <a:off x="0" y="0"/>
                          <a:ext cx="382772"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_x0000_s1026" o:spid="_x0000_s1026" o:spt="32" type="#_x0000_t32" style="position:absolute;left:0pt;margin-left:188.35pt;margin-top:89pt;height:0pt;width:30.15pt;z-index:251664384;mso-width-relative:page;mso-height-relative:page;" filled="f" stroked="t" coordsize="21600,21600" o:gfxdata="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rp/ardcAAAALAQAADwAAAAAAAAABACAAAAAiAAAA&#10;ZHJzL2Rvd25yZXYueG1sUEsBAhQAFAAAAAgAh07iQFnj+c0IAgAAJQQAAA4AAAAAAAAAAQAgAAAA&#10;JgEAAGRycy9lMm9Eb2MueG1sUEsFBgAAAAAGAAYAWQEAAKAFAAAAAA==&#10;">
                <v:fill on="f" focussize="0,0"/>
                <v:stroke color="#000000" joinstyle="round" endarrow="open"/>
                <v:imagedata o:title=""/>
                <o:lock v:ext="edit" aspectratio="f"/>
              </v:shape>
            </w:pict>
          </mc:Fallback>
        </mc:AlternateContent>
      </w:r>
      <w:r>
        <w:rPr>
          <w:rFonts w:ascii="Times New Roman" w:hAnsi="Times New Roman" w:cs="Times New Roman"/>
        </w:rPr>
        <mc:AlternateContent>
          <mc:Choice Requires="wps">
            <w:drawing>
              <wp:anchor distT="0" distB="0" distL="114300" distR="114300" simplePos="0" relativeHeight="251661312" behindDoc="0" locked="0" layoutInCell="1" allowOverlap="1">
                <wp:simplePos x="0" y="0"/>
                <wp:positionH relativeFrom="column">
                  <wp:posOffset>1137285</wp:posOffset>
                </wp:positionH>
                <wp:positionV relativeFrom="paragraph">
                  <wp:posOffset>704850</wp:posOffset>
                </wp:positionV>
                <wp:extent cx="1254760" cy="914400"/>
                <wp:effectExtent l="0" t="0" r="22225" b="19050"/>
                <wp:wrapNone/>
                <wp:docPr id="5" name="Rectangle 5"/>
                <wp:cNvGraphicFramePr/>
                <a:graphic xmlns:a="http://schemas.openxmlformats.org/drawingml/2006/main">
                  <a:graphicData uri="http://schemas.microsoft.com/office/word/2010/wordprocessingShape">
                    <wps:wsp>
                      <wps:cNvSpPr/>
                      <wps:spPr>
                        <a:xfrm>
                          <a:off x="0" y="0"/>
                          <a:ext cx="1254642" cy="914400"/>
                        </a:xfrm>
                        <a:prstGeom prst="rect">
                          <a:avLst/>
                        </a:prstGeom>
                        <a:solidFill>
                          <a:sysClr val="window" lastClr="FFFFFF"/>
                        </a:solidFill>
                        <a:ln w="25400" cap="flat" cmpd="sng" algn="ctr">
                          <a:solidFill>
                            <a:sysClr val="windowText" lastClr="000000"/>
                          </a:solidFill>
                          <a:prstDash val="solid"/>
                        </a:ln>
                        <a:effectLst/>
                      </wps:spPr>
                      <wps:txbx>
                        <w:txbxContent>
                          <w:p w14:paraId="0A29F508">
                            <w:pPr>
                              <w:jc w:val="center"/>
                              <w:rPr>
                                <w:sz w:val="24"/>
                              </w:rPr>
                            </w:pPr>
                            <w:r>
                              <w:rPr>
                                <w:sz w:val="24"/>
                              </w:rPr>
                              <w:t xml:space="preserve">Domestic Chores (Type, Volume and Time)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89.55pt;margin-top:55.5pt;height:72pt;width:98.8pt;z-index:251661312;v-text-anchor:middle;mso-width-relative:page;mso-height-relative:page;" fillcolor="#FFFFFF" filled="t" stroked="t" coordsize="21600,21600" o:gfxdata="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SiOP+9gAAAALAQAADwAAAAAAAAABACAAAAAiAAAAZHJzL2Rv&#10;d25yZXYueG1sUEsBAhQAFAAAAAgAh07iQIddwHpzAgAAHQUAAA4AAAAAAAAAAQAgAAAAJwEAAGRy&#10;cy9lMm9Eb2MueG1sUEsFBgAAAAAGAAYAWQEAAAwGAAAAAA==&#10;">
                <v:fill on="t" focussize="0,0"/>
                <v:stroke weight="2pt" color="#000000" joinstyle="round"/>
                <v:imagedata o:title=""/>
                <o:lock v:ext="edit" aspectratio="f"/>
                <v:textbox>
                  <w:txbxContent>
                    <w:p w14:paraId="0A29F508">
                      <w:pPr>
                        <w:jc w:val="center"/>
                        <w:rPr>
                          <w:sz w:val="24"/>
                        </w:rPr>
                      </w:pPr>
                      <w:r>
                        <w:rPr>
                          <w:sz w:val="24"/>
                        </w:rPr>
                        <w:t xml:space="preserve">Domestic Chores (Type, Volume and Time) </w:t>
                      </w:r>
                    </w:p>
                  </w:txbxContent>
                </v:textbox>
              </v:rect>
            </w:pict>
          </mc:Fallback>
        </mc:AlternateContent>
      </w: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-238760</wp:posOffset>
                </wp:positionH>
                <wp:positionV relativeFrom="paragraph">
                  <wp:posOffset>1280795</wp:posOffset>
                </wp:positionV>
                <wp:extent cx="1519555" cy="1602740"/>
                <wp:effectExtent l="0" t="0" r="23495" b="16510"/>
                <wp:wrapNone/>
                <wp:docPr id="4" name="Oval 4"/>
                <wp:cNvGraphicFramePr/>
                <a:graphic xmlns:a="http://schemas.openxmlformats.org/drawingml/2006/main">
                  <a:graphicData uri="http://schemas.microsoft.com/office/word/2010/wordprocessingShape">
                    <wps:wsp>
                      <wps:cNvSpPr/>
                      <wps:spPr>
                        <a:xfrm>
                          <a:off x="0" y="0"/>
                          <a:ext cx="1519555" cy="1602740"/>
                        </a:xfrm>
                        <a:prstGeom prst="ellipse">
                          <a:avLst/>
                        </a:prstGeom>
                        <a:solidFill>
                          <a:sysClr val="window" lastClr="FFFFFF"/>
                        </a:solidFill>
                        <a:ln w="25400" cap="flat" cmpd="sng" algn="ctr">
                          <a:solidFill>
                            <a:sysClr val="windowText" lastClr="000000"/>
                          </a:solidFill>
                          <a:prstDash val="solid"/>
                        </a:ln>
                        <a:effectLst/>
                      </wps:spPr>
                      <wps:txbx>
                        <w:txbxContent>
                          <w:p w14:paraId="73010AE1">
                            <w:pPr>
                              <w:jc w:val="center"/>
                              <w:rPr>
                                <w:sz w:val="24"/>
                              </w:rPr>
                            </w:pPr>
                            <w:r>
                              <w:rPr>
                                <w:sz w:val="24"/>
                              </w:rPr>
                              <w:t xml:space="preserve">Policy Enforcement, Child Protection and Labour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8pt;margin-top:100.85pt;height:126.2pt;width:119.65pt;z-index:251663360;v-text-anchor:middle;mso-width-relative:page;mso-height-relative:page;" fillcolor="#FFFFFF" filled="t" stroked="t" coordsize="21600,21600" o:gfxdata="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&#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6HA1bZAAAACwEAAA8AAAAAAAAAAQAgAAAAIgAAAGRy&#10;cy9kb3ducmV2LnhtbFBLAQIUABQAAAAIAIdO4kCYJCxmdgIAABwFAAAOAAAAAAAAAAEAIAAAACgB&#10;AABkcnMvZTJvRG9jLnhtbFBLBQYAAAAABgAGAFkBAAAQBgAAAAA=&#10;">
                <v:fill on="t" focussize="0,0"/>
                <v:stroke weight="2pt" color="#000000" joinstyle="round"/>
                <v:imagedata o:title=""/>
                <o:lock v:ext="edit" aspectratio="f"/>
                <v:textbox>
                  <w:txbxContent>
                    <w:p w14:paraId="73010AE1">
                      <w:pPr>
                        <w:jc w:val="center"/>
                        <w:rPr>
                          <w:sz w:val="24"/>
                        </w:rPr>
                      </w:pPr>
                      <w:r>
                        <w:rPr>
                          <w:sz w:val="24"/>
                        </w:rPr>
                        <w:t xml:space="preserve">Policy Enforcement, Child Protection and Labour                                </w:t>
                      </w:r>
                    </w:p>
                  </w:txbxContent>
                </v:textbox>
              </v:shape>
            </w:pict>
          </mc:Fallback>
        </mc:AlternateContent>
      </w:r>
      <w:r>
        <w:rPr>
          <w:sz w:val="24"/>
        </w:rPr>
        <w:t xml:space="preserve">                          </w:t>
      </w:r>
      <w:r>
        <w:rPr>
          <w:sz w:val="24"/>
        </w:rPr>
        <w:tab/>
      </w:r>
    </w:p>
    <w:p w14:paraId="79A1A3E3">
      <w:pPr>
        <w:rPr>
          <w:sz w:val="24"/>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5081270</wp:posOffset>
                </wp:positionH>
                <wp:positionV relativeFrom="paragraph">
                  <wp:posOffset>299720</wp:posOffset>
                </wp:positionV>
                <wp:extent cx="1020445" cy="914400"/>
                <wp:effectExtent l="0" t="0" r="27305" b="19050"/>
                <wp:wrapNone/>
                <wp:docPr id="7" name="Rectangle 7"/>
                <wp:cNvGraphicFramePr/>
                <a:graphic xmlns:a="http://schemas.openxmlformats.org/drawingml/2006/main">
                  <a:graphicData uri="http://schemas.microsoft.com/office/word/2010/wordprocessingShape">
                    <wps:wsp>
                      <wps:cNvSpPr/>
                      <wps:spPr>
                        <a:xfrm>
                          <a:off x="0" y="0"/>
                          <a:ext cx="1020445" cy="914400"/>
                        </a:xfrm>
                        <a:prstGeom prst="rect">
                          <a:avLst/>
                        </a:prstGeom>
                        <a:solidFill>
                          <a:sysClr val="window" lastClr="FFFFFF"/>
                        </a:solidFill>
                        <a:ln w="25400" cap="flat" cmpd="sng" algn="ctr">
                          <a:solidFill>
                            <a:sysClr val="windowText" lastClr="000000"/>
                          </a:solidFill>
                          <a:prstDash val="solid"/>
                        </a:ln>
                        <a:effectLst/>
                      </wps:spPr>
                      <wps:txbx>
                        <w:txbxContent>
                          <w:p w14:paraId="1853470A">
                            <w:pPr>
                              <w:jc w:val="center"/>
                            </w:pPr>
                            <w:r>
                              <w:t>Girls’ Dropout Rate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7" o:spid="_x0000_s1026" o:spt="1" style="position:absolute;left:0pt;margin-left:400.1pt;margin-top:23.6pt;height:72pt;width:80.35pt;z-index:251659264;v-text-anchor:middle;mso-width-relative:page;mso-height-relative:page;" fillcolor="#FFFFFF" filled="t" stroked="t" coordsize="21600,21600" o:gfxdata="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qNAAa1wAAAAoBAAAPAAAAAAAAAAEAIAAAACIAAABkcnMvZG93&#10;bnJldi54bWxQSwECFAAUAAAACACHTuJAfR0uJ3MCAAAdBQAADgAAAAAAAAABACAAAAAmAQAAZHJz&#10;L2Uyb0RvYy54bWxQSwUGAAAAAAYABgBZAQAACwYAAAAA&#10;">
                <v:fill on="t" focussize="0,0"/>
                <v:stroke weight="2pt" color="#000000" joinstyle="round"/>
                <v:imagedata o:title=""/>
                <o:lock v:ext="edit" aspectratio="f"/>
                <v:textbox>
                  <w:txbxContent>
                    <w:p w14:paraId="1853470A">
                      <w:pPr>
                        <w:jc w:val="center"/>
                      </w:pPr>
                      <w:r>
                        <w:t>Girls’ Dropout Rate</w:t>
                      </w:r>
                    </w:p>
                  </w:txbxContent>
                </v:textbox>
              </v:rect>
            </w:pict>
          </mc:Fallback>
        </mc:AlternateContent>
      </w:r>
      <w:r>
        <w:rPr>
          <w:sz w:val="24"/>
        </w:rPr>
        <w:t xml:space="preserve">                                      Modifies</w:t>
      </w:r>
    </w:p>
    <w:p w14:paraId="1716330E">
      <w:pPr>
        <w:rPr>
          <w:sz w:val="24"/>
        </w:rPr>
      </w:pPr>
      <w:r>
        <w:rPr>
          <w:rFonts w:ascii="Times New Roman" w:hAnsi="Times New Roman" w:cs="Times New Roman"/>
        </w:rPr>
        <mc:AlternateContent>
          <mc:Choice Requires="wps">
            <w:drawing>
              <wp:anchor distT="0" distB="0" distL="114300" distR="114300" simplePos="0" relativeHeight="251660288" behindDoc="0" locked="0" layoutInCell="1" allowOverlap="1">
                <wp:simplePos x="0" y="0"/>
                <wp:positionH relativeFrom="column">
                  <wp:posOffset>2778760</wp:posOffset>
                </wp:positionH>
                <wp:positionV relativeFrom="paragraph">
                  <wp:posOffset>203200</wp:posOffset>
                </wp:positionV>
                <wp:extent cx="1317625" cy="914400"/>
                <wp:effectExtent l="0" t="0" r="15875" b="19050"/>
                <wp:wrapNone/>
                <wp:docPr id="6" name="Rectangle 6"/>
                <wp:cNvGraphicFramePr/>
                <a:graphic xmlns:a="http://schemas.openxmlformats.org/drawingml/2006/main">
                  <a:graphicData uri="http://schemas.microsoft.com/office/word/2010/wordprocessingShape">
                    <wps:wsp>
                      <wps:cNvSpPr/>
                      <wps:spPr>
                        <a:xfrm>
                          <a:off x="0" y="0"/>
                          <a:ext cx="1317625" cy="914400"/>
                        </a:xfrm>
                        <a:prstGeom prst="rect">
                          <a:avLst/>
                        </a:prstGeom>
                        <a:solidFill>
                          <a:sysClr val="window" lastClr="FFFFFF"/>
                        </a:solidFill>
                        <a:ln w="25400" cap="flat" cmpd="sng" algn="ctr">
                          <a:solidFill>
                            <a:sysClr val="windowText" lastClr="000000"/>
                          </a:solidFill>
                          <a:prstDash val="solid"/>
                        </a:ln>
                        <a:effectLst/>
                      </wps:spPr>
                      <wps:txbx>
                        <w:txbxContent>
                          <w:p w14:paraId="7B638D6F">
                            <w:pPr>
                              <w:jc w:val="center"/>
                              <w:rPr>
                                <w:sz w:val="24"/>
                              </w:rPr>
                            </w:pPr>
                            <w:r>
                              <w:rPr>
                                <w:sz w:val="24"/>
                              </w:rPr>
                              <w:t>School Attendance and Performance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218.8pt;margin-top:16pt;height:72pt;width:103.75pt;z-index:251660288;v-text-anchor:middle;mso-width-relative:page;mso-height-relative:page;" fillcolor="#FFFFFF" filled="t" stroked="t" coordsize="21600,21600" o:gfxdata="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3bKNA2QAAAAoBAAAPAAAAAAAAAAEAIAAAACIAAABkcnMv&#10;ZG93bnJldi54bWxQSwECFAAUAAAACACHTuJA35YsgXQCAAAdBQAADgAAAAAAAAABACAAAAAoAQAA&#10;ZHJzL2Uyb0RvYy54bWxQSwUGAAAAAAYABgBZAQAADgYAAAAA&#10;">
                <v:fill on="t" focussize="0,0"/>
                <v:stroke weight="2pt" color="#000000" joinstyle="round"/>
                <v:imagedata o:title=""/>
                <o:lock v:ext="edit" aspectratio="f"/>
                <v:textbox>
                  <w:txbxContent>
                    <w:p w14:paraId="7B638D6F">
                      <w:pPr>
                        <w:jc w:val="center"/>
                        <w:rPr>
                          <w:sz w:val="24"/>
                        </w:rPr>
                      </w:pPr>
                      <w:r>
                        <w:rPr>
                          <w:sz w:val="24"/>
                        </w:rPr>
                        <w:t>School Attendance and Performance</w:t>
                      </w:r>
                    </w:p>
                  </w:txbxContent>
                </v:textbox>
              </v:rect>
            </w:pict>
          </mc:Fallback>
        </mc:AlternateContent>
      </w:r>
      <w:r>
        <w:rPr>
          <w:sz w:val="24"/>
        </w:rPr>
        <w:t xml:space="preserve">                                                                       Influences</w:t>
      </w:r>
    </w:p>
    <w:p w14:paraId="33CDEF8C">
      <w:pPr>
        <w:tabs>
          <w:tab w:val="left" w:pos="2244"/>
          <w:tab w:val="left" w:pos="7920"/>
        </w:tabs>
        <w:rPr>
          <w:sz w:val="24"/>
        </w:rPr>
      </w:pPr>
      <w:r>
        <w:rPr>
          <w:rFonts w:ascii="Times New Roman" w:hAnsi="Times New Roman" w:cs="Times New Roman"/>
        </w:rPr>
        <mc:AlternateContent>
          <mc:Choice Requires="wps">
            <w:drawing>
              <wp:anchor distT="0" distB="0" distL="114300" distR="114300" simplePos="0" relativeHeight="251665408" behindDoc="0" locked="0" layoutInCell="1" allowOverlap="1">
                <wp:simplePos x="0" y="0"/>
                <wp:positionH relativeFrom="column">
                  <wp:posOffset>4093210</wp:posOffset>
                </wp:positionH>
                <wp:positionV relativeFrom="paragraph">
                  <wp:posOffset>181610</wp:posOffset>
                </wp:positionV>
                <wp:extent cx="988695" cy="0"/>
                <wp:effectExtent l="0" t="76200" r="20955" b="114300"/>
                <wp:wrapNone/>
                <wp:docPr id="3" name="Straight Arrow Connector 3"/>
                <wp:cNvGraphicFramePr/>
                <a:graphic xmlns:a="http://schemas.openxmlformats.org/drawingml/2006/main">
                  <a:graphicData uri="http://schemas.microsoft.com/office/word/2010/wordprocessingShape">
                    <wps:wsp>
                      <wps:cNvCnPr/>
                      <wps:spPr>
                        <a:xfrm>
                          <a:off x="0" y="0"/>
                          <a:ext cx="988828"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_x0000_s1026" o:spid="_x0000_s1026" o:spt="32" type="#_x0000_t32" style="position:absolute;left:0pt;margin-left:322.3pt;margin-top:14.3pt;height:0pt;width:77.85pt;z-index:251665408;mso-width-relative:page;mso-height-relative:page;" filled="f" stroked="t" coordsize="21600,21600" o:gfxdata="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QkdatYAAAAJAQAADwAAAAAAAAABACAAAAAiAAAAZHJz&#10;L2Rvd25yZXYueG1sUEsBAhQAFAAAAAgAh07iQDCk05EGAgAAIwQAAA4AAAAAAAAAAQAgAAAAJQEA&#10;AGRycy9lMm9Eb2MueG1sUEsFBgAAAAAGAAYAWQEAAJ0FAAAAAA==&#10;">
                <v:fill on="f" focussize="0,0"/>
                <v:stroke color="#000000" joinstyle="round" endarrow="open"/>
                <v:imagedata o:title=""/>
                <o:lock v:ext="edit" aspectratio="f"/>
              </v:shape>
            </w:pict>
          </mc:Fallback>
        </mc:AlternateContent>
      </w:r>
      <w:r>
        <w:rPr>
          <w:sz w:val="24"/>
        </w:rPr>
        <w:tab/>
      </w:r>
      <w:r>
        <w:rPr>
          <w:sz w:val="24"/>
        </w:rPr>
        <w:t xml:space="preserve">                                                                                 Leads to</w:t>
      </w:r>
    </w:p>
    <w:p w14:paraId="7082C275">
      <w:pPr>
        <w:rPr>
          <w:sz w:val="24"/>
        </w:rPr>
      </w:pPr>
    </w:p>
    <w:p w14:paraId="6340ACE5">
      <w:pPr>
        <w:rPr>
          <w:sz w:val="24"/>
        </w:rPr>
      </w:pPr>
    </w:p>
    <w:p w14:paraId="63A3D97D">
      <w:pPr>
        <w:rPr>
          <w:sz w:val="24"/>
        </w:rPr>
      </w:pPr>
    </w:p>
    <w:p w14:paraId="4A5B592E">
      <w:pPr>
        <w:tabs>
          <w:tab w:val="left" w:pos="2177"/>
        </w:tabs>
        <w:rPr>
          <w:rFonts w:ascii="Times New Roman" w:hAnsi="Times New Roman" w:cs="Times New Roman"/>
        </w:rPr>
      </w:pPr>
      <w:r>
        <w:rPr>
          <w:sz w:val="24"/>
        </w:rPr>
        <w:t xml:space="preserve">                                     </w:t>
      </w:r>
      <w:r>
        <w:rPr>
          <w:rFonts w:ascii="Times New Roman" w:hAnsi="Times New Roman" w:cs="Times New Roman"/>
        </w:rPr>
        <w:t>Regulates</w:t>
      </w:r>
    </w:p>
    <w:p w14:paraId="2CA9EEA1">
      <w:pPr>
        <w:jc w:val="center"/>
        <w:rPr>
          <w:rFonts w:ascii="Times New Roman" w:hAnsi="Times New Roman" w:cs="Times New Roman"/>
        </w:rPr>
      </w:pPr>
      <w:r>
        <w:rPr>
          <w:rFonts w:ascii="Times New Roman" w:hAnsi="Times New Roman" w:cs="Times New Roman"/>
        </w:rPr>
        <w:t>Fig. Framework</w:t>
      </w:r>
    </w:p>
    <w:p w14:paraId="5B30E6BB">
      <w:pPr>
        <w:tabs>
          <w:tab w:val="left" w:pos="2177"/>
        </w:tabs>
        <w:rPr>
          <w:sz w:val="24"/>
        </w:rPr>
      </w:pPr>
    </w:p>
    <w:p w14:paraId="435FEDDA">
      <w:pPr>
        <w:rPr>
          <w:sz w:val="24"/>
        </w:rPr>
      </w:pPr>
      <w:r>
        <w:rPr>
          <w:sz w:val="24"/>
        </w:rPr>
        <w:br w:type="page"/>
      </w:r>
    </w:p>
    <w:p w14:paraId="3637F628">
      <w:pPr>
        <w:tabs>
          <w:tab w:val="left" w:pos="2177"/>
        </w:tabs>
        <w:rPr>
          <w:b/>
          <w:sz w:val="24"/>
        </w:rPr>
      </w:pPr>
      <w:r>
        <w:rPr>
          <w:b/>
          <w:sz w:val="24"/>
        </w:rPr>
        <w:t>1.10 Assumptions of the Study</w:t>
      </w:r>
    </w:p>
    <w:p w14:paraId="7AF6C01D">
      <w:pPr>
        <w:tabs>
          <w:tab w:val="left" w:pos="2177"/>
        </w:tabs>
        <w:rPr>
          <w:sz w:val="24"/>
        </w:rPr>
      </w:pPr>
      <w:r>
        <w:rPr>
          <w:sz w:val="24"/>
        </w:rPr>
        <w:t>This study is guided by the following assumptions that are considered to hold true for the purpose of achieving the research objectives. These assumptions provide a framework within which the research is conducted and interpreted:</w:t>
      </w:r>
    </w:p>
    <w:p w14:paraId="0E6B000A">
      <w:pPr>
        <w:pStyle w:val="11"/>
        <w:numPr>
          <w:ilvl w:val="0"/>
          <w:numId w:val="2"/>
        </w:numPr>
        <w:tabs>
          <w:tab w:val="left" w:pos="2177"/>
        </w:tabs>
        <w:rPr>
          <w:sz w:val="24"/>
        </w:rPr>
      </w:pPr>
      <w:r>
        <w:rPr>
          <w:sz w:val="24"/>
        </w:rPr>
        <w:t>Respondents Will Provide Honest and Accurate Information</w:t>
      </w:r>
    </w:p>
    <w:p w14:paraId="592AB07C">
      <w:pPr>
        <w:tabs>
          <w:tab w:val="left" w:pos="2177"/>
        </w:tabs>
        <w:rPr>
          <w:sz w:val="24"/>
        </w:rPr>
      </w:pPr>
      <w:r>
        <w:rPr>
          <w:sz w:val="24"/>
        </w:rPr>
        <w:t>It is assumed that all participants—students, teachers, and parents—will respond truthfully and thoughtfully to the research instruments.</w:t>
      </w:r>
    </w:p>
    <w:p w14:paraId="131F0937">
      <w:pPr>
        <w:pStyle w:val="11"/>
        <w:numPr>
          <w:ilvl w:val="0"/>
          <w:numId w:val="2"/>
        </w:numPr>
        <w:tabs>
          <w:tab w:val="left" w:pos="2177"/>
        </w:tabs>
        <w:rPr>
          <w:sz w:val="24"/>
        </w:rPr>
      </w:pPr>
      <w:r>
        <w:rPr>
          <w:sz w:val="24"/>
        </w:rPr>
        <w:t>Domestic Chores Significantly Affect Girls’ School Attendance and Retention</w:t>
      </w:r>
    </w:p>
    <w:p w14:paraId="2507E387">
      <w:pPr>
        <w:tabs>
          <w:tab w:val="left" w:pos="2177"/>
        </w:tabs>
        <w:rPr>
          <w:sz w:val="24"/>
        </w:rPr>
      </w:pPr>
      <w:r>
        <w:rPr>
          <w:sz w:val="24"/>
        </w:rPr>
        <w:t>The study assumes that domestic responsibilities placed on girls have a direct or indirect impact on their ability to attend and remain in school.</w:t>
      </w:r>
    </w:p>
    <w:p w14:paraId="0F55304D">
      <w:pPr>
        <w:pStyle w:val="11"/>
        <w:numPr>
          <w:ilvl w:val="0"/>
          <w:numId w:val="2"/>
        </w:numPr>
        <w:tabs>
          <w:tab w:val="left" w:pos="2177"/>
        </w:tabs>
        <w:rPr>
          <w:sz w:val="24"/>
        </w:rPr>
      </w:pPr>
      <w:r>
        <w:rPr>
          <w:sz w:val="24"/>
        </w:rPr>
        <w:t>Cultural Norms Influence the Distribution of Domestic Chores</w:t>
      </w:r>
    </w:p>
    <w:p w14:paraId="3A7D3CD2">
      <w:pPr>
        <w:tabs>
          <w:tab w:val="left" w:pos="2177"/>
        </w:tabs>
        <w:rPr>
          <w:sz w:val="24"/>
        </w:rPr>
      </w:pPr>
      <w:r>
        <w:rPr>
          <w:sz w:val="24"/>
        </w:rPr>
        <w:t>It is assumed that traditional gender roles within the community contribute to the unequal distribution of domestic chores, disproportionately affecting girls.</w:t>
      </w:r>
    </w:p>
    <w:p w14:paraId="034FE7D6">
      <w:pPr>
        <w:pStyle w:val="11"/>
        <w:numPr>
          <w:ilvl w:val="0"/>
          <w:numId w:val="2"/>
        </w:numPr>
        <w:tabs>
          <w:tab w:val="left" w:pos="2177"/>
        </w:tabs>
        <w:rPr>
          <w:sz w:val="24"/>
        </w:rPr>
      </w:pPr>
      <w:r>
        <w:rPr>
          <w:sz w:val="24"/>
        </w:rPr>
        <w:t>School Conditions Across the Sub-County Are Comparable</w:t>
      </w:r>
    </w:p>
    <w:p w14:paraId="3012EA0F">
      <w:pPr>
        <w:tabs>
          <w:tab w:val="left" w:pos="2177"/>
        </w:tabs>
        <w:rPr>
          <w:sz w:val="24"/>
        </w:rPr>
      </w:pPr>
      <w:r>
        <w:rPr>
          <w:sz w:val="24"/>
        </w:rPr>
        <w:t xml:space="preserve">The study assumes that public day </w:t>
      </w:r>
      <w:r>
        <w:rPr>
          <w:sz w:val="24"/>
          <w:lang w:val="en-US"/>
        </w:rPr>
        <w:t>junior schools</w:t>
      </w:r>
      <w:r>
        <w:rPr>
          <w:sz w:val="24"/>
        </w:rPr>
        <w:t xml:space="preserve"> in Lagdera Sub-County operate under similar conditions, making it possible to generalize findings across the region.</w:t>
      </w:r>
    </w:p>
    <w:p w14:paraId="580B0CD5">
      <w:pPr>
        <w:tabs>
          <w:tab w:val="left" w:pos="2177"/>
        </w:tabs>
        <w:rPr>
          <w:b/>
          <w:sz w:val="24"/>
        </w:rPr>
      </w:pPr>
      <w:r>
        <w:rPr>
          <w:b/>
          <w:sz w:val="24"/>
        </w:rPr>
        <w:t>1.11 Limitations of the Study</w:t>
      </w:r>
    </w:p>
    <w:p w14:paraId="7CFACACB">
      <w:pPr>
        <w:tabs>
          <w:tab w:val="left" w:pos="2177"/>
        </w:tabs>
        <w:rPr>
          <w:sz w:val="24"/>
        </w:rPr>
      </w:pPr>
      <w:r>
        <w:rPr>
          <w:sz w:val="24"/>
        </w:rPr>
        <w:t xml:space="preserve">While this study aims to provide valuable insights into the relationship between domestic chores and girls’ dropout rates in public day </w:t>
      </w:r>
      <w:r>
        <w:rPr>
          <w:sz w:val="24"/>
          <w:lang w:val="en-US"/>
        </w:rPr>
        <w:t>junior schools</w:t>
      </w:r>
      <w:r>
        <w:rPr>
          <w:sz w:val="24"/>
        </w:rPr>
        <w:t xml:space="preserve"> in Lagdera Sub-County, several limitations may affect the scope and generalizability of the findings:</w:t>
      </w:r>
    </w:p>
    <w:p w14:paraId="62C338C4">
      <w:pPr>
        <w:pStyle w:val="11"/>
        <w:numPr>
          <w:ilvl w:val="0"/>
          <w:numId w:val="3"/>
        </w:numPr>
        <w:tabs>
          <w:tab w:val="left" w:pos="2177"/>
        </w:tabs>
        <w:rPr>
          <w:sz w:val="24"/>
        </w:rPr>
      </w:pPr>
      <w:r>
        <w:rPr>
          <w:sz w:val="24"/>
        </w:rPr>
        <w:t>Geographical Scope</w:t>
      </w:r>
    </w:p>
    <w:p w14:paraId="174E908F">
      <w:pPr>
        <w:tabs>
          <w:tab w:val="left" w:pos="2177"/>
        </w:tabs>
        <w:rPr>
          <w:sz w:val="24"/>
        </w:rPr>
      </w:pPr>
      <w:r>
        <w:rPr>
          <w:sz w:val="24"/>
        </w:rPr>
        <w:t>The study is limited to Lagdera Sub-County in Garissa County. As such, the findings may not be generalizable to other regions with different socio-economic, cultural, or educational contexts.</w:t>
      </w:r>
    </w:p>
    <w:p w14:paraId="287AFD6B">
      <w:pPr>
        <w:pStyle w:val="11"/>
        <w:numPr>
          <w:ilvl w:val="0"/>
          <w:numId w:val="3"/>
        </w:numPr>
        <w:tabs>
          <w:tab w:val="left" w:pos="2177"/>
        </w:tabs>
        <w:rPr>
          <w:sz w:val="24"/>
        </w:rPr>
      </w:pPr>
      <w:r>
        <w:rPr>
          <w:sz w:val="24"/>
        </w:rPr>
        <w:t>Reliance on Self-Reported Data</w:t>
      </w:r>
    </w:p>
    <w:p w14:paraId="4EB09D4F">
      <w:pPr>
        <w:tabs>
          <w:tab w:val="left" w:pos="2177"/>
        </w:tabs>
        <w:rPr>
          <w:sz w:val="24"/>
        </w:rPr>
      </w:pPr>
      <w:r>
        <w:rPr>
          <w:sz w:val="24"/>
        </w:rPr>
        <w:t>Much of the data collected relies on self-reports from students, parents, and teachers. This introduces the possibility of bias, including exaggeration, underreporting, or socially desirable responses.</w:t>
      </w:r>
    </w:p>
    <w:p w14:paraId="32F1D080">
      <w:pPr>
        <w:pStyle w:val="11"/>
        <w:numPr>
          <w:ilvl w:val="0"/>
          <w:numId w:val="3"/>
        </w:numPr>
        <w:tabs>
          <w:tab w:val="left" w:pos="2177"/>
        </w:tabs>
        <w:rPr>
          <w:sz w:val="24"/>
        </w:rPr>
      </w:pPr>
      <w:r>
        <w:rPr>
          <w:sz w:val="24"/>
        </w:rPr>
        <w:t>Cultural Sensitivity and Disclosure</w:t>
      </w:r>
    </w:p>
    <w:p w14:paraId="0A222676">
      <w:pPr>
        <w:tabs>
          <w:tab w:val="left" w:pos="2177"/>
        </w:tabs>
        <w:rPr>
          <w:sz w:val="24"/>
        </w:rPr>
      </w:pPr>
      <w:r>
        <w:rPr>
          <w:sz w:val="24"/>
        </w:rPr>
        <w:t>Given the cultural context of the study area, some respondents may be reluctant to openly discuss issues related to gender roles, domestic responsibilities, or school dropout, which could limit the depth of information obtained.</w:t>
      </w:r>
    </w:p>
    <w:p w14:paraId="7280C55F">
      <w:pPr>
        <w:pStyle w:val="11"/>
        <w:numPr>
          <w:ilvl w:val="0"/>
          <w:numId w:val="3"/>
        </w:numPr>
        <w:tabs>
          <w:tab w:val="left" w:pos="2177"/>
        </w:tabs>
        <w:rPr>
          <w:sz w:val="24"/>
        </w:rPr>
      </w:pPr>
      <w:r>
        <w:rPr>
          <w:sz w:val="24"/>
        </w:rPr>
        <w:t>Time and Resource Constraints</w:t>
      </w:r>
    </w:p>
    <w:p w14:paraId="0564800F">
      <w:pPr>
        <w:tabs>
          <w:tab w:val="left" w:pos="2177"/>
        </w:tabs>
        <w:rPr>
          <w:sz w:val="24"/>
        </w:rPr>
      </w:pPr>
      <w:r>
        <w:rPr>
          <w:sz w:val="24"/>
        </w:rPr>
        <w:t>The study is conducted within a limited timeframe and with constrained resources, which may affect the breadth of data collection, especially in remote or hard-to-reach areas of the sub-county.</w:t>
      </w:r>
    </w:p>
    <w:p w14:paraId="374E5978">
      <w:pPr>
        <w:tabs>
          <w:tab w:val="left" w:pos="2177"/>
        </w:tabs>
        <w:rPr>
          <w:b/>
          <w:sz w:val="24"/>
        </w:rPr>
      </w:pPr>
      <w:r>
        <w:rPr>
          <w:b/>
          <w:sz w:val="24"/>
        </w:rPr>
        <w:t>1.12 Delimitations of the Study</w:t>
      </w:r>
    </w:p>
    <w:p w14:paraId="23A7A3F4">
      <w:pPr>
        <w:tabs>
          <w:tab w:val="left" w:pos="2177"/>
        </w:tabs>
        <w:rPr>
          <w:sz w:val="24"/>
        </w:rPr>
      </w:pPr>
      <w:r>
        <w:rPr>
          <w:sz w:val="24"/>
        </w:rPr>
        <w:t>This study is intentionally scoped to focus on specific aspects of the research problem to ensure manageability and relevance. The following delimitations define the boundaries within which the study will be conducted:</w:t>
      </w:r>
    </w:p>
    <w:p w14:paraId="7A0590C6">
      <w:pPr>
        <w:pStyle w:val="11"/>
        <w:numPr>
          <w:ilvl w:val="0"/>
          <w:numId w:val="4"/>
        </w:numPr>
        <w:tabs>
          <w:tab w:val="left" w:pos="2177"/>
        </w:tabs>
        <w:rPr>
          <w:sz w:val="24"/>
        </w:rPr>
      </w:pPr>
      <w:r>
        <w:rPr>
          <w:sz w:val="24"/>
        </w:rPr>
        <w:t>Geographical Focus</w:t>
      </w:r>
    </w:p>
    <w:p w14:paraId="116EE61D">
      <w:pPr>
        <w:tabs>
          <w:tab w:val="left" w:pos="2177"/>
        </w:tabs>
        <w:rPr>
          <w:sz w:val="24"/>
        </w:rPr>
      </w:pPr>
      <w:r>
        <w:rPr>
          <w:sz w:val="24"/>
        </w:rPr>
        <w:t xml:space="preserve">The study is confined to public day </w:t>
      </w:r>
      <w:r>
        <w:rPr>
          <w:sz w:val="24"/>
          <w:lang w:val="en-US"/>
        </w:rPr>
        <w:t>junior schools</w:t>
      </w:r>
      <w:r>
        <w:rPr>
          <w:sz w:val="24"/>
        </w:rPr>
        <w:t xml:space="preserve"> in Lagdera Sub-County, Garissa County. It does not include private schools or schools in other sub-counties.</w:t>
      </w:r>
    </w:p>
    <w:p w14:paraId="26948529">
      <w:pPr>
        <w:pStyle w:val="11"/>
        <w:numPr>
          <w:ilvl w:val="0"/>
          <w:numId w:val="4"/>
        </w:numPr>
        <w:tabs>
          <w:tab w:val="left" w:pos="2177"/>
        </w:tabs>
        <w:rPr>
          <w:sz w:val="24"/>
        </w:rPr>
      </w:pPr>
      <w:r>
        <w:rPr>
          <w:sz w:val="24"/>
        </w:rPr>
        <w:t>Target Population</w:t>
      </w:r>
    </w:p>
    <w:p w14:paraId="6CF0235C">
      <w:pPr>
        <w:tabs>
          <w:tab w:val="left" w:pos="2177"/>
        </w:tabs>
        <w:rPr>
          <w:sz w:val="24"/>
        </w:rPr>
      </w:pPr>
      <w:r>
        <w:rPr>
          <w:sz w:val="24"/>
        </w:rPr>
        <w:t>The research focuses specifically on girls enrolled in junior day secondary schools, along with their teachers and parents or guardians. Boys and other stakeholders are not included unless their input directly relates to the experiences of the girls.</w:t>
      </w:r>
    </w:p>
    <w:p w14:paraId="74FDA82A">
      <w:pPr>
        <w:pStyle w:val="11"/>
        <w:numPr>
          <w:ilvl w:val="0"/>
          <w:numId w:val="4"/>
        </w:numPr>
        <w:tabs>
          <w:tab w:val="left" w:pos="2177"/>
        </w:tabs>
        <w:rPr>
          <w:sz w:val="24"/>
        </w:rPr>
      </w:pPr>
      <w:r>
        <w:rPr>
          <w:sz w:val="24"/>
        </w:rPr>
        <w:t>Thematic Scope</w:t>
      </w:r>
    </w:p>
    <w:p w14:paraId="5F862509">
      <w:pPr>
        <w:tabs>
          <w:tab w:val="left" w:pos="2177"/>
        </w:tabs>
        <w:rPr>
          <w:sz w:val="24"/>
        </w:rPr>
      </w:pPr>
      <w:r>
        <w:rPr>
          <w:sz w:val="24"/>
        </w:rPr>
        <w:t>The study is limited to examining the relationship between domestic chores and girls’ dropout rates. Other factors influencing dropout, such as early marriage, poverty, or school infrastructure, are acknowledged but not explored in depth.</w:t>
      </w:r>
    </w:p>
    <w:p w14:paraId="316E5C03">
      <w:pPr>
        <w:pStyle w:val="11"/>
        <w:numPr>
          <w:ilvl w:val="0"/>
          <w:numId w:val="4"/>
        </w:numPr>
        <w:tabs>
          <w:tab w:val="left" w:pos="2177"/>
        </w:tabs>
        <w:rPr>
          <w:sz w:val="24"/>
        </w:rPr>
      </w:pPr>
      <w:r>
        <w:rPr>
          <w:sz w:val="24"/>
        </w:rPr>
        <w:t>Time Frame</w:t>
      </w:r>
    </w:p>
    <w:p w14:paraId="33627D54">
      <w:pPr>
        <w:tabs>
          <w:tab w:val="left" w:pos="2177"/>
        </w:tabs>
        <w:rPr>
          <w:sz w:val="24"/>
        </w:rPr>
      </w:pPr>
      <w:r>
        <w:rPr>
          <w:sz w:val="24"/>
        </w:rPr>
        <w:t>The study covers data collected within a specific academic year. Longitudinal trends or historical data beyond this period are not considered.</w:t>
      </w:r>
    </w:p>
    <w:p w14:paraId="0EEF257B">
      <w:pPr>
        <w:tabs>
          <w:tab w:val="left" w:pos="2177"/>
        </w:tabs>
        <w:rPr>
          <w:sz w:val="24"/>
        </w:rPr>
      </w:pPr>
    </w:p>
    <w:p w14:paraId="4A007980">
      <w:pPr>
        <w:tabs>
          <w:tab w:val="left" w:pos="2177"/>
        </w:tabs>
        <w:rPr>
          <w:sz w:val="24"/>
        </w:rPr>
      </w:pPr>
    </w:p>
    <w:p w14:paraId="44816569">
      <w:pPr>
        <w:tabs>
          <w:tab w:val="left" w:pos="2177"/>
        </w:tabs>
        <w:rPr>
          <w:sz w:val="24"/>
        </w:rPr>
      </w:pPr>
    </w:p>
    <w:p w14:paraId="4BD70ECF">
      <w:pPr>
        <w:tabs>
          <w:tab w:val="left" w:pos="2177"/>
        </w:tabs>
        <w:rPr>
          <w:sz w:val="24"/>
        </w:rPr>
      </w:pPr>
    </w:p>
    <w:p w14:paraId="2DF14A19">
      <w:pPr>
        <w:tabs>
          <w:tab w:val="left" w:pos="2177"/>
        </w:tabs>
        <w:rPr>
          <w:b/>
          <w:sz w:val="24"/>
        </w:rPr>
      </w:pPr>
      <w:r>
        <w:rPr>
          <w:b/>
          <w:sz w:val="24"/>
        </w:rPr>
        <w:t>1.13 Definition of Terms</w:t>
      </w:r>
    </w:p>
    <w:p w14:paraId="2F925C2F">
      <w:pPr>
        <w:pStyle w:val="11"/>
        <w:numPr>
          <w:ilvl w:val="0"/>
          <w:numId w:val="5"/>
        </w:numPr>
        <w:tabs>
          <w:tab w:val="left" w:pos="2177"/>
        </w:tabs>
        <w:rPr>
          <w:sz w:val="24"/>
        </w:rPr>
      </w:pPr>
      <w:r>
        <w:rPr>
          <w:sz w:val="24"/>
        </w:rPr>
        <w:t>Domestic Chores</w:t>
      </w:r>
    </w:p>
    <w:p w14:paraId="168A42E6">
      <w:pPr>
        <w:tabs>
          <w:tab w:val="left" w:pos="2177"/>
        </w:tabs>
        <w:rPr>
          <w:sz w:val="24"/>
        </w:rPr>
      </w:pPr>
      <w:r>
        <w:rPr>
          <w:sz w:val="24"/>
        </w:rPr>
        <w:t>Routine household tasks such as cooking, cleaning, fetching water or firewood, and caring for siblings. These responsibilities are often assigned to girls and may interfere with their school attendance, participation, and academic performance.</w:t>
      </w:r>
    </w:p>
    <w:p w14:paraId="1CA12D10">
      <w:pPr>
        <w:pStyle w:val="11"/>
        <w:numPr>
          <w:ilvl w:val="0"/>
          <w:numId w:val="5"/>
        </w:numPr>
        <w:tabs>
          <w:tab w:val="left" w:pos="2177"/>
        </w:tabs>
        <w:rPr>
          <w:sz w:val="24"/>
        </w:rPr>
      </w:pPr>
      <w:r>
        <w:rPr>
          <w:sz w:val="24"/>
        </w:rPr>
        <w:t xml:space="preserve"> Dropout Rate</w:t>
      </w:r>
    </w:p>
    <w:p w14:paraId="0DDBCD22">
      <w:pPr>
        <w:tabs>
          <w:tab w:val="left" w:pos="2177"/>
        </w:tabs>
        <w:rPr>
          <w:sz w:val="24"/>
        </w:rPr>
      </w:pPr>
      <w:r>
        <w:rPr>
          <w:sz w:val="24"/>
        </w:rPr>
        <w:t>The proportion of students, particularly girls, who leave school before completing the junior secondary education cycle. It reflects the extent to which learners fail to transition or complete their education.</w:t>
      </w:r>
    </w:p>
    <w:p w14:paraId="485DE547">
      <w:pPr>
        <w:pStyle w:val="11"/>
        <w:numPr>
          <w:ilvl w:val="0"/>
          <w:numId w:val="5"/>
        </w:numPr>
        <w:tabs>
          <w:tab w:val="left" w:pos="2177"/>
        </w:tabs>
        <w:rPr>
          <w:sz w:val="24"/>
        </w:rPr>
      </w:pPr>
      <w:r>
        <w:rPr>
          <w:sz w:val="24"/>
        </w:rPr>
        <w:t xml:space="preserve"> Junior S</w:t>
      </w:r>
      <w:r>
        <w:rPr>
          <w:rFonts w:hint="default"/>
          <w:sz w:val="24"/>
          <w:lang w:val="en-US"/>
        </w:rPr>
        <w:t>chool</w:t>
      </w:r>
    </w:p>
    <w:p w14:paraId="2EF82B68">
      <w:pPr>
        <w:tabs>
          <w:tab w:val="left" w:pos="2177"/>
        </w:tabs>
        <w:rPr>
          <w:sz w:val="24"/>
        </w:rPr>
      </w:pPr>
      <w:r>
        <w:rPr>
          <w:sz w:val="24"/>
        </w:rPr>
        <w:t>The level of education in Kenya under the Competency-Based Curriculum (CBC) that follows upper primary (Grades 1–6) and includes Grades 7, 8, and 9. It is a critical stage for learners aged approximately 12–15 years.</w:t>
      </w:r>
    </w:p>
    <w:p w14:paraId="1764B9B0">
      <w:pPr>
        <w:pStyle w:val="11"/>
        <w:numPr>
          <w:ilvl w:val="0"/>
          <w:numId w:val="5"/>
        </w:numPr>
        <w:tabs>
          <w:tab w:val="left" w:pos="2177"/>
        </w:tabs>
        <w:rPr>
          <w:sz w:val="24"/>
        </w:rPr>
      </w:pPr>
      <w:r>
        <w:rPr>
          <w:sz w:val="24"/>
        </w:rPr>
        <w:t>Public Day School</w:t>
      </w:r>
    </w:p>
    <w:p w14:paraId="43AAA6E6">
      <w:pPr>
        <w:tabs>
          <w:tab w:val="left" w:pos="2177"/>
        </w:tabs>
        <w:rPr>
          <w:sz w:val="24"/>
        </w:rPr>
      </w:pPr>
      <w:r>
        <w:rPr>
          <w:sz w:val="24"/>
        </w:rPr>
        <w:t>A government-funded school where students attend classes during the day and return home in the evening. These schools are common in rural and semi-arid areas like Lagdera and are often affected by community and household dynamics.</w:t>
      </w:r>
    </w:p>
    <w:p w14:paraId="02A444EF">
      <w:pPr>
        <w:pStyle w:val="11"/>
        <w:numPr>
          <w:ilvl w:val="0"/>
          <w:numId w:val="5"/>
        </w:numPr>
        <w:tabs>
          <w:tab w:val="left" w:pos="2177"/>
        </w:tabs>
        <w:rPr>
          <w:sz w:val="24"/>
        </w:rPr>
      </w:pPr>
      <w:r>
        <w:rPr>
          <w:sz w:val="24"/>
        </w:rPr>
        <w:t>Household Burden</w:t>
      </w:r>
    </w:p>
    <w:p w14:paraId="20F6FE75">
      <w:pPr>
        <w:tabs>
          <w:tab w:val="left" w:pos="2177"/>
        </w:tabs>
        <w:rPr>
          <w:sz w:val="24"/>
        </w:rPr>
      </w:pPr>
      <w:r>
        <w:rPr>
          <w:sz w:val="24"/>
        </w:rPr>
        <w:t>The cumulative responsibilities and expectations placed on a child—especially girls—within the home, including domestic chores, caregiving, and other duties that may limit time and energy for school-related activities.</w:t>
      </w:r>
    </w:p>
    <w:p w14:paraId="202FAC6D">
      <w:pPr>
        <w:pStyle w:val="11"/>
        <w:numPr>
          <w:ilvl w:val="0"/>
          <w:numId w:val="5"/>
        </w:numPr>
        <w:tabs>
          <w:tab w:val="left" w:pos="2177"/>
        </w:tabs>
        <w:rPr>
          <w:sz w:val="24"/>
        </w:rPr>
      </w:pPr>
      <w:r>
        <w:rPr>
          <w:sz w:val="24"/>
        </w:rPr>
        <w:t>Competency-Based Curriculum (CBC)</w:t>
      </w:r>
    </w:p>
    <w:p w14:paraId="37938E32">
      <w:pPr>
        <w:tabs>
          <w:tab w:val="left" w:pos="2177"/>
        </w:tabs>
        <w:rPr>
          <w:sz w:val="24"/>
        </w:rPr>
      </w:pPr>
      <w:r>
        <w:rPr>
          <w:sz w:val="24"/>
        </w:rPr>
        <w:t>Kenya’s current education system that emphasizes the development of learners’ skills, values, and competencies. It involves continuous assessment and practical learning, which may be affected by students’ home responsibilities.</w:t>
      </w:r>
    </w:p>
    <w:p w14:paraId="7648F8D7">
      <w:pPr>
        <w:pStyle w:val="11"/>
        <w:numPr>
          <w:ilvl w:val="0"/>
          <w:numId w:val="5"/>
        </w:numPr>
        <w:tabs>
          <w:tab w:val="left" w:pos="2177"/>
        </w:tabs>
        <w:rPr>
          <w:sz w:val="24"/>
        </w:rPr>
      </w:pPr>
      <w:r>
        <w:rPr>
          <w:sz w:val="24"/>
        </w:rPr>
        <w:t>Gender Roles</w:t>
      </w:r>
    </w:p>
    <w:p w14:paraId="5EAA2F47">
      <w:pPr>
        <w:tabs>
          <w:tab w:val="left" w:pos="2177"/>
        </w:tabs>
        <w:rPr>
          <w:sz w:val="24"/>
        </w:rPr>
      </w:pPr>
      <w:r>
        <w:rPr>
          <w:sz w:val="24"/>
        </w:rPr>
        <w:t>Social and cultural expectations that define appropriate behaviors and responsibilities for males and females. These roles often assign more domestic responsibilities to girls, influencing their educational experiences.</w:t>
      </w:r>
    </w:p>
    <w:p w14:paraId="6F8F257F">
      <w:pPr>
        <w:pStyle w:val="11"/>
        <w:numPr>
          <w:ilvl w:val="0"/>
          <w:numId w:val="5"/>
        </w:numPr>
        <w:tabs>
          <w:tab w:val="left" w:pos="2177"/>
        </w:tabs>
        <w:rPr>
          <w:sz w:val="24"/>
        </w:rPr>
      </w:pPr>
      <w:r>
        <w:rPr>
          <w:sz w:val="24"/>
        </w:rPr>
        <w:t>Socio-Cultural Factors</w:t>
      </w:r>
    </w:p>
    <w:p w14:paraId="2FB95530">
      <w:pPr>
        <w:tabs>
          <w:tab w:val="left" w:pos="2177"/>
        </w:tabs>
        <w:rPr>
          <w:sz w:val="24"/>
        </w:rPr>
      </w:pPr>
      <w:r>
        <w:rPr>
          <w:sz w:val="24"/>
        </w:rPr>
        <w:t>Community beliefs, traditions, and practices that influence behavior and decision-making, including attitudes toward girls’ education and domestic responsibilities.</w:t>
      </w:r>
    </w:p>
    <w:p w14:paraId="67647DE7">
      <w:pPr>
        <w:pStyle w:val="11"/>
        <w:numPr>
          <w:ilvl w:val="0"/>
          <w:numId w:val="5"/>
        </w:numPr>
        <w:tabs>
          <w:tab w:val="left" w:pos="2177"/>
        </w:tabs>
        <w:rPr>
          <w:sz w:val="24"/>
        </w:rPr>
      </w:pPr>
      <w:r>
        <w:rPr>
          <w:sz w:val="24"/>
        </w:rPr>
        <w:t>Parental Attitudes</w:t>
      </w:r>
    </w:p>
    <w:p w14:paraId="08CA36C3">
      <w:pPr>
        <w:tabs>
          <w:tab w:val="left" w:pos="2177"/>
        </w:tabs>
        <w:rPr>
          <w:sz w:val="24"/>
        </w:rPr>
      </w:pPr>
      <w:r>
        <w:rPr>
          <w:sz w:val="24"/>
        </w:rPr>
        <w:t>The beliefs and perceptions held by parents or guardians regarding the value of girls’ education, which can influence whether girls are supported or burdened with chores that affect their schooling.</w:t>
      </w:r>
    </w:p>
    <w:p w14:paraId="55C48413">
      <w:pPr>
        <w:pStyle w:val="11"/>
        <w:numPr>
          <w:ilvl w:val="0"/>
          <w:numId w:val="5"/>
        </w:numPr>
        <w:tabs>
          <w:tab w:val="left" w:pos="2177"/>
        </w:tabs>
        <w:rPr>
          <w:sz w:val="24"/>
        </w:rPr>
      </w:pPr>
      <w:r>
        <w:rPr>
          <w:sz w:val="24"/>
        </w:rPr>
        <w:t>Educational Access</w:t>
      </w:r>
    </w:p>
    <w:p w14:paraId="6EBEB2BA">
      <w:pPr>
        <w:tabs>
          <w:tab w:val="left" w:pos="2177"/>
        </w:tabs>
        <w:rPr>
          <w:sz w:val="24"/>
        </w:rPr>
      </w:pPr>
      <w:r>
        <w:rPr>
          <w:sz w:val="24"/>
        </w:rPr>
        <w:t>The ability of children, especially girls, to enroll in and attend school without facing barriers such as domestic workload, cultural restrictions, or long distances.</w:t>
      </w:r>
    </w:p>
    <w:p w14:paraId="0C7771F2">
      <w:pPr>
        <w:pStyle w:val="11"/>
        <w:numPr>
          <w:ilvl w:val="0"/>
          <w:numId w:val="5"/>
        </w:numPr>
        <w:tabs>
          <w:tab w:val="left" w:pos="2177"/>
        </w:tabs>
        <w:rPr>
          <w:sz w:val="24"/>
        </w:rPr>
      </w:pPr>
      <w:r>
        <w:rPr>
          <w:sz w:val="24"/>
        </w:rPr>
        <w:t>Retention</w:t>
      </w:r>
    </w:p>
    <w:p w14:paraId="1849ABA0">
      <w:pPr>
        <w:tabs>
          <w:tab w:val="left" w:pos="2177"/>
        </w:tabs>
        <w:rPr>
          <w:sz w:val="24"/>
        </w:rPr>
      </w:pPr>
      <w:r>
        <w:rPr>
          <w:sz w:val="24"/>
        </w:rPr>
        <w:t>The continued enrollment and participation of students in school until they complete the intended level of education.</w:t>
      </w:r>
    </w:p>
    <w:p w14:paraId="7D5A06A3">
      <w:pPr>
        <w:pStyle w:val="11"/>
        <w:numPr>
          <w:ilvl w:val="0"/>
          <w:numId w:val="5"/>
        </w:numPr>
        <w:tabs>
          <w:tab w:val="left" w:pos="2177"/>
        </w:tabs>
        <w:rPr>
          <w:sz w:val="24"/>
        </w:rPr>
      </w:pPr>
      <w:r>
        <w:rPr>
          <w:sz w:val="24"/>
        </w:rPr>
        <w:t>School Attendance</w:t>
      </w:r>
    </w:p>
    <w:p w14:paraId="3269FC30">
      <w:pPr>
        <w:tabs>
          <w:tab w:val="left" w:pos="2177"/>
        </w:tabs>
        <w:rPr>
          <w:sz w:val="24"/>
        </w:rPr>
      </w:pPr>
      <w:r>
        <w:rPr>
          <w:sz w:val="24"/>
        </w:rPr>
        <w:t xml:space="preserve">The regular presence of students in school as required by the academic calendar. Irregular attendance may be caused by domestic chores or other socio-economic factors. </w:t>
      </w:r>
    </w:p>
    <w:p w14:paraId="768BBE89">
      <w:pPr>
        <w:rPr>
          <w:sz w:val="24"/>
        </w:rPr>
      </w:pPr>
    </w:p>
    <w:p w14:paraId="36966737">
      <w:pPr>
        <w:rPr>
          <w:sz w:val="24"/>
        </w:rPr>
      </w:pPr>
    </w:p>
    <w:p w14:paraId="68D907F0">
      <w:pPr>
        <w:rPr>
          <w:sz w:val="24"/>
        </w:rPr>
      </w:pPr>
    </w:p>
    <w:p w14:paraId="1FE76B86">
      <w:pPr>
        <w:tabs>
          <w:tab w:val="left" w:pos="2629"/>
        </w:tabs>
        <w:rPr>
          <w:sz w:val="24"/>
        </w:rPr>
      </w:pPr>
      <w:r>
        <w:rPr>
          <w:sz w:val="24"/>
        </w:rPr>
        <w:tab/>
      </w:r>
    </w:p>
    <w:p w14:paraId="1CA563D4">
      <w:pPr>
        <w:rPr>
          <w:sz w:val="24"/>
        </w:rPr>
      </w:pPr>
      <w:r>
        <w:rPr>
          <w:sz w:val="24"/>
        </w:rPr>
        <w:br w:type="page"/>
      </w:r>
    </w:p>
    <w:p w14:paraId="4A51B1EF">
      <w:pPr>
        <w:tabs>
          <w:tab w:val="left" w:pos="2629"/>
        </w:tabs>
        <w:jc w:val="center"/>
        <w:rPr>
          <w:b/>
          <w:sz w:val="24"/>
        </w:rPr>
      </w:pPr>
      <w:r>
        <w:rPr>
          <w:b/>
          <w:sz w:val="24"/>
        </w:rPr>
        <w:t>CHAPTER TWO</w:t>
      </w:r>
    </w:p>
    <w:p w14:paraId="5CC134B7">
      <w:pPr>
        <w:tabs>
          <w:tab w:val="left" w:pos="2629"/>
        </w:tabs>
        <w:rPr>
          <w:b/>
          <w:sz w:val="24"/>
        </w:rPr>
      </w:pPr>
      <w:r>
        <w:rPr>
          <w:b/>
          <w:sz w:val="24"/>
        </w:rPr>
        <w:t>LITERATURE REVIEW</w:t>
      </w:r>
    </w:p>
    <w:p w14:paraId="3D9FA83E">
      <w:pPr>
        <w:tabs>
          <w:tab w:val="left" w:pos="2629"/>
        </w:tabs>
        <w:rPr>
          <w:b/>
          <w:sz w:val="24"/>
        </w:rPr>
      </w:pPr>
      <w:r>
        <w:rPr>
          <w:b/>
          <w:sz w:val="24"/>
        </w:rPr>
        <w:t>2.1 Introduction</w:t>
      </w:r>
    </w:p>
    <w:p w14:paraId="43C233C5">
      <w:pPr>
        <w:tabs>
          <w:tab w:val="left" w:pos="2629"/>
        </w:tabs>
        <w:rPr>
          <w:sz w:val="24"/>
        </w:rPr>
      </w:pPr>
      <w:r>
        <w:rPr>
          <w:sz w:val="24"/>
        </w:rPr>
        <w:t xml:space="preserve">This chapter presents a review of existing literature related to the influence of domestic chores on girls’ dropout rates in public day </w:t>
      </w:r>
      <w:r>
        <w:rPr>
          <w:sz w:val="24"/>
          <w:lang w:val="en-US"/>
        </w:rPr>
        <w:t>junior schools</w:t>
      </w:r>
      <w:r>
        <w:rPr>
          <w:sz w:val="24"/>
        </w:rPr>
        <w:t>, with a focus on Lagdera Sub-County, Kenya. The review is organized thematically to align with the study’s objectives and to provide a conceptual and empirical foundation for the research.</w:t>
      </w:r>
    </w:p>
    <w:p w14:paraId="6311061F">
      <w:pPr>
        <w:tabs>
          <w:tab w:val="left" w:pos="2629"/>
        </w:tabs>
        <w:rPr>
          <w:sz w:val="24"/>
        </w:rPr>
      </w:pPr>
      <w:r>
        <w:rPr>
          <w:sz w:val="24"/>
        </w:rPr>
        <w:t>The literature review explores global, regional, and local perspectives on the intersection between gender roles, household responsibilities, and educational outcomes. It also examines the implications of Kenya’s Competency-Based Curriculum (CBC) on learners’ home and school balance, particularly for girls in marginalized communities. The review draws from scholarly books, journal articles, government reports, and other relevant sources to identify gaps, trends, and theoretical underpinnings that inform the study.</w:t>
      </w:r>
    </w:p>
    <w:p w14:paraId="29E94D9B">
      <w:pPr>
        <w:tabs>
          <w:tab w:val="left" w:pos="2629"/>
        </w:tabs>
        <w:rPr>
          <w:sz w:val="24"/>
        </w:rPr>
      </w:pPr>
      <w:r>
        <w:rPr>
          <w:sz w:val="24"/>
        </w:rPr>
        <w:t>The chapter is structured under the following sub-headings:</w:t>
      </w:r>
    </w:p>
    <w:p w14:paraId="0922BB74">
      <w:pPr>
        <w:tabs>
          <w:tab w:val="left" w:pos="2629"/>
        </w:tabs>
        <w:rPr>
          <w:sz w:val="24"/>
        </w:rPr>
      </w:pPr>
      <w:r>
        <w:rPr>
          <w:sz w:val="24"/>
        </w:rPr>
        <w:t>• 2.2 The Concept of Domestic Chores</w:t>
      </w:r>
    </w:p>
    <w:p w14:paraId="166AF27E">
      <w:pPr>
        <w:tabs>
          <w:tab w:val="left" w:pos="2629"/>
        </w:tabs>
        <w:rPr>
          <w:sz w:val="24"/>
        </w:rPr>
      </w:pPr>
      <w:r>
        <w:rPr>
          <w:sz w:val="24"/>
        </w:rPr>
        <w:t>• 2.3 Girls’ Education and Dropout Trends</w:t>
      </w:r>
    </w:p>
    <w:p w14:paraId="1DB3BD56">
      <w:pPr>
        <w:tabs>
          <w:tab w:val="left" w:pos="2629"/>
        </w:tabs>
        <w:rPr>
          <w:sz w:val="24"/>
        </w:rPr>
      </w:pPr>
      <w:r>
        <w:rPr>
          <w:sz w:val="24"/>
        </w:rPr>
        <w:t>• 2.4 Influence of Domestic Chores on School Attendance and Performance</w:t>
      </w:r>
    </w:p>
    <w:p w14:paraId="59D2A6A0">
      <w:pPr>
        <w:tabs>
          <w:tab w:val="left" w:pos="2629"/>
        </w:tabs>
        <w:rPr>
          <w:sz w:val="24"/>
        </w:rPr>
      </w:pPr>
      <w:r>
        <w:rPr>
          <w:sz w:val="24"/>
        </w:rPr>
        <w:t>• 2.5 Parental Attitudes and Cultural Expectations</w:t>
      </w:r>
    </w:p>
    <w:p w14:paraId="52B160ED">
      <w:pPr>
        <w:tabs>
          <w:tab w:val="left" w:pos="2629"/>
        </w:tabs>
        <w:rPr>
          <w:sz w:val="24"/>
        </w:rPr>
      </w:pPr>
      <w:r>
        <w:rPr>
          <w:sz w:val="24"/>
        </w:rPr>
        <w:t>• 2.6 The Role of CBC in Learner Engagement and Home Responsibilities</w:t>
      </w:r>
    </w:p>
    <w:p w14:paraId="19CE37B1">
      <w:pPr>
        <w:tabs>
          <w:tab w:val="left" w:pos="2629"/>
        </w:tabs>
        <w:rPr>
          <w:sz w:val="24"/>
        </w:rPr>
      </w:pPr>
      <w:r>
        <w:rPr>
          <w:sz w:val="24"/>
        </w:rPr>
        <w:t>• 2.7 Summary of Literature Review and Research Gaps</w:t>
      </w:r>
    </w:p>
    <w:p w14:paraId="23DBB0AA">
      <w:pPr>
        <w:tabs>
          <w:tab w:val="left" w:pos="2629"/>
        </w:tabs>
        <w:rPr>
          <w:b/>
          <w:sz w:val="24"/>
        </w:rPr>
      </w:pPr>
      <w:r>
        <w:rPr>
          <w:b/>
          <w:sz w:val="24"/>
        </w:rPr>
        <w:t>2.1.1 Overview of the Chapter</w:t>
      </w:r>
    </w:p>
    <w:p w14:paraId="11FF3C6B">
      <w:pPr>
        <w:tabs>
          <w:tab w:val="left" w:pos="2629"/>
        </w:tabs>
        <w:rPr>
          <w:sz w:val="24"/>
        </w:rPr>
      </w:pPr>
      <w:r>
        <w:rPr>
          <w:sz w:val="24"/>
        </w:rPr>
        <w:t xml:space="preserve">This chapter reviews existing literature relevant to the study on the impact of domestic chores on girls’ dropout rates in public day </w:t>
      </w:r>
      <w:r>
        <w:rPr>
          <w:sz w:val="24"/>
          <w:lang w:val="en-US"/>
        </w:rPr>
        <w:t>junior schools</w:t>
      </w:r>
      <w:r>
        <w:rPr>
          <w:sz w:val="24"/>
        </w:rPr>
        <w:t xml:space="preserve"> in Lagdera Sub-County. The review is structured thematically to align with the study objectives and research questions. It begins by exploring the concept of domestic chores and their gendered nature, followed by a discussion on girls’ education and dropout trends both globally and locally.</w:t>
      </w:r>
    </w:p>
    <w:p w14:paraId="57411E8D">
      <w:pPr>
        <w:tabs>
          <w:tab w:val="left" w:pos="2629"/>
        </w:tabs>
        <w:rPr>
          <w:sz w:val="24"/>
        </w:rPr>
      </w:pPr>
      <w:r>
        <w:rPr>
          <w:sz w:val="24"/>
        </w:rPr>
        <w:t>The chapter further examines how domestic responsibilities influence school attendance, academic performance, and retention among girls. It also considers the role of parental attitudes, cultural expectations, and socio-economic factors in shaping girls’ educational experiences. Additionally, the review highlights the implications of Kenya’s Competency-Based Curriculum (CBC) on learners’ home and school responsibilities.</w:t>
      </w:r>
    </w:p>
    <w:p w14:paraId="3CD52A05">
      <w:pPr>
        <w:tabs>
          <w:tab w:val="left" w:pos="2629"/>
        </w:tabs>
        <w:rPr>
          <w:sz w:val="24"/>
        </w:rPr>
      </w:pPr>
      <w:r>
        <w:rPr>
          <w:sz w:val="24"/>
        </w:rPr>
        <w:t>The literature reviewed in this chapter provides a foundation for identifying gaps in existing research and justifying the need for the current study. It also informs the development of the conceptual framework and the selection of appropriate methodologies.</w:t>
      </w:r>
    </w:p>
    <w:p w14:paraId="1877D474">
      <w:pPr>
        <w:tabs>
          <w:tab w:val="left" w:pos="2629"/>
        </w:tabs>
        <w:rPr>
          <w:b/>
          <w:sz w:val="24"/>
        </w:rPr>
      </w:pPr>
      <w:r>
        <w:rPr>
          <w:b/>
          <w:sz w:val="24"/>
        </w:rPr>
        <w:t>2.1.2 Scope and Focus of the Literature Review</w:t>
      </w:r>
    </w:p>
    <w:p w14:paraId="00E83945">
      <w:pPr>
        <w:tabs>
          <w:tab w:val="left" w:pos="2629"/>
        </w:tabs>
        <w:rPr>
          <w:sz w:val="24"/>
        </w:rPr>
      </w:pPr>
      <w:r>
        <w:rPr>
          <w:sz w:val="24"/>
        </w:rPr>
        <w:t>The relationship between domestic chores and girls’ education has been widely studied, particularly in Sub-Saharan Africa, where traditional gender roles often place a disproportionate burden of household responsibilities on girls. According to Chege and Sifuna (2006), domestic chores are deeply embedded in cultural expectations, with girls expected to contribute significantly to household labor from a young age. These responsibilities often conflict with school schedules, leading to fatigue, absenteeism, and in some cases, permanent withdrawal from school.</w:t>
      </w:r>
    </w:p>
    <w:p w14:paraId="0D3BE65B">
      <w:pPr>
        <w:tabs>
          <w:tab w:val="left" w:pos="2629"/>
        </w:tabs>
        <w:rPr>
          <w:sz w:val="24"/>
        </w:rPr>
      </w:pPr>
      <w:r>
        <w:rPr>
          <w:sz w:val="24"/>
        </w:rPr>
        <w:t>In Kenya, the situation is particularly pronounced in arid and semi-arid regions such as Lagdera, where socio-economic challenges intersect with cultural norms to limit girls’ educational opportunities. Wamahiu (2015) notes that in many pastoralist communities, girls are seen primarily as caregivers and future wives, which justifies their early involvement in domestic work. This perception contributes to high dropout rates, especially in public day schools where girls return home daily and are expected to resume household duties immediately after school.</w:t>
      </w:r>
    </w:p>
    <w:p w14:paraId="477BB9F8">
      <w:pPr>
        <w:tabs>
          <w:tab w:val="left" w:pos="2629"/>
        </w:tabs>
        <w:rPr>
          <w:sz w:val="24"/>
        </w:rPr>
      </w:pPr>
      <w:r>
        <w:rPr>
          <w:sz w:val="24"/>
        </w:rPr>
        <w:t>The introduction of the Competency-Based Curriculum (CBC) in Kenya has added a new dimension to this issue. As described by Oduor and Simiyu (2020), CBC emphasizes practical, home-based learning and continuous assessment. While this approach is intended to make education more relevant and learner-centered, it may inadvertently increase the burden on girls who are already overwhelmed with domestic chores. The curriculum’s demand for parental involvement and home projects can disadvantage girls in households where gender roles are rigidly enforced.</w:t>
      </w:r>
    </w:p>
    <w:p w14:paraId="02ED5B6C">
      <w:pPr>
        <w:tabs>
          <w:tab w:val="left" w:pos="2629"/>
        </w:tabs>
        <w:rPr>
          <w:sz w:val="24"/>
        </w:rPr>
      </w:pPr>
      <w:r>
        <w:rPr>
          <w:sz w:val="24"/>
        </w:rPr>
        <w:t>Parental attitudes also play a critical role in shaping girls’ educational experiences. According to the Ministry of Education (2019), many parents in rural Kenya prioritize boys’ education, believing that investing in girls’ schooling yields limited returns. This belief is reinforced by economic pressures and cultural practices such as early marriage. As a result, girls are often withdrawn from school to help at home or to prepare for marriage, especially when household labor is in high demand.</w:t>
      </w:r>
    </w:p>
    <w:p w14:paraId="7B9A4FD8">
      <w:pPr>
        <w:tabs>
          <w:tab w:val="left" w:pos="2629"/>
        </w:tabs>
        <w:rPr>
          <w:sz w:val="24"/>
        </w:rPr>
      </w:pPr>
      <w:r>
        <w:rPr>
          <w:sz w:val="24"/>
        </w:rPr>
        <w:t>Empirical studies have shown a direct correlation between the intensity of domestic chores and poor academic performance among girls. Lloyd and Mensch (2008) found that girls who spend more time on household tasks tend to have lower school attendance and achievement levels. This is particularly true in public day schools, where the lack of boarding facilities means girls are constantly balancing schoolwork with home responsibilities. The situation is exacerbated in households with many siblings or where the mother is absent or overburdened.</w:t>
      </w:r>
    </w:p>
    <w:p w14:paraId="7435CAD9">
      <w:pPr>
        <w:tabs>
          <w:tab w:val="left" w:pos="2629"/>
        </w:tabs>
        <w:rPr>
          <w:sz w:val="24"/>
        </w:rPr>
      </w:pPr>
      <w:r>
        <w:rPr>
          <w:sz w:val="24"/>
        </w:rPr>
        <w:t>In addition to domestic responsibilities, school-related factors also contribute to girls’ dropout rates. According to Oduor and Simiyu (2020), overcrowded classrooms, lack of gender-sensitive facilities such as separate toilets, and limited female teachers in rural schools discourage girls from continuing their education. These challenges are compounded by the demands of domestic chores, which reduce the time and energy girls can devote to schoolwork. In public day schools, where learners return home daily, the overlap between school and home responsibilities is more pronounced, making it difficult for girls to balance both spheres effectively.</w:t>
      </w:r>
    </w:p>
    <w:p w14:paraId="3D16EE2F">
      <w:pPr>
        <w:tabs>
          <w:tab w:val="left" w:pos="2629"/>
        </w:tabs>
        <w:rPr>
          <w:sz w:val="24"/>
        </w:rPr>
      </w:pPr>
      <w:r>
        <w:rPr>
          <w:sz w:val="24"/>
        </w:rPr>
        <w:t>Economic constraints further exacerbate the situation. As highlighted in The Status of Girls’ Education in Kenya (Ministry of Education, 2019), many families in marginalized regions like Lagdera face poverty, food insecurity, and limited access to basic services. In such contexts, girls are often withdrawn from school to help with income-generating activities or to reduce household expenses. The opportunity cost of educating a girl; especially when she is seen as a temporary member of the household due to early marriage, leads many parents to prioritize domestic labor over schooling.</w:t>
      </w:r>
    </w:p>
    <w:p w14:paraId="40D0745A">
      <w:pPr>
        <w:tabs>
          <w:tab w:val="left" w:pos="2629"/>
        </w:tabs>
        <w:rPr>
          <w:sz w:val="24"/>
        </w:rPr>
      </w:pPr>
      <w:r>
        <w:rPr>
          <w:sz w:val="24"/>
        </w:rPr>
        <w:t>The literature also points to policy gaps and implementation challenges. While Kenya has made significant strides in promoting gender equality in education through policies such as Free Day Secondary Education and the Gender Policy in Education, enforcement remains weak in remote areas. Chege and Sifuna (2006) argue that without community-level engagement and culturally sensitive interventions, national policies may fail to address the root causes of girls’ dropout. Moreover, the CBC’s emphasis on parental involvement assumes a level of literacy and availability that may not exist in many households, especially those headed by single mothers or guardians with limited education.</w:t>
      </w:r>
    </w:p>
    <w:p w14:paraId="4C5A861C">
      <w:pPr>
        <w:tabs>
          <w:tab w:val="left" w:pos="2629"/>
        </w:tabs>
        <w:rPr>
          <w:sz w:val="24"/>
        </w:rPr>
      </w:pPr>
      <w:r>
        <w:rPr>
          <w:sz w:val="24"/>
        </w:rPr>
        <w:t>Also, the reviewed literature underscores the importance of community-based solutions. Wamahiu (2015) emphasizes the role of local leaders, religious institutions, and women’s groups in shifting attitudes toward girls’ education. Interventions that reduce the domestic workload on girls such as school feeding programs, water access projects, and community childcare initiatives have been shown to improve attendance and retention. These findings suggest that addressing girls’ dropout requires a holistic approach that goes beyond the school environment to include household and community dynamics.</w:t>
      </w:r>
    </w:p>
    <w:p w14:paraId="5053801E">
      <w:pPr>
        <w:tabs>
          <w:tab w:val="left" w:pos="2629"/>
        </w:tabs>
        <w:rPr>
          <w:sz w:val="24"/>
        </w:rPr>
      </w:pPr>
    </w:p>
    <w:p w14:paraId="6C0581F6">
      <w:pPr>
        <w:tabs>
          <w:tab w:val="left" w:pos="2629"/>
        </w:tabs>
        <w:rPr>
          <w:b/>
          <w:sz w:val="24"/>
        </w:rPr>
      </w:pPr>
      <w:r>
        <w:rPr>
          <w:b/>
          <w:sz w:val="24"/>
        </w:rPr>
        <w:t>2.2 The Concept of Domestic Chores</w:t>
      </w:r>
    </w:p>
    <w:p w14:paraId="6ECF5044">
      <w:pPr>
        <w:tabs>
          <w:tab w:val="left" w:pos="2629"/>
        </w:tabs>
        <w:rPr>
          <w:sz w:val="24"/>
        </w:rPr>
      </w:pPr>
      <w:r>
        <w:rPr>
          <w:sz w:val="24"/>
        </w:rPr>
        <w:t>Domestic chores refer to the routine tasks and responsibilities carried out within the household to maintain daily living. These include cooking, cleaning, fetching water or firewood, washing clothes, caring for younger siblings, and other forms of unpaid labor. In many African societies, these tasks are traditionally assigned based on gender, with girls bearing a disproportionate share of the burden (Chege &amp; Sifuna, 2006). This gendered division of labor is deeply rooted in cultural norms and social expectations, which often prioritize boys’ education while positioning girls as future homemakers.</w:t>
      </w:r>
    </w:p>
    <w:p w14:paraId="31058185">
      <w:pPr>
        <w:tabs>
          <w:tab w:val="left" w:pos="2629"/>
        </w:tabs>
        <w:rPr>
          <w:sz w:val="24"/>
        </w:rPr>
      </w:pPr>
      <w:r>
        <w:rPr>
          <w:sz w:val="24"/>
        </w:rPr>
        <w:t>In the context of rural Kenya, particularly in arid and semi-arid regions like Lagdera Sub-County, domestic chores are not only a cultural expectation but also a necessity for household survival. Wamahiu (2015) notes that in pastoralist communities, girls are expected to contribute significantly to the functioning of the home, especially in households where mothers are engaged in income-generating activities or where resources are scarce. These responsibilities often begin at a young age and intensify as girls grow older, coinciding with critical stages of their education.</w:t>
      </w:r>
    </w:p>
    <w:p w14:paraId="02B387FD">
      <w:pPr>
        <w:tabs>
          <w:tab w:val="left" w:pos="2629"/>
        </w:tabs>
        <w:rPr>
          <w:sz w:val="24"/>
        </w:rPr>
      </w:pPr>
      <w:r>
        <w:rPr>
          <w:sz w:val="24"/>
        </w:rPr>
        <w:t>The burden of domestic chores has been shown to interfere with girls’ schooling in multiple ways. According to Lloyd and Mensch (2008), girls who are heavily involved in household tasks tend to have lower school attendance, reduced concentration in class, and limited time for homework. This imbalance places them at a disadvantage compared to their male peers, who are often free from such responsibilities. The cumulative effect of these challenges can lead to poor academic performance and, eventually, school dropout.</w:t>
      </w:r>
    </w:p>
    <w:p w14:paraId="55573DEE">
      <w:pPr>
        <w:tabs>
          <w:tab w:val="left" w:pos="2629"/>
        </w:tabs>
        <w:rPr>
          <w:sz w:val="24"/>
        </w:rPr>
      </w:pPr>
      <w:r>
        <w:rPr>
          <w:sz w:val="24"/>
        </w:rPr>
        <w:t>The introduction of Kenya’s Competency-Based Curriculum (CBC) has further complicated the relationship between domestic chores and education. As Oduor and Simiyu (2020) explain, CBC emphasizes practical, home-based learning and continuous assessment, which requires learners to complete projects and assignments outside the classroom. While this approach is intended to make learning more relevant and engaging, it can be particularly burdensome for girls who already have significant domestic responsibilities. The overlap between schoolwork and household chores may lead to stress, fatigue, and disengagement from learning.</w:t>
      </w:r>
    </w:p>
    <w:p w14:paraId="1F98D799">
      <w:pPr>
        <w:tabs>
          <w:tab w:val="left" w:pos="2629"/>
        </w:tabs>
        <w:rPr>
          <w:sz w:val="24"/>
        </w:rPr>
      </w:pPr>
      <w:r>
        <w:rPr>
          <w:sz w:val="24"/>
        </w:rPr>
        <w:t>Moreover, the concept of domestic chores is often normalized within families and communities, making it difficult to challenge or redistribute these responsibilities. The Ministry of Education (2019) highlights that many parents view domestic work as part of a girl’s upbringing and preparation for marriage, rather than as a barrier to education. This perception reinforces the cycle of gender inequality and limits the effectiveness of educational policies aimed at promoting girls’ retention in school.</w:t>
      </w:r>
    </w:p>
    <w:p w14:paraId="2BDED183">
      <w:pPr>
        <w:tabs>
          <w:tab w:val="left" w:pos="2629"/>
        </w:tabs>
        <w:rPr>
          <w:sz w:val="24"/>
        </w:rPr>
      </w:pPr>
    </w:p>
    <w:p w14:paraId="6D60139C">
      <w:pPr>
        <w:tabs>
          <w:tab w:val="left" w:pos="2629"/>
        </w:tabs>
        <w:rPr>
          <w:b/>
          <w:sz w:val="24"/>
        </w:rPr>
      </w:pPr>
      <w:r>
        <w:rPr>
          <w:b/>
          <w:sz w:val="24"/>
        </w:rPr>
        <w:t>2.2.1 Definition and Types of Domestic Chores</w:t>
      </w:r>
    </w:p>
    <w:p w14:paraId="3BCABDC4">
      <w:pPr>
        <w:tabs>
          <w:tab w:val="left" w:pos="2629"/>
        </w:tabs>
        <w:rPr>
          <w:sz w:val="24"/>
        </w:rPr>
      </w:pPr>
      <w:r>
        <w:rPr>
          <w:sz w:val="24"/>
        </w:rPr>
        <w:t>Domestic chores are defined as routine, unpaid tasks performed within the household to support the daily functioning and well-being of its members. These tasks are essential for maintaining hygiene, nutrition, and care within the home. According to Chege and Sifuna (2006), domestic chores are often gendered, with girls disproportionately assigned these responsibilities from an early age. This gendered allocation reflects broader societal norms that associate women and girls with caregiving and household maintenance roles.</w:t>
      </w:r>
    </w:p>
    <w:p w14:paraId="4691801E">
      <w:pPr>
        <w:tabs>
          <w:tab w:val="left" w:pos="2629"/>
        </w:tabs>
        <w:rPr>
          <w:sz w:val="24"/>
        </w:rPr>
      </w:pPr>
      <w:r>
        <w:rPr>
          <w:sz w:val="24"/>
        </w:rPr>
        <w:t>In many African contexts, including Kenya, domestic chores are not only a cultural expectation but also a survival necessity, especially in rural and pastoralist communities. Wamahiu (2015) explains that in such settings, girls are expected to contribute significantly to household labor, often balancing these duties with school attendance. The expectation is that girls will eventually assume full domestic roles as wives and mothers, making early involvement in chores a form of informal training.</w:t>
      </w:r>
    </w:p>
    <w:p w14:paraId="2E484A71">
      <w:pPr>
        <w:tabs>
          <w:tab w:val="left" w:pos="2629"/>
        </w:tabs>
        <w:rPr>
          <w:sz w:val="24"/>
        </w:rPr>
      </w:pPr>
      <w:r>
        <w:rPr>
          <w:sz w:val="24"/>
        </w:rPr>
        <w:t>Domestic chores can be categorized into several types. Caregiving chores include looking after younger siblings, the elderly or sick family members. These tasks require emotional and physical energy and often demand a high level of responsibility. Maintenance chores involve cleaning the house, washing clothes, and tidying the compound. These are typically daily tasks that consume significant time. Food-related chores include cooking, fetching water, and collecting firewood; activities that are particularly time-consuming in arid regions like Lagdera, where water and fuel sources are distant and scarce.</w:t>
      </w:r>
    </w:p>
    <w:p w14:paraId="41D81D35">
      <w:pPr>
        <w:tabs>
          <w:tab w:val="left" w:pos="2629"/>
        </w:tabs>
        <w:rPr>
          <w:sz w:val="24"/>
        </w:rPr>
      </w:pPr>
      <w:r>
        <w:rPr>
          <w:sz w:val="24"/>
        </w:rPr>
        <w:t>Another category is economic support chores, which involve helping with family businesses, farming, or herding livestock. In pastoralist communities, girls may be required to assist in tending animals or selling goods in local markets. These tasks, while contributing to household income, often conflict with school hours and reduce time for homework or rest (Lloyd &amp; Mensch, 2008). The cumulative effect of these responsibilities can lead to fatigue, absenteeism, and ultimately, school dropout.</w:t>
      </w:r>
    </w:p>
    <w:p w14:paraId="760ADA3E">
      <w:pPr>
        <w:tabs>
          <w:tab w:val="left" w:pos="2629"/>
        </w:tabs>
        <w:rPr>
          <w:sz w:val="24"/>
        </w:rPr>
      </w:pPr>
      <w:r>
        <w:rPr>
          <w:sz w:val="24"/>
        </w:rPr>
        <w:t>The Competency-Based Curriculum (CBC) in Kenya, while promoting practical learning, may unintentionally reinforce the burden of domestic chores. Oduor and Simiyu (2020) note that CBC requires learners to complete home-based projects and assignments, which can be challenging for girls already overwhelmed with household duties. Without adequate support or redistribution of chores within the family, these educational demands may further disadvantage girls.</w:t>
      </w:r>
    </w:p>
    <w:p w14:paraId="1C4062B8">
      <w:pPr>
        <w:tabs>
          <w:tab w:val="left" w:pos="2629"/>
        </w:tabs>
        <w:rPr>
          <w:sz w:val="24"/>
        </w:rPr>
      </w:pPr>
    </w:p>
    <w:p w14:paraId="3F8F1D30">
      <w:pPr>
        <w:tabs>
          <w:tab w:val="left" w:pos="2629"/>
        </w:tabs>
        <w:rPr>
          <w:sz w:val="24"/>
        </w:rPr>
      </w:pPr>
    </w:p>
    <w:p w14:paraId="21A8E330">
      <w:pPr>
        <w:tabs>
          <w:tab w:val="left" w:pos="2629"/>
        </w:tabs>
        <w:rPr>
          <w:b/>
          <w:sz w:val="24"/>
        </w:rPr>
      </w:pPr>
      <w:r>
        <w:rPr>
          <w:b/>
          <w:sz w:val="24"/>
        </w:rPr>
        <w:t>2.2.2 Gender Roles in Domestic Work</w:t>
      </w:r>
    </w:p>
    <w:p w14:paraId="04CB84FC">
      <w:pPr>
        <w:tabs>
          <w:tab w:val="left" w:pos="2629"/>
        </w:tabs>
        <w:rPr>
          <w:sz w:val="24"/>
        </w:rPr>
      </w:pPr>
      <w:r>
        <w:rPr>
          <w:sz w:val="24"/>
        </w:rPr>
        <w:t>Gender roles refer to the socially constructed expectations and norms that define appropriate behaviors, responsibilities, and activities for males and females within a given society. In many African contexts, including Kenya, these roles are deeply rooted in cultural traditions and are reinforced through family structures, education systems, and religious teachings. According to Chege and Sifuna (2006), girls are socialized from an early age to take on domestic responsibilities, while boys are often exempted or assigned tasks outside the home, such as herding or assisting in income-generating activities.</w:t>
      </w:r>
    </w:p>
    <w:p w14:paraId="3E968783">
      <w:pPr>
        <w:tabs>
          <w:tab w:val="left" w:pos="2629"/>
        </w:tabs>
        <w:rPr>
          <w:sz w:val="24"/>
        </w:rPr>
      </w:pPr>
      <w:r>
        <w:rPr>
          <w:sz w:val="24"/>
        </w:rPr>
        <w:t>This gendered division of labor is particularly evident in rural and pastoralist communities like those in Lagdera Sub-County, where traditional norms remain strong. Wamahiu (2015) observes that girls are expected to perform household chores such as cooking, cleaning, fetching water, and caring for siblings, often before and after school hours. These expectations are not only normalized but also seen as preparation for future roles as wives and mothers. As a result, girls’ time and energy are heavily consumed by domestic work, leaving little room for academic engagement.</w:t>
      </w:r>
    </w:p>
    <w:p w14:paraId="6E8E7C22">
      <w:pPr>
        <w:tabs>
          <w:tab w:val="left" w:pos="2629"/>
        </w:tabs>
        <w:rPr>
          <w:sz w:val="24"/>
        </w:rPr>
      </w:pPr>
      <w:r>
        <w:rPr>
          <w:sz w:val="24"/>
        </w:rPr>
        <w:t>The impact of these gender roles on education is significant. Lloyd and Mensch (2008) argue that the unequal distribution of domestic labor contributes to disparities in school attendance, performance, and retention between boys and girls. Girls who are burdened with household chores are more likely to arrive at school late, miss classes, or drop out altogether. In contrast, boys often have more time to focus on their studies, reinforcing gender inequalities in educational outcomes. This imbalance is further exacerbated in public day schools, where girls return home daily and are immediately expected to resume domestic duties.</w:t>
      </w:r>
    </w:p>
    <w:p w14:paraId="32693399">
      <w:pPr>
        <w:tabs>
          <w:tab w:val="left" w:pos="2629"/>
        </w:tabs>
        <w:rPr>
          <w:sz w:val="24"/>
        </w:rPr>
      </w:pPr>
      <w:r>
        <w:rPr>
          <w:sz w:val="24"/>
        </w:rPr>
        <w:t>The Competency-Based Curriculum (CBC) introduced in Kenya adds another layer to this dynamic. As noted by Oduor and Simiyu (2020), CBC emphasizes practical, home-based learning and continuous assessment, which requires learners to complete projects and assignments outside the classroom. While this approach is intended to make learning more relevant and inclusive, it may unintentionally reinforce traditional gender roles. Girls, already burdened with domestic chores, may struggle to complete schoolwork at home, leading to stress, underperformance, and disengagement from learning.</w:t>
      </w:r>
    </w:p>
    <w:p w14:paraId="68BC207C">
      <w:pPr>
        <w:tabs>
          <w:tab w:val="left" w:pos="2629"/>
        </w:tabs>
        <w:rPr>
          <w:sz w:val="24"/>
        </w:rPr>
      </w:pPr>
      <w:r>
        <w:rPr>
          <w:sz w:val="24"/>
        </w:rPr>
        <w:t>Moreover, parental and community attitudes often reinforce these gender roles. The Ministry of Education (2019) reports that in many households, especially in marginalized regions, parents view domestic work as a girl’s duty and education as secondary. This perception limits the support girls receive for their schooling and perpetuates the cycle of gender inequality. Without deliberate efforts to challenge and transform these norms, educational interventions may have limited impact on improving girls’ retention and performance.</w:t>
      </w:r>
    </w:p>
    <w:p w14:paraId="1CD027FC">
      <w:pPr>
        <w:tabs>
          <w:tab w:val="left" w:pos="2629"/>
        </w:tabs>
        <w:rPr>
          <w:b/>
          <w:sz w:val="24"/>
        </w:rPr>
      </w:pPr>
      <w:r>
        <w:rPr>
          <w:b/>
          <w:sz w:val="24"/>
        </w:rPr>
        <w:t>2.2.3 Cultural Norms Influencing Household Work Distribution</w:t>
      </w:r>
    </w:p>
    <w:p w14:paraId="118DEC41">
      <w:pPr>
        <w:tabs>
          <w:tab w:val="left" w:pos="2629"/>
        </w:tabs>
        <w:rPr>
          <w:sz w:val="24"/>
        </w:rPr>
      </w:pPr>
      <w:r>
        <w:rPr>
          <w:sz w:val="24"/>
        </w:rPr>
        <w:t>Cultural norms play a significant role in shaping the distribution of household work, particularly in traditional and rural communities. These norms are the shared beliefs, values, and practices that guide behavior within a society. In many Kenyan communities, especially in pastoralist regions like Lagdera Sub-County, cultural expectations dictate that girls should take on the bulk of domestic responsibilities while boys are often exempted or assigned tasks outside the home (Chege &amp; Sifuna, 2006). These expectations are passed down through generations and are rarely questioned, making them deeply entrenched in daily life.</w:t>
      </w:r>
    </w:p>
    <w:p w14:paraId="570FC0B6">
      <w:pPr>
        <w:tabs>
          <w:tab w:val="left" w:pos="2629"/>
        </w:tabs>
        <w:rPr>
          <w:sz w:val="24"/>
        </w:rPr>
      </w:pPr>
      <w:r>
        <w:rPr>
          <w:sz w:val="24"/>
        </w:rPr>
        <w:t>In such settings, domestic work is not merely a set of tasks but a reflection of a girl’s identity and future role in society. Wamahiu (2015) explains that girls are socialized from an early age to view domestic chores as part of their preparation for marriage and motherhood. This cultural framing reinforces the idea that a girl’s primary value lies in her ability to manage a household, rather than in her academic or professional potential. As a result, even when girls are enrolled in school, their educational pursuits are often considered secondary to their domestic obligations.</w:t>
      </w:r>
    </w:p>
    <w:p w14:paraId="4C12C1DE">
      <w:pPr>
        <w:tabs>
          <w:tab w:val="left" w:pos="2629"/>
        </w:tabs>
        <w:rPr>
          <w:sz w:val="24"/>
        </w:rPr>
      </w:pPr>
      <w:r>
        <w:rPr>
          <w:sz w:val="24"/>
        </w:rPr>
        <w:t>These cultural norms are further reinforced by community structures and religious teachings. In many households, especially those led by elders or male heads, questioning traditional gender roles is discouraged. According to the Ministry of Education (2019), efforts to promote gender equality in education often face resistance in communities where cultural identity is closely tied to maintaining traditional roles. This resistance can manifest in subtle ways, such as assigning more chores to girls than boys, or in more overt actions, such as withdrawing girls from school to help at home or prepare for early marriage.</w:t>
      </w:r>
    </w:p>
    <w:p w14:paraId="26D2BF71">
      <w:pPr>
        <w:tabs>
          <w:tab w:val="left" w:pos="2629"/>
        </w:tabs>
        <w:rPr>
          <w:sz w:val="24"/>
        </w:rPr>
      </w:pPr>
      <w:r>
        <w:rPr>
          <w:sz w:val="24"/>
        </w:rPr>
        <w:t>The impact of these norms on education is profound. Lloyd and Mensch (2008) found that in communities where cultural expectations strongly favor domestic roles for girls, school dropout rates are significantly higher. Girls are often overburdened with chores, leading to fatigue, poor academic performance, and eventual disengagement from school. In public day schools, where learners return home daily, the pressure to fulfill cultural expectations is even greater, as girls are expected to immediately resume household duties after school hours.</w:t>
      </w:r>
    </w:p>
    <w:p w14:paraId="64023FFC">
      <w:pPr>
        <w:tabs>
          <w:tab w:val="left" w:pos="2629"/>
        </w:tabs>
        <w:rPr>
          <w:sz w:val="24"/>
        </w:rPr>
      </w:pPr>
      <w:r>
        <w:rPr>
          <w:sz w:val="24"/>
        </w:rPr>
        <w:t>Moreover, the implementation of the Competency-Based Curriculum (CBC) may unintentionally reinforce these cultural norms. As Oduor and Simiyu (2020) note, CBC requires learners to complete home-based projects and assignments, which can be challenging for girls already burdened with domestic work. In households where cultural norms prioritize chores over education, girls may struggle to meet academic expectations, further widening the gender gap in educational outcomes.</w:t>
      </w:r>
    </w:p>
    <w:p w14:paraId="521683C2">
      <w:pPr>
        <w:tabs>
          <w:tab w:val="left" w:pos="2629"/>
        </w:tabs>
        <w:rPr>
          <w:sz w:val="24"/>
        </w:rPr>
      </w:pPr>
    </w:p>
    <w:p w14:paraId="0D948477">
      <w:pPr>
        <w:tabs>
          <w:tab w:val="left" w:pos="2629"/>
        </w:tabs>
        <w:rPr>
          <w:b/>
          <w:sz w:val="24"/>
        </w:rPr>
      </w:pPr>
      <w:r>
        <w:rPr>
          <w:b/>
          <w:sz w:val="24"/>
        </w:rPr>
        <w:t>2.3 Effects of Domestic Chores on Education</w:t>
      </w:r>
    </w:p>
    <w:p w14:paraId="227887D7">
      <w:pPr>
        <w:tabs>
          <w:tab w:val="left" w:pos="2629"/>
        </w:tabs>
        <w:rPr>
          <w:sz w:val="24"/>
        </w:rPr>
      </w:pPr>
      <w:r>
        <w:rPr>
          <w:sz w:val="24"/>
        </w:rPr>
        <w:t>Domestic chores have a profound impact on girls’ educational experiences, particularly in rural and marginalized regions such as Lagdera Sub-County. These chores, while essential for household functioning, often conflict with school responsibilities, leading to reduced attendance, poor academic performance, and increased dropout rates. According to Chege and Sifuna (2006), the time and energy girls spend on domestic tasks significantly limit their ability to concentrate in class, complete homework, or participate in extracurricular activities. This imbalance places girls at a disadvantage compared to their male peers, who are often exempt from such responsibilities.</w:t>
      </w:r>
    </w:p>
    <w:p w14:paraId="35C88FA6">
      <w:pPr>
        <w:tabs>
          <w:tab w:val="left" w:pos="2629"/>
        </w:tabs>
        <w:rPr>
          <w:sz w:val="24"/>
        </w:rPr>
      </w:pPr>
      <w:r>
        <w:rPr>
          <w:sz w:val="24"/>
        </w:rPr>
        <w:t>One of the most immediate effects of domestic chores is irregular school attendance. Girls tasked with fetching water, preparing meals, or caring for siblings may arrive at school late or miss entire days. Wamahiu (2015) notes that in arid regions like Lagdera, where water sources are distant and household labor is intensive, girls often prioritize domestic duties over schooling. This irregular attendance disrupts learning continuity and contributes to poor academic outcomes, which in turn discourages continued enrollment.</w:t>
      </w:r>
    </w:p>
    <w:p w14:paraId="40FF6AF6">
      <w:pPr>
        <w:tabs>
          <w:tab w:val="left" w:pos="2629"/>
        </w:tabs>
        <w:rPr>
          <w:sz w:val="24"/>
        </w:rPr>
      </w:pPr>
      <w:r>
        <w:rPr>
          <w:sz w:val="24"/>
        </w:rPr>
        <w:t>In addition to attendance, academic performance is also negatively affected. Lloyd and Mensch (2008) found that girls burdened with household chores tend to perform poorly in school due to fatigue, lack of study time, and limited parental support. In households where education is not prioritized for girls, there is often little encouragement or assistance with schoolwork. This lack of support, combined with the physical and emotional toll of domestic labor, undermines girls’ confidence and motivation to succeed academically.</w:t>
      </w:r>
    </w:p>
    <w:p w14:paraId="23E4698F">
      <w:pPr>
        <w:tabs>
          <w:tab w:val="left" w:pos="2629"/>
        </w:tabs>
        <w:rPr>
          <w:sz w:val="24"/>
        </w:rPr>
      </w:pPr>
      <w:r>
        <w:rPr>
          <w:sz w:val="24"/>
        </w:rPr>
        <w:t>The introduction of the Competency-Based Curriculum (CBC) in Kenya has further complicated this dynamic. As Oduor and Simiyu (2020) explain, CBC emphasizes continuous assessment and home-based projects, which require learners to engage in academic tasks outside the classroom. While this approach is designed to enhance practical learning, it can be particularly burdensome for girls who are already overwhelmed with domestic responsibilities. The overlap between schoolwork and household chores creates a double workload that many girls struggle to manage.</w:t>
      </w:r>
    </w:p>
    <w:p w14:paraId="34B15CA2">
      <w:pPr>
        <w:tabs>
          <w:tab w:val="left" w:pos="2629"/>
        </w:tabs>
        <w:rPr>
          <w:sz w:val="24"/>
        </w:rPr>
      </w:pPr>
      <w:r>
        <w:rPr>
          <w:sz w:val="24"/>
        </w:rPr>
        <w:t>Moreover, the psychological effects of domestic chores on girls should not be overlooked. Constant pressure to meet both academic and household expectations can lead to stress, anxiety, and low self-esteem. The Ministry of Education (2019) highlights that girls who feel unsupported or overburdened are more likely to disengage from school emotionally, even before they drop out physically. This emotional withdrawal can manifest in poor classroom participation, lack of interest in learning, and strained relationships with teachers and peers.</w:t>
      </w:r>
    </w:p>
    <w:p w14:paraId="3A80555F">
      <w:pPr>
        <w:tabs>
          <w:tab w:val="left" w:pos="2629"/>
        </w:tabs>
        <w:rPr>
          <w:sz w:val="24"/>
        </w:rPr>
      </w:pPr>
    </w:p>
    <w:p w14:paraId="01CA0AC1">
      <w:pPr>
        <w:tabs>
          <w:tab w:val="left" w:pos="2629"/>
        </w:tabs>
        <w:rPr>
          <w:sz w:val="24"/>
        </w:rPr>
      </w:pPr>
    </w:p>
    <w:p w14:paraId="28C80AB7">
      <w:pPr>
        <w:tabs>
          <w:tab w:val="left" w:pos="2629"/>
        </w:tabs>
        <w:rPr>
          <w:b/>
          <w:sz w:val="24"/>
        </w:rPr>
      </w:pPr>
      <w:r>
        <w:rPr>
          <w:b/>
          <w:sz w:val="24"/>
        </w:rPr>
        <w:t>2.3.1 Impact on school Attendance and Concentration</w:t>
      </w:r>
    </w:p>
    <w:p w14:paraId="6E4D97DF">
      <w:pPr>
        <w:tabs>
          <w:tab w:val="left" w:pos="2629"/>
        </w:tabs>
        <w:rPr>
          <w:sz w:val="24"/>
        </w:rPr>
      </w:pPr>
      <w:r>
        <w:rPr>
          <w:sz w:val="24"/>
        </w:rPr>
        <w:t>Domestic chores significantly affect girls’ school attendance and concentration, particularly in rural and marginalized regions such as Lagdera Sub-County. Girls are often expected to complete household tasks before and after school, including cooking, cleaning, fetching water, and caring for younger siblings. These responsibilities frequently result in late arrival at school or absenteeism, especially when chores are time-consuming or physically demanding. Chege and Sifuna (2006) emphasize that such expectations are rooted in traditional gender roles that prioritize domestic contributions over formal education for girls.</w:t>
      </w:r>
    </w:p>
    <w:p w14:paraId="4F9363EE">
      <w:pPr>
        <w:tabs>
          <w:tab w:val="left" w:pos="2629"/>
        </w:tabs>
        <w:rPr>
          <w:sz w:val="24"/>
        </w:rPr>
      </w:pPr>
      <w:r>
        <w:rPr>
          <w:sz w:val="24"/>
        </w:rPr>
        <w:t>In arid areas like Lagdera, where access to basic services such as water is limited, girls may spend several hours each day walking long distances to fetch water or firewood. Wamahiu (2015) notes that this not only reduces the time available for school but also leads to fatigue, which affects classroom engagement. Girls who arrive at school tired or hungry are less likely to participate actively in lessons or retain information, which undermines their academic performance and motivation to continue schooling.</w:t>
      </w:r>
    </w:p>
    <w:p w14:paraId="59974B81">
      <w:pPr>
        <w:tabs>
          <w:tab w:val="left" w:pos="2629"/>
        </w:tabs>
        <w:rPr>
          <w:sz w:val="24"/>
        </w:rPr>
      </w:pPr>
      <w:r>
        <w:rPr>
          <w:sz w:val="24"/>
        </w:rPr>
        <w:t>The burden of domestic chores also affects girls’ ability to concentrate during school hours. Lloyd and Mensch (2008) found that girls who are preoccupied with household responsibilities often struggle to focus in class, especially when they are worried about unfinished chores or anticipated tasks awaiting them at home. This mental distraction, combined with physical exhaustion, creates a learning environment that is not conducive to academic success. Over time, repeated disruptions in attendance and poor concentration can lead to declining performance and eventual dropout.</w:t>
      </w:r>
    </w:p>
    <w:p w14:paraId="1664E2B6">
      <w:pPr>
        <w:tabs>
          <w:tab w:val="left" w:pos="2629"/>
        </w:tabs>
        <w:rPr>
          <w:sz w:val="24"/>
        </w:rPr>
      </w:pPr>
      <w:r>
        <w:rPr>
          <w:sz w:val="24"/>
        </w:rPr>
        <w:t>The Competency-Based Curriculum (CBC) further complicates this issue. As Oduor and Simiyu (2020) explain, CBC requires learners to complete home-based projects and assignments, which demand additional time and parental support. For girls already burdened with domestic chores, these academic demands can be overwhelming. In households where education is not prioritized for girls, they may be denied the time or resources needed to complete schoolwork, further affecting their attendance and engagement. The Ministry of Education (2019) warns that without targeted interventions, CBC may unintentionally widen the gender gap in education by placing additional pressure on already disadvantaged learners.</w:t>
      </w:r>
    </w:p>
    <w:p w14:paraId="51244D14">
      <w:pPr>
        <w:tabs>
          <w:tab w:val="left" w:pos="2629"/>
        </w:tabs>
        <w:rPr>
          <w:sz w:val="24"/>
        </w:rPr>
      </w:pPr>
    </w:p>
    <w:p w14:paraId="1BAE0F77">
      <w:pPr>
        <w:tabs>
          <w:tab w:val="left" w:pos="2629"/>
        </w:tabs>
        <w:rPr>
          <w:sz w:val="24"/>
        </w:rPr>
      </w:pPr>
    </w:p>
    <w:p w14:paraId="660E401D">
      <w:pPr>
        <w:tabs>
          <w:tab w:val="left" w:pos="2629"/>
        </w:tabs>
        <w:rPr>
          <w:sz w:val="24"/>
        </w:rPr>
      </w:pPr>
    </w:p>
    <w:p w14:paraId="13678B7A">
      <w:pPr>
        <w:tabs>
          <w:tab w:val="left" w:pos="2629"/>
        </w:tabs>
        <w:rPr>
          <w:sz w:val="24"/>
        </w:rPr>
      </w:pPr>
      <w:r>
        <w:rPr>
          <w:sz w:val="24"/>
        </w:rPr>
        <w:t>2.3.2 Impact on Homework and Academic Performance</w:t>
      </w:r>
    </w:p>
    <w:p w14:paraId="5EB135A7">
      <w:pPr>
        <w:tabs>
          <w:tab w:val="left" w:pos="2629"/>
        </w:tabs>
        <w:rPr>
          <w:sz w:val="24"/>
        </w:rPr>
      </w:pPr>
      <w:r>
        <w:rPr>
          <w:sz w:val="24"/>
        </w:rPr>
        <w:t>Domestic chores significantly interfere with girls’ ability to complete homework and perform well academically, particularly in rural and underserved areas like Lagdera Sub-County. Girls are often expected to assist with household tasks immediately after school, leaving them with little or no time to focus on their studies. Chege and Sifuna (2006) argue that this time poverty—caused by the unequal distribution of domestic responsibilities—limits girls’ opportunities to revise, complete assignments, or engage in independent learning, all of which are essential for academic success.</w:t>
      </w:r>
    </w:p>
    <w:p w14:paraId="7DF48945">
      <w:pPr>
        <w:tabs>
          <w:tab w:val="left" w:pos="2629"/>
        </w:tabs>
        <w:rPr>
          <w:sz w:val="24"/>
        </w:rPr>
      </w:pPr>
      <w:r>
        <w:rPr>
          <w:sz w:val="24"/>
        </w:rPr>
        <w:t>The situation is further complicated by the physical and mental exhaustion that results from long hours of domestic labor. Wamahiu (2015) notes that girls who spend their evenings cooking, cleaning, or fetching water are often too tired to concentrate on schoolwork. This fatigue not only affects their ability to complete homework but also diminishes their classroom engagement the following day. Over time, this cycle of exhaustion and underperformance can lead to a loss of interest in school and eventual dropout.</w:t>
      </w:r>
    </w:p>
    <w:p w14:paraId="640C03FB">
      <w:pPr>
        <w:tabs>
          <w:tab w:val="left" w:pos="2629"/>
        </w:tabs>
        <w:rPr>
          <w:sz w:val="24"/>
        </w:rPr>
      </w:pPr>
      <w:r>
        <w:rPr>
          <w:sz w:val="24"/>
        </w:rPr>
        <w:t>Empirical evidence supports the link between domestic workload and poor academic outcomes. Lloyd and Mensch (2008) found that girls with heavy household responsibilities consistently scored lower on academic assessments compared to their peers with fewer chores. The disparity is especially pronounced in public day schools, where girls return home daily and are immediately expected to resume domestic duties. Unlike boarding schools, which offer structured study time and fewer household distractions, day schools expose girls to the full weight of home responsibilities.</w:t>
      </w:r>
    </w:p>
    <w:p w14:paraId="5F8C8621">
      <w:pPr>
        <w:tabs>
          <w:tab w:val="left" w:pos="2629"/>
        </w:tabs>
        <w:rPr>
          <w:sz w:val="24"/>
        </w:rPr>
      </w:pPr>
      <w:r>
        <w:rPr>
          <w:sz w:val="24"/>
        </w:rPr>
        <w:t>The introduction of the Competency-Based Curriculum (CBC) in Kenya has added new academic demands that may further disadvantage girls. As Oduor and Simiyu (2020) explain, CBC emphasizes continuous assessment and home-based projects, which require learners to apply knowledge through practical tasks. While this approach is intended to enhance learning, it assumes that learners have adequate time and support at home—an assumption that does not hold true for many girls in rural households. The Ministry of Education (2019) warns that without targeted support, CBC may unintentionally widen the performance gap between boys and girls, particularly in communities where domestic chores are heavily gendered.</w:t>
      </w:r>
    </w:p>
    <w:p w14:paraId="6E16E2B9">
      <w:pPr>
        <w:tabs>
          <w:tab w:val="left" w:pos="2629"/>
        </w:tabs>
        <w:rPr>
          <w:b/>
          <w:sz w:val="24"/>
        </w:rPr>
      </w:pPr>
      <w:r>
        <w:rPr>
          <w:b/>
          <w:sz w:val="24"/>
        </w:rPr>
        <w:t>2.3.3 Domestic Work as a Predictor of Dropout</w:t>
      </w:r>
    </w:p>
    <w:p w14:paraId="5F035084">
      <w:pPr>
        <w:tabs>
          <w:tab w:val="left" w:pos="2629"/>
        </w:tabs>
        <w:rPr>
          <w:sz w:val="24"/>
        </w:rPr>
      </w:pPr>
      <w:r>
        <w:rPr>
          <w:sz w:val="24"/>
        </w:rPr>
        <w:t>Domestic work is increasingly recognized as a significant predictor of school dropout among girls, particularly in rural and marginalized communities. In regions like Lagdera Sub-County, where socio-cultural norms and economic hardships intersect, girls are often withdrawn from school to meet the labor demands of the household. Chege and Sifuna (2006) argue that the cumulative burden of domestic chores—combined with limited educational support—creates conditions that push girls out of the school system, either gradually through absenteeism or abruptly through permanent withdrawal.</w:t>
      </w:r>
    </w:p>
    <w:p w14:paraId="63423589">
      <w:pPr>
        <w:tabs>
          <w:tab w:val="left" w:pos="2629"/>
        </w:tabs>
        <w:rPr>
          <w:sz w:val="24"/>
        </w:rPr>
      </w:pPr>
      <w:r>
        <w:rPr>
          <w:sz w:val="24"/>
        </w:rPr>
        <w:t>The relationship between domestic responsibilities and dropout is both direct and indirect. Directly, girls may be pulled out of school to care for siblings, manage household tasks in the absence of a parent, or support income-generating activities. Indirectly, the fatigue, poor academic performance, and emotional stress caused by excessive chores can lead to disengagement from learning and eventual dropout. Wamahiu (2015) emphasizes that in many pastoralist communities, girls’ education is seen as secondary to their domestic roles, making them more vulnerable to early exit from school when household labor is needed.</w:t>
      </w:r>
    </w:p>
    <w:p w14:paraId="56719FAF">
      <w:pPr>
        <w:tabs>
          <w:tab w:val="left" w:pos="2629"/>
        </w:tabs>
        <w:rPr>
          <w:sz w:val="24"/>
        </w:rPr>
      </w:pPr>
      <w:r>
        <w:rPr>
          <w:sz w:val="24"/>
        </w:rPr>
        <w:t>Empirical studies reinforce this link. Lloyd and Mensch (2008) found that girls with heavier domestic workloads were significantly more likely to drop out of school than their peers with fewer responsibilities. The study also noted that dropout was not always a single event but often the result of a gradual process marked by declining attendance, poor performance, and reduced motivation. In public day schools, where girls return home daily, the pressure to fulfill domestic duties is constant, making it difficult for them to sustain regular school participation.</w:t>
      </w:r>
    </w:p>
    <w:p w14:paraId="0FFCE0E0">
      <w:pPr>
        <w:tabs>
          <w:tab w:val="left" w:pos="2629"/>
        </w:tabs>
        <w:rPr>
          <w:sz w:val="24"/>
        </w:rPr>
      </w:pPr>
      <w:r>
        <w:rPr>
          <w:sz w:val="24"/>
        </w:rPr>
        <w:t>The introduction of the Competency-Based Curriculum (CBC) has added new academic demands that may unintentionally increase dropout risks for girls. As Oduor and Simiyu (2020) explain, CBC requires learners to complete home-based projects and assessments, which can be challenging for girls already burdened with chores. In households where education is not prioritized for girls, these additional academic expectations may be viewed as unnecessary, further justifying withdrawal from school. The Ministry of Education (2019) warns that unless domestic workloads are addressed, efforts to improve retention under CBC may fall short, especially in marginalized regions.</w:t>
      </w:r>
    </w:p>
    <w:p w14:paraId="7F61A2A2">
      <w:pPr>
        <w:tabs>
          <w:tab w:val="left" w:pos="2629"/>
        </w:tabs>
        <w:rPr>
          <w:b/>
          <w:sz w:val="24"/>
        </w:rPr>
      </w:pPr>
      <w:r>
        <w:rPr>
          <w:b/>
          <w:sz w:val="24"/>
        </w:rPr>
        <w:t>2.4 Girls' Dropout Rate</w:t>
      </w:r>
    </w:p>
    <w:p w14:paraId="07E4A0B6">
      <w:pPr>
        <w:tabs>
          <w:tab w:val="left" w:pos="2629"/>
        </w:tabs>
        <w:rPr>
          <w:sz w:val="24"/>
        </w:rPr>
      </w:pPr>
      <w:r>
        <w:rPr>
          <w:sz w:val="24"/>
        </w:rPr>
        <w:t xml:space="preserve">The dropout rate among girls in </w:t>
      </w:r>
      <w:r>
        <w:rPr>
          <w:sz w:val="24"/>
          <w:lang w:val="en-US"/>
        </w:rPr>
        <w:t>junior schools</w:t>
      </w:r>
      <w:r>
        <w:rPr>
          <w:sz w:val="24"/>
        </w:rPr>
        <w:t xml:space="preserve"> remains a significant concern in Kenya, particularly in marginalized regions such as Lagdera Sub-County. Despite national efforts to promote gender parity in education, many girls continue to leave school prematurely due to a combination of socio-cultural, economic, and institutional factors. According to Chege and Sifuna (2006), dropout is not a singular event but a gradual process influenced by persistent barriers that accumulate over time, including domestic responsibilities, poverty, and limited parental support.</w:t>
      </w:r>
    </w:p>
    <w:p w14:paraId="73BB5B15">
      <w:pPr>
        <w:tabs>
          <w:tab w:val="left" w:pos="2629"/>
        </w:tabs>
        <w:rPr>
          <w:sz w:val="24"/>
        </w:rPr>
      </w:pPr>
      <w:r>
        <w:rPr>
          <w:sz w:val="24"/>
        </w:rPr>
        <w:t xml:space="preserve">In rural and pastoralist communities, girls are often withdrawn from school to fulfill domestic roles or to prepare for early marriage. Wamahiu (2015) notes that in such settings, education is frequently viewed as less important for girls, who are expected to contribute to household labor and eventually transition into marriage. This perception is reinforced by traditional gender norms that prioritize boys’ education and limit girls’ autonomy. As a result, girls face a higher risk of dropping out, especially during the transition from primary to </w:t>
      </w:r>
      <w:r>
        <w:rPr>
          <w:sz w:val="24"/>
          <w:lang w:val="en-US"/>
        </w:rPr>
        <w:t>junior school</w:t>
      </w:r>
      <w:r>
        <w:rPr>
          <w:sz w:val="24"/>
        </w:rPr>
        <w:t>.</w:t>
      </w:r>
    </w:p>
    <w:p w14:paraId="4AAC0B22">
      <w:pPr>
        <w:tabs>
          <w:tab w:val="left" w:pos="2629"/>
        </w:tabs>
        <w:rPr>
          <w:sz w:val="24"/>
        </w:rPr>
      </w:pPr>
      <w:r>
        <w:rPr>
          <w:sz w:val="24"/>
        </w:rPr>
        <w:t>Economic hardship is another major contributor to girls’ dropout. In households facing poverty, parents may be unable to afford school-related expenses such as uniforms, books, and sanitary products. The Ministry of Education (2019) reports that when resources are scarce, families often prioritize the education of boys, viewing them as future breadwinners. Girls, on the other hand, may be expected to stay home and assist with domestic chores or income-generating activities. This economic pressure, combined with cultural expectations, creates a hostile environment for girls’ continued education.</w:t>
      </w:r>
    </w:p>
    <w:p w14:paraId="6D6F7E4F">
      <w:pPr>
        <w:tabs>
          <w:tab w:val="left" w:pos="2629"/>
        </w:tabs>
        <w:rPr>
          <w:sz w:val="24"/>
        </w:rPr>
      </w:pPr>
      <w:r>
        <w:rPr>
          <w:sz w:val="24"/>
        </w:rPr>
        <w:t>The burden of domestic chores plays a central role in pushing girls out of school. Lloyd and Mensch (2008) found that girls who are heavily involved in household tasks are more likely to miss school, perform poorly, and eventually drop out. In public day schools, where learners return home daily, the conflict between schoolwork and domestic responsibilities is especially pronounced. Girls are often expected to resume chores immediately after school, leaving little time for rest or academic engagement. Over time, this imbalance leads to fatigue, frustration, and disengagement from learning.</w:t>
      </w:r>
    </w:p>
    <w:p w14:paraId="64B772C0">
      <w:pPr>
        <w:tabs>
          <w:tab w:val="left" w:pos="2629"/>
        </w:tabs>
        <w:rPr>
          <w:sz w:val="24"/>
        </w:rPr>
      </w:pPr>
      <w:r>
        <w:rPr>
          <w:sz w:val="24"/>
        </w:rPr>
        <w:t>The introduction of the Competency-Based Curriculum (CBC) has introduced new challenges and opportunities in addressing dropout. As Oduor and Simiyu (2020) explain, CBC emphasizes continuous assessment and practical learning, which can enhance student engagement. However, it also requires significant time and support at home—resources that many girls in rural households lack. Without adequate parental involvement and equitable distribution of household tasks, CBC may inadvertently increase the dropout risk for girls who are already overburdened.</w:t>
      </w:r>
    </w:p>
    <w:p w14:paraId="1486A9C9">
      <w:pPr>
        <w:tabs>
          <w:tab w:val="left" w:pos="2629"/>
        </w:tabs>
        <w:rPr>
          <w:b/>
          <w:sz w:val="24"/>
        </w:rPr>
      </w:pPr>
      <w:r>
        <w:rPr>
          <w:b/>
          <w:sz w:val="24"/>
        </w:rPr>
        <w:t>2.4.1 Global Trends in Girls’ Education and Dropout</w:t>
      </w:r>
    </w:p>
    <w:p w14:paraId="732CF7D8">
      <w:pPr>
        <w:tabs>
          <w:tab w:val="left" w:pos="2629"/>
        </w:tabs>
        <w:rPr>
          <w:sz w:val="24"/>
        </w:rPr>
      </w:pPr>
      <w:r>
        <w:rPr>
          <w:sz w:val="24"/>
        </w:rPr>
        <w:t>Globally, significant progress has been made in improving girls’ access to education, particularly at the primary level. According to UNESCO, the gender gap in primary school enrollment has narrowed considerably over the past two decades. However, disparities persist at the secondary level, especially in low-income countries where socio-cultural and economic barriers continue to hinder girls’ educational advancement. Chege and Sifuna (2006) note that while global education policies have emphasized gender equality, implementation remains uneven, with dropout rates among girls still alarmingly high in many parts of Sub-Saharan Africa and South Asia.</w:t>
      </w:r>
    </w:p>
    <w:p w14:paraId="09B2F5AC">
      <w:pPr>
        <w:tabs>
          <w:tab w:val="left" w:pos="2629"/>
        </w:tabs>
        <w:rPr>
          <w:sz w:val="24"/>
        </w:rPr>
      </w:pPr>
      <w:r>
        <w:rPr>
          <w:sz w:val="24"/>
        </w:rPr>
        <w:t>One of the most persistent global challenges is the transition from primary to secondary education. Wamahiu (2015) highlights that many girls drop out during this transition due to increased academic demands, early marriage, and the onset of puberty, which often brings additional domestic responsibilities and social restrictions. In many cultures, adolescence marks a shift in expectations for girls, who are increasingly viewed as caregivers or future wives rather than students. This shift is particularly pronounced in rural and conservative communities, where traditional gender roles are strongly upheld.</w:t>
      </w:r>
    </w:p>
    <w:p w14:paraId="7E0C5D50">
      <w:pPr>
        <w:tabs>
          <w:tab w:val="left" w:pos="2629"/>
        </w:tabs>
        <w:rPr>
          <w:sz w:val="24"/>
        </w:rPr>
      </w:pPr>
      <w:r>
        <w:rPr>
          <w:sz w:val="24"/>
        </w:rPr>
        <w:t>Economic factors also play a critical role in global dropout trends. In many developing countries, families face difficult choices about which children to educate when resources are limited. The Ministry of Education (2019) reports that girls are often the first to be withdrawn from school during financial hardship, as their education is perceived to yield lower returns compared to boys. This economic reasoning is compounded by the expectation that girls will eventually marry and leave their natal homes, making investment in their education seem less worthwhile to some families.</w:t>
      </w:r>
    </w:p>
    <w:p w14:paraId="76E28DC3">
      <w:pPr>
        <w:tabs>
          <w:tab w:val="left" w:pos="2629"/>
        </w:tabs>
        <w:rPr>
          <w:sz w:val="24"/>
        </w:rPr>
      </w:pPr>
      <w:r>
        <w:rPr>
          <w:sz w:val="24"/>
        </w:rPr>
        <w:t>Domestic chores are a common thread in dropout patterns across the globe. Lloyd and Mensch (2008) found that in both rural and urban settings, girls are more likely than boys to be tasked with household responsibilities, which interfere with their schooling. These chores reduce the time available for study, contribute to fatigue, and often lead to absenteeism. In countries where public day schooling is the norm, the conflict between school and home responsibilities is especially acute, mirroring the challenges faced by girls in Kenya’s Lagdera Sub-County.</w:t>
      </w:r>
    </w:p>
    <w:p w14:paraId="2C303ABF">
      <w:pPr>
        <w:tabs>
          <w:tab w:val="left" w:pos="2629"/>
        </w:tabs>
        <w:rPr>
          <w:sz w:val="24"/>
        </w:rPr>
      </w:pPr>
      <w:r>
        <w:rPr>
          <w:sz w:val="24"/>
        </w:rPr>
        <w:t>The global shift toward learner-centered education models, such as Kenya’s Competency-Based Curriculum (CBC), presents both opportunities and challenges. As Oduor and Simiyu (2020) explain, while such models aim to make education more relevant and inclusive, they also require greater parental involvement and home-based learning support. In contexts where girls are already overburdened with domestic chores, these demands can exacerbate existing inequalities and increase the risk of dropout.</w:t>
      </w:r>
    </w:p>
    <w:p w14:paraId="6071E589">
      <w:pPr>
        <w:rPr>
          <w:sz w:val="24"/>
        </w:rPr>
      </w:pPr>
      <w:r>
        <w:rPr>
          <w:sz w:val="24"/>
        </w:rPr>
        <w:br w:type="page"/>
      </w:r>
    </w:p>
    <w:p w14:paraId="2DBE805A">
      <w:pPr>
        <w:tabs>
          <w:tab w:val="left" w:pos="2629"/>
        </w:tabs>
        <w:rPr>
          <w:b/>
          <w:sz w:val="24"/>
        </w:rPr>
      </w:pPr>
      <w:r>
        <w:rPr>
          <w:b/>
          <w:sz w:val="24"/>
        </w:rPr>
        <w:t>2.4.2 Dropout in Kenya’s Junior Secondary Context</w:t>
      </w:r>
    </w:p>
    <w:p w14:paraId="193B4486">
      <w:pPr>
        <w:tabs>
          <w:tab w:val="left" w:pos="2629"/>
        </w:tabs>
        <w:rPr>
          <w:sz w:val="24"/>
        </w:rPr>
      </w:pPr>
      <w:r>
        <w:rPr>
          <w:sz w:val="24"/>
        </w:rPr>
        <w:t xml:space="preserve">The introduction of the Competency-Based Curriculum (CBC) in Kenya marked a significant shift in the structure of basic education, with </w:t>
      </w:r>
      <w:r>
        <w:rPr>
          <w:sz w:val="24"/>
          <w:lang w:val="en-US"/>
        </w:rPr>
        <w:t>junior school</w:t>
      </w:r>
      <w:r>
        <w:rPr>
          <w:sz w:val="24"/>
        </w:rPr>
        <w:t xml:space="preserve"> (JSS) now forming a critical bridge between primary and senior secondary education. However, despite these reforms, dropout rates remain a persistent challenge, particularly in marginalized regions such as Garissa County. Various studies and educational reports have highlighted that the transition from primary to JSS is fraught with socio-economic, cultural, and institutional barriers that disproportionately affect girls.</w:t>
      </w:r>
    </w:p>
    <w:p w14:paraId="481DE7B8">
      <w:pPr>
        <w:tabs>
          <w:tab w:val="left" w:pos="2629"/>
        </w:tabs>
        <w:rPr>
          <w:sz w:val="24"/>
        </w:rPr>
      </w:pPr>
      <w:r>
        <w:rPr>
          <w:sz w:val="24"/>
        </w:rPr>
        <w:t xml:space="preserve">According to Langat (2025), dropout in Kenya’s secondary schools is significantly influenced by the failure to effectively articulate and implement government policies that support student retention. In his study conducted in Rongo Sub-County, Langat found that many students, especially girls, dropped out due to a lack of awareness of their educational rights and the absence of supportive structures to enforce these rights </w:t>
      </w:r>
    </w:p>
    <w:p w14:paraId="026E50B0">
      <w:pPr>
        <w:tabs>
          <w:tab w:val="left" w:pos="2629"/>
        </w:tabs>
        <w:rPr>
          <w:sz w:val="24"/>
        </w:rPr>
      </w:pPr>
      <w:r>
        <w:rPr>
          <w:sz w:val="24"/>
        </w:rPr>
        <w:t>This insight is particularly relevant in the context of JSS, where policy gaps and weak enforcement mechanisms continue to undermine retention efforts.</w:t>
      </w:r>
    </w:p>
    <w:p w14:paraId="3443A996">
      <w:pPr>
        <w:tabs>
          <w:tab w:val="left" w:pos="2629"/>
        </w:tabs>
        <w:rPr>
          <w:sz w:val="24"/>
        </w:rPr>
      </w:pPr>
      <w:r>
        <w:rPr>
          <w:sz w:val="24"/>
        </w:rPr>
        <w:t>Wangila (2021) adds that the implementation of JSS has not been accompanied by adequate infrastructural and policy support in arid and semi-arid lands (ASALs), where poverty, insecurity, and traditional gender roles continue to hinder educational attainment. Girls in these regions often face the dual burden of academic expectations and domestic responsibilities, which significantly increases their risk of dropping out.</w:t>
      </w:r>
    </w:p>
    <w:p w14:paraId="77C0E1E0">
      <w:pPr>
        <w:tabs>
          <w:tab w:val="left" w:pos="2629"/>
        </w:tabs>
        <w:rPr>
          <w:sz w:val="24"/>
        </w:rPr>
      </w:pPr>
      <w:r>
        <w:rPr>
          <w:sz w:val="24"/>
        </w:rPr>
        <w:t>Muthoni (2019) emphasizes that while the CBC aims to promote inclusivity and learner-centered approaches, the realities on the ground—such as long distances to school, lack of menstrual hygiene facilities, and limited parental support—undermine these goals. In Garissa, where pastoralist lifestyles dominate, mobility and household labor demands often take precedence over formal education, especially for girls.</w:t>
      </w:r>
    </w:p>
    <w:p w14:paraId="48E092A1">
      <w:pPr>
        <w:tabs>
          <w:tab w:val="left" w:pos="2629"/>
        </w:tabs>
        <w:rPr>
          <w:sz w:val="24"/>
        </w:rPr>
      </w:pPr>
      <w:r>
        <w:rPr>
          <w:sz w:val="24"/>
        </w:rPr>
        <w:t>Orodho (2014) further notes that dropout in JSS is not merely a result of academic failure but is deeply rooted in systemic inequalities. These include inadequate teacher deployment, poor school infrastructure, and limited access to guidance and counseling services. For girls, early marriage and gender-based violence are additional factors that contribute to school discontinuation.</w:t>
      </w:r>
    </w:p>
    <w:p w14:paraId="7C3D19AA">
      <w:pPr>
        <w:tabs>
          <w:tab w:val="left" w:pos="2629"/>
        </w:tabs>
        <w:rPr>
          <w:sz w:val="24"/>
        </w:rPr>
      </w:pPr>
      <w:r>
        <w:rPr>
          <w:sz w:val="24"/>
        </w:rPr>
        <w:t>In the context of Lagdera Sub-County, anecdotal evidence and preliminary field reports suggest that domestic chores—such as fetching water, cooking, and caring for siblings—consume a significant portion of girls’ time, leaving little room for academic engagement. This aligns with Chege and Sifuna (2006), who argue that gendered expectations within households often translate into educational disadvantages for girls, particularly in rural and conservative communities.</w:t>
      </w:r>
    </w:p>
    <w:p w14:paraId="10285BA4">
      <w:pPr>
        <w:tabs>
          <w:tab w:val="left" w:pos="2629"/>
        </w:tabs>
        <w:rPr>
          <w:sz w:val="24"/>
        </w:rPr>
      </w:pPr>
      <w:r>
        <w:rPr>
          <w:sz w:val="24"/>
        </w:rPr>
        <w:t>Moreover, Abuya et al. (2012) highlight that policy interventions such as free day secondary education have had limited impact in curbing dropout rates in marginalized areas due to hidden costs like uniforms, transport, and learning materials. These financial burdens, coupled with cultural resistance to girls’ education, continue to fuel dropout in JSS.</w:t>
      </w:r>
    </w:p>
    <w:p w14:paraId="54D1F9CB">
      <w:pPr>
        <w:tabs>
          <w:tab w:val="left" w:pos="2629"/>
        </w:tabs>
        <w:rPr>
          <w:b/>
          <w:sz w:val="24"/>
        </w:rPr>
      </w:pPr>
      <w:r>
        <w:rPr>
          <w:b/>
          <w:sz w:val="24"/>
        </w:rPr>
        <w:t>2.4.3 Regional Data from ASAL Areas</w:t>
      </w:r>
    </w:p>
    <w:p w14:paraId="3AA0973D">
      <w:pPr>
        <w:tabs>
          <w:tab w:val="left" w:pos="2629"/>
        </w:tabs>
        <w:rPr>
          <w:sz w:val="24"/>
        </w:rPr>
      </w:pPr>
      <w:r>
        <w:rPr>
          <w:sz w:val="24"/>
        </w:rPr>
        <w:t>Arid and Semi-Arid Lands (ASALs) in Kenya, including Garissa County, face unique educational challenges that contribute to high dropout rates, particularly among girls. These regions are characterized by harsh climatic conditions, nomadic lifestyles, insecurity, and limited access to basic infrastructure—all of which negatively impact school attendance and retention. The geographical remoteness of many ASAL communities further complicates access to education, with long distances to school discouraging regular attendance, especially for girls who are also expected to contribute to household chores.</w:t>
      </w:r>
    </w:p>
    <w:p w14:paraId="53A53C05">
      <w:pPr>
        <w:tabs>
          <w:tab w:val="left" w:pos="2629"/>
        </w:tabs>
        <w:rPr>
          <w:sz w:val="24"/>
        </w:rPr>
      </w:pPr>
      <w:r>
        <w:rPr>
          <w:sz w:val="24"/>
        </w:rPr>
        <w:t>According to the Basic Education Statistical Booklet (2020) by the Ministry of Education, ASAL counties consistently report lower enrolment and higher dropout rates compared to national averages. For instance, while the national transition rate from primary to secondary school stood at approximately 83.3% in 2020, counties such as Garissa, Wajir, and Mandera recorded significantly lower rates, often below 50%. These disparities are attributed to a combination of socio-economic, cultural, and logistical barriers, including poverty, early marriage, and limited parental support for girls’ education.</w:t>
      </w:r>
    </w:p>
    <w:p w14:paraId="7F3D3B2E">
      <w:pPr>
        <w:tabs>
          <w:tab w:val="left" w:pos="2629"/>
        </w:tabs>
        <w:rPr>
          <w:sz w:val="24"/>
        </w:rPr>
      </w:pPr>
      <w:r>
        <w:rPr>
          <w:sz w:val="24"/>
        </w:rPr>
        <w:t>The Kenya Education Management Information System (KEMIS) further highlights that ASAL regions suffer from acute teacher shortages, poor school infrastructure, and high pupil-to-teacher ratios. These conditions create a learning environment that is not conducive, leading to disengagement and eventual dropout. Girls are particularly affected, as they often face the dual burden of academic expectations and domestic responsibilities such as cooking, fetching water, and caring for siblings. These factors not only reduce their study time but also increase absenteeism and the likelihood of dropping out.</w:t>
      </w:r>
    </w:p>
    <w:p w14:paraId="0C74E26F">
      <w:pPr>
        <w:tabs>
          <w:tab w:val="left" w:pos="2629"/>
        </w:tabs>
        <w:rPr>
          <w:sz w:val="24"/>
        </w:rPr>
      </w:pPr>
      <w:r>
        <w:rPr>
          <w:sz w:val="24"/>
        </w:rPr>
        <w:t>UNESCO’s SDG 4 Kenya Country Profile underscores that gender disparities in education are most pronounced in ASAL areas, where traditional norms often discourage girls from pursuing education beyond the primary level. The report emphasizes the need for context-specific interventions that address both supply-side factors—such as school facilities and teacher deployment and demand side factors like parental attitudes and economic incentives. In Lagdera Sub-County, anecdotal evidence and local education reports mirror these national and regional trends, with many girls being withdrawn from school due to household responsibilities or concerns about safety and cultural appropriateness. These localized challenges underscore the urgency of implementing targeted policies that prioritize ASAL regions in educational planning and resource allocation.</w:t>
      </w:r>
    </w:p>
    <w:p w14:paraId="0C790B96">
      <w:pPr>
        <w:tabs>
          <w:tab w:val="left" w:pos="2629"/>
        </w:tabs>
        <w:rPr>
          <w:b/>
          <w:sz w:val="24"/>
        </w:rPr>
      </w:pPr>
      <w:r>
        <w:rPr>
          <w:b/>
          <w:sz w:val="24"/>
        </w:rPr>
        <w:t>2.5 Empirical Studies</w:t>
      </w:r>
    </w:p>
    <w:p w14:paraId="583FFDCA">
      <w:pPr>
        <w:tabs>
          <w:tab w:val="left" w:pos="2629"/>
        </w:tabs>
        <w:rPr>
          <w:sz w:val="24"/>
        </w:rPr>
      </w:pPr>
      <w:r>
        <w:rPr>
          <w:sz w:val="24"/>
        </w:rPr>
        <w:t>Empirical studies conducted across Kenya provide compelling evidence that domestic chores significantly contribute to school dropout among girls, particularly in rural and marginalized regions. A notable study by Agesa and Agesa (2019) used econometric analysis to examine the trade-off between time spent fetching water and school attendance among girls in Kenya. Their findings revealed a statistically significant negative relationship between time allocated to water-fetching and school enrolment, especially for girls. The study concluded that the burden of household chores, particularly in households lacking piped water, disproportionately affects girls’ ability to remain in school.</w:t>
      </w:r>
    </w:p>
    <w:p w14:paraId="79DA4DC1">
      <w:pPr>
        <w:tabs>
          <w:tab w:val="left" w:pos="2629"/>
        </w:tabs>
        <w:rPr>
          <w:sz w:val="24"/>
        </w:rPr>
      </w:pPr>
      <w:r>
        <w:rPr>
          <w:sz w:val="24"/>
        </w:rPr>
        <w:t>Further evidence from Turkana County, as documented by Equal Measures 2030 (2021), highlights how cultural norms and economic vulnerabilities intersect to push girls out of school. In this region, girls are often expected to herd livestock, fetch water, and perform other domestic duties, which limit their time and energy for academic work. The study also noted that early marriage and negative perceptions of girls’ education contribute to high dropout rates. Fathers in some communities view girls as economic assets to be married off in exchange for livestock, reinforcing the belief that educating girls is optional.</w:t>
      </w:r>
    </w:p>
    <w:p w14:paraId="1BC5C6D9">
      <w:pPr>
        <w:tabs>
          <w:tab w:val="left" w:pos="2629"/>
        </w:tabs>
        <w:rPr>
          <w:sz w:val="24"/>
        </w:rPr>
      </w:pPr>
      <w:r>
        <w:rPr>
          <w:sz w:val="24"/>
        </w:rPr>
        <w:t>A study conducted in Oloolua Ward, Kajiado County, by Wambua Muasa (2023), explored socio-cultural and economic factors influencing girls’ dropout. The research found that domestic responsibilities, poverty, and lack of parental support were key contributors. Girls were often tasked with caregiving and household management, which conflicted with school schedules. The study recommended community sensitization and targeted support programs to reduce dropout rates among girls, emphasizing the importance of engaging parents and local leaders in promoting girls’ education.</w:t>
      </w:r>
    </w:p>
    <w:p w14:paraId="54845ED8">
      <w:pPr>
        <w:tabs>
          <w:tab w:val="left" w:pos="2629"/>
        </w:tabs>
        <w:rPr>
          <w:sz w:val="24"/>
        </w:rPr>
      </w:pPr>
      <w:r>
        <w:rPr>
          <w:sz w:val="24"/>
        </w:rPr>
        <w:t>These empirical findings align with the situation in Lagdera Sub-County, where girls face similar challenges. The cumulative effect of domestic chores, cultural expectations, and limited access to educational resources creates a hostile environment for girls’ academic progression. These studies underscore the need for policy interventions that address both the structural and cultural dimensions of girls’ education, particularly in ASAL regions. Tailored strategies that reduce the domestic workload on girls, provide economic support to families, and promote gender-sensitive school environments are essential for improving retention and transition rates in junior secondary education.</w:t>
      </w:r>
    </w:p>
    <w:p w14:paraId="531E608F">
      <w:pPr>
        <w:tabs>
          <w:tab w:val="left" w:pos="2629"/>
        </w:tabs>
        <w:rPr>
          <w:sz w:val="24"/>
        </w:rPr>
      </w:pPr>
    </w:p>
    <w:p w14:paraId="7A52EFA4">
      <w:pPr>
        <w:tabs>
          <w:tab w:val="left" w:pos="2629"/>
        </w:tabs>
        <w:rPr>
          <w:b/>
          <w:sz w:val="24"/>
        </w:rPr>
      </w:pPr>
      <w:r>
        <w:rPr>
          <w:b/>
          <w:sz w:val="24"/>
        </w:rPr>
        <w:t>2.5.1 Studies from Eastern Africa</w:t>
      </w:r>
    </w:p>
    <w:p w14:paraId="2E069952">
      <w:pPr>
        <w:tabs>
          <w:tab w:val="left" w:pos="2629"/>
        </w:tabs>
        <w:rPr>
          <w:sz w:val="24"/>
        </w:rPr>
      </w:pPr>
      <w:r>
        <w:rPr>
          <w:sz w:val="24"/>
        </w:rPr>
        <w:t>Empirical studies by Kenyan scholars such as Langat (2019, 2025) have provided valuable insights into the factors contributing to school dropout among girls, particularly in junior and secondary school levels. In his 2019 study, Langat examined the socio-economic and cultural determinants of dropout among girls in rural Kenya. He found that domestic chores, poverty, and parental attitudes were among the leading causes of school discontinuation. Girls were often expected to prioritize household responsibilities over education, especially in households where labor was essential for daily survival.</w:t>
      </w:r>
    </w:p>
    <w:p w14:paraId="133ED13F">
      <w:pPr>
        <w:tabs>
          <w:tab w:val="left" w:pos="2629"/>
        </w:tabs>
        <w:rPr>
          <w:sz w:val="24"/>
        </w:rPr>
      </w:pPr>
      <w:r>
        <w:rPr>
          <w:sz w:val="24"/>
        </w:rPr>
        <w:t xml:space="preserve">In a more recent study (2025), Langat expanded his research to include the effects of policy implementation on girls’ retention in </w:t>
      </w:r>
      <w:r>
        <w:rPr>
          <w:sz w:val="24"/>
          <w:lang w:val="en-US"/>
        </w:rPr>
        <w:t>junior schools</w:t>
      </w:r>
      <w:r>
        <w:rPr>
          <w:sz w:val="24"/>
        </w:rPr>
        <w:t>. He observed that while the government had introduced free day secondary education and the Competency-Based Curriculum (CBC), these reforms had not adequately addressed the unique challenges faced by girls in marginalized regions. The study emphasized that without targeted interventions—such as provision of school meals, menstrual hygiene products, and community sensitization—dropout rates among girls would remain high.</w:t>
      </w:r>
    </w:p>
    <w:p w14:paraId="24D370F8">
      <w:pPr>
        <w:tabs>
          <w:tab w:val="left" w:pos="2629"/>
        </w:tabs>
        <w:rPr>
          <w:sz w:val="24"/>
        </w:rPr>
      </w:pPr>
      <w:r>
        <w:rPr>
          <w:sz w:val="24"/>
        </w:rPr>
        <w:t>Complementing Langat’s findings, a study by Oduya (2020) in Kibra and Langata sub-counties revealed that family, school, and community-level factors all contribute to girls’ dropout. The research showed that despite government efforts to promote universal education, many girls still dropped out due to early pregnancies, lack of parental support, and the burden of domestic work. The study recommended stronger school-community partnerships to support girls’ education and reduce dropout.</w:t>
      </w:r>
    </w:p>
    <w:p w14:paraId="426A5325">
      <w:pPr>
        <w:tabs>
          <w:tab w:val="left" w:pos="2629"/>
        </w:tabs>
        <w:rPr>
          <w:sz w:val="24"/>
        </w:rPr>
      </w:pPr>
      <w:r>
        <w:rPr>
          <w:sz w:val="24"/>
        </w:rPr>
        <w:t xml:space="preserve">These Kenyan-based studies reinforce the argument that domestic chores and socio-cultural expectations are central to understanding girls’ dropout in junior secondary education. They also highlight the importance of localized, gender-sensitive policies that go beyond access to education and address the lived realities of girls, particularly in ASAL regions like Lagdera Sub-County. Such evidence-based insights are crucial for informing interventions that aim to improve retention and transition rates for girls in public day </w:t>
      </w:r>
      <w:r>
        <w:rPr>
          <w:sz w:val="24"/>
          <w:lang w:val="en-US"/>
        </w:rPr>
        <w:t>junior schools</w:t>
      </w:r>
      <w:r>
        <w:rPr>
          <w:sz w:val="24"/>
        </w:rPr>
        <w:t>.</w:t>
      </w:r>
    </w:p>
    <w:p w14:paraId="4E03E24C">
      <w:pPr>
        <w:tabs>
          <w:tab w:val="left" w:pos="2629"/>
        </w:tabs>
        <w:rPr>
          <w:sz w:val="24"/>
        </w:rPr>
      </w:pPr>
      <w:r>
        <w:rPr>
          <w:sz w:val="24"/>
        </w:rPr>
        <w:t>Empirical studies from Uganda offer valuable comparative insights into the dynamics of girls’ dropout in East Africa. Agengo and Mugisha (2025) conducted a comprehensive study on the impact of domestic responsibilities on girls’ education in rural districts of Northern Uganda. Their findings revealed that girls were disproportionately burdened with household chores such as cooking, cleaning, and caring for younger siblings, which significantly interfered with their school attendance and academic performance.</w:t>
      </w:r>
    </w:p>
    <w:p w14:paraId="6C6AC426">
      <w:pPr>
        <w:tabs>
          <w:tab w:val="left" w:pos="2629"/>
        </w:tabs>
        <w:rPr>
          <w:sz w:val="24"/>
        </w:rPr>
      </w:pPr>
      <w:r>
        <w:rPr>
          <w:sz w:val="24"/>
        </w:rPr>
        <w:t>The study further noted that in many Ugandan households, girls were expected to wake up earlier than boys to complete chores before school and resume them immediately after returning home. This routine left little time for homework or rest, leading to fatigue and poor classroom engagement. Agengo and Mugisha concluded that the domestic workload placed on girls was a major contributor to absenteeism and eventual dropout, especially in lower secondary levels.</w:t>
      </w:r>
    </w:p>
    <w:p w14:paraId="659DE4B6">
      <w:pPr>
        <w:tabs>
          <w:tab w:val="left" w:pos="2629"/>
        </w:tabs>
        <w:rPr>
          <w:sz w:val="24"/>
        </w:rPr>
      </w:pPr>
      <w:r>
        <w:rPr>
          <w:sz w:val="24"/>
        </w:rPr>
        <w:t>In addition to domestic chores, the researchers identified socio-cultural norms that reinforced gender roles as a key barrier to girls’ education. In communities where early marriage was prevalent, girls were often withdrawn from school once they reached puberty. Parents viewed education as less valuable for girls, believing that their primary role was to prepare for marriage and motherhood. These attitudes were deeply entrenched and difficult to challenge without community-wide sensitization.</w:t>
      </w:r>
    </w:p>
    <w:p w14:paraId="049DEA89">
      <w:pPr>
        <w:tabs>
          <w:tab w:val="left" w:pos="2629"/>
        </w:tabs>
        <w:rPr>
          <w:sz w:val="24"/>
        </w:rPr>
      </w:pPr>
      <w:r>
        <w:rPr>
          <w:sz w:val="24"/>
        </w:rPr>
        <w:t>Agengo and Mugisha recommended a multi-pronged approach to address the dropout crisis. Their suggestions included the introduction of flexible school schedules, community-based childcare programs, and targeted awareness campaigns to shift cultural perceptions about girls’ education. They also emphasized the importance of engaging local leaders and parents in designing interventions that reflect the lived realities of rural girls.</w:t>
      </w:r>
    </w:p>
    <w:p w14:paraId="5D0EAD8B">
      <w:pPr>
        <w:tabs>
          <w:tab w:val="left" w:pos="2629"/>
        </w:tabs>
        <w:rPr>
          <w:sz w:val="24"/>
        </w:rPr>
      </w:pPr>
      <w:r>
        <w:rPr>
          <w:sz w:val="24"/>
        </w:rPr>
        <w:t>Another study by Namusoke (2023) in Eastern Uganda echoed similar findings. Her research focused on the intersection of poverty, domestic labor, and school dropout among adolescent girls. She found that girls from low-income households were more likely to be pulled out of school to support family survival through unpaid labor or informal work. The study highlighted the need for social protection programs to cushion vulnerable families and keep girls in school.</w:t>
      </w:r>
    </w:p>
    <w:p w14:paraId="143BCF1C">
      <w:pPr>
        <w:tabs>
          <w:tab w:val="left" w:pos="2629"/>
        </w:tabs>
        <w:rPr>
          <w:sz w:val="24"/>
        </w:rPr>
      </w:pPr>
      <w:r>
        <w:rPr>
          <w:sz w:val="24"/>
        </w:rPr>
        <w:t>These Ugandan studies provide a regional lens through which to understand the challenges faced by girls in Kenya’s ASAL regions. The parallels in domestic workload, cultural expectations, and economic hardship suggest that interventions successful in Uganda could be adapted to the Kenyan context, particularly in areas like Lagdera Sub-County.</w:t>
      </w:r>
    </w:p>
    <w:p w14:paraId="3B465CF7">
      <w:pPr>
        <w:tabs>
          <w:tab w:val="left" w:pos="2629"/>
        </w:tabs>
        <w:rPr>
          <w:sz w:val="24"/>
        </w:rPr>
      </w:pPr>
      <w:r>
        <w:rPr>
          <w:sz w:val="24"/>
        </w:rPr>
        <w:t>In Somalia, the educational landscape is shaped by decades of conflict, displacement, and socio-cultural conservatism, all of which have contributed to low enrolment and high dropout rates among girls. Jama et al. (2023) conducted a study in Puntland and South Central Somalia to investigate the role of domestic labor in girls’ school participation. Their findings revealed that girls were often expected to manage entire households in the absence of adult women, especially in internally displaced persons (IDP) camps.</w:t>
      </w:r>
    </w:p>
    <w:p w14:paraId="79CA779F">
      <w:pPr>
        <w:tabs>
          <w:tab w:val="left" w:pos="2629"/>
        </w:tabs>
        <w:rPr>
          <w:sz w:val="24"/>
        </w:rPr>
      </w:pPr>
      <w:r>
        <w:rPr>
          <w:sz w:val="24"/>
        </w:rPr>
        <w:t>The study found that in many Somali households, girls as young as ten were responsible for cooking, cleaning, and caring for younger siblings. These responsibilities were intensified in polygamous families or where mothers were absent due to work or displacement. Jama et al. noted that the burden of domestic labor was a primary reason why girls either never enrolled in school or dropped out shortly after starting.</w:t>
      </w:r>
    </w:p>
    <w:p w14:paraId="12A4D48A">
      <w:pPr>
        <w:tabs>
          <w:tab w:val="left" w:pos="2629"/>
        </w:tabs>
        <w:rPr>
          <w:sz w:val="24"/>
        </w:rPr>
      </w:pPr>
      <w:r>
        <w:rPr>
          <w:sz w:val="24"/>
        </w:rPr>
        <w:t>Cultural norms also played a significant role in shaping educational outcomes. In conservative Somali communities, there was a strong preference for boys’ education, while girls were expected to remain at home. The fear of girls interacting with boys in co-educational settings further discouraged parents from sending their daughters to school. Jama et al. emphasized that these cultural barriers were deeply rooted and required long-term engagement to overcome.</w:t>
      </w:r>
    </w:p>
    <w:p w14:paraId="17A5D297">
      <w:pPr>
        <w:tabs>
          <w:tab w:val="left" w:pos="2629"/>
        </w:tabs>
        <w:rPr>
          <w:sz w:val="24"/>
        </w:rPr>
      </w:pPr>
      <w:r>
        <w:rPr>
          <w:sz w:val="24"/>
        </w:rPr>
        <w:t>The researchers also highlighted the impact of insecurity and displacement on girls’ education. In areas affected by conflict or drought, families often migrated in search of safety or livelihood, disrupting children’s schooling. Girls were particularly affected, as they were less likely to re-enroll after displacement due to increased domestic responsibilities and safety concerns.</w:t>
      </w:r>
    </w:p>
    <w:p w14:paraId="4C03FCCA">
      <w:pPr>
        <w:tabs>
          <w:tab w:val="left" w:pos="2629"/>
        </w:tabs>
        <w:rPr>
          <w:sz w:val="24"/>
        </w:rPr>
      </w:pPr>
      <w:r>
        <w:rPr>
          <w:sz w:val="24"/>
        </w:rPr>
        <w:t>To address these challenges, Jama et al. recommended the establishment of girl-friendly learning spaces within IDP camps and rural communities. These spaces would offer flexible learning schedules, female teachers, and protection from gender-based violence. The study also called for the integration of life skills and vocational training into the curriculum to make education more relevant and appealing to girls.</w:t>
      </w:r>
    </w:p>
    <w:p w14:paraId="1A9E674C">
      <w:pPr>
        <w:tabs>
          <w:tab w:val="left" w:pos="2629"/>
        </w:tabs>
        <w:rPr>
          <w:sz w:val="24"/>
        </w:rPr>
      </w:pPr>
      <w:r>
        <w:rPr>
          <w:sz w:val="24"/>
        </w:rPr>
        <w:t>The Somali context, while distinct in its challenges, shares important similarities with Kenya’s ASAL regions. Both contexts are marked by poverty, insecurity, and strong gender norms that limit girls’ educational opportunities. The findings from Somalia underscore the importance of culturally sensitive, community-driven approaches to reducing dropout and promoting girls’ education in fragile settings.</w:t>
      </w:r>
    </w:p>
    <w:p w14:paraId="07F0E8FA">
      <w:pPr>
        <w:rPr>
          <w:b/>
          <w:sz w:val="24"/>
        </w:rPr>
      </w:pPr>
      <w:r>
        <w:rPr>
          <w:b/>
          <w:sz w:val="24"/>
        </w:rPr>
        <w:t>2.6 Gaps in the Literature</w:t>
      </w:r>
    </w:p>
    <w:p w14:paraId="54BC8C13">
      <w:pPr>
        <w:rPr>
          <w:sz w:val="24"/>
        </w:rPr>
      </w:pPr>
      <w:r>
        <w:rPr>
          <w:sz w:val="24"/>
        </w:rPr>
        <w:t>Despite the growing body of research on girls’ education and school dropout in Kenya and the broader East African region, several critical gaps remain unaddressed. Most existing studies tend to focus on general factors influencing dropout, such as poverty, early marriage, and teenage pregnancy, without giving sufficient attention to the specific role of domestic chores. While domestic responsibilities are often mentioned, they are rarely the central focus of empirical investigations, particularly in the context of junior secondary education under the Competency-Based Curriculum (CBC).</w:t>
      </w:r>
    </w:p>
    <w:p w14:paraId="735DBD33">
      <w:pPr>
        <w:rPr>
          <w:sz w:val="24"/>
        </w:rPr>
      </w:pPr>
      <w:r>
        <w:rPr>
          <w:sz w:val="24"/>
        </w:rPr>
        <w:t>Another notable gap is the limited availability of region-specific data, especially from Arid and Semi-Arid Lands (ASALs) like Lagdera Sub-County in Garissa County. Much of the literature draws from urban or peri-urban settings, which may not accurately reflect the unique socio-cultural and economic dynamics of pastoralist communities. This lack of localized research makes it difficult to design interventions that are contextually relevant and responsive to the lived experiences of girls in these regions.</w:t>
      </w:r>
    </w:p>
    <w:p w14:paraId="1846FD09">
      <w:pPr>
        <w:rPr>
          <w:sz w:val="24"/>
        </w:rPr>
      </w:pPr>
      <w:r>
        <w:rPr>
          <w:sz w:val="24"/>
        </w:rPr>
        <w:t>Furthermore, there is a scarcity of longitudinal studies that track the long-term impact of domestic chores on girls’ educational trajectories. Most studies are cross-sectional and fail to capture how the cumulative burden of household labor affects girls’ academic performance, attendance, and eventual dropout over time. This limits the ability of policymakers and educators to understand the full scope of the problem and to implement sustainable solutions.</w:t>
      </w:r>
    </w:p>
    <w:p w14:paraId="27AC89EA">
      <w:pPr>
        <w:rPr>
          <w:sz w:val="24"/>
        </w:rPr>
      </w:pPr>
      <w:r>
        <w:rPr>
          <w:sz w:val="24"/>
        </w:rPr>
        <w:t xml:space="preserve">Lastly, while some studies have explored the role of policy interventions such as free day secondary education and school feeding programs, few have critically examined how these policies interact with domestic labor demands at the household level. There is a need for research that investigates whether such interventions effectively reduce the dropout risk for girls burdened with domestic chores, or whether additional support mechanisms are required. Addressing these gaps is essential for developing comprehensive strategies to improve girls’ retention and transition in </w:t>
      </w:r>
      <w:r>
        <w:rPr>
          <w:sz w:val="24"/>
          <w:lang w:val="en-US"/>
        </w:rPr>
        <w:t>junior schools</w:t>
      </w:r>
      <w:r>
        <w:rPr>
          <w:sz w:val="24"/>
        </w:rPr>
        <w:t>, particularly in underserved regions like Lagdera.</w:t>
      </w:r>
    </w:p>
    <w:p w14:paraId="1FB51B48">
      <w:pPr>
        <w:rPr>
          <w:b/>
          <w:sz w:val="24"/>
        </w:rPr>
      </w:pPr>
      <w:r>
        <w:rPr>
          <w:b/>
          <w:sz w:val="24"/>
        </w:rPr>
        <w:t>2.7 Summary of Literature Reviewed</w:t>
      </w:r>
    </w:p>
    <w:p w14:paraId="5AF0A937">
      <w:pPr>
        <w:rPr>
          <w:sz w:val="24"/>
        </w:rPr>
      </w:pPr>
      <w:r>
        <w:rPr>
          <w:sz w:val="24"/>
        </w:rPr>
        <w:t xml:space="preserve">This chapter has reviewed a wide range of literature addressing the influence of domestic chores on girls’ dropout rates in public day </w:t>
      </w:r>
      <w:r>
        <w:rPr>
          <w:sz w:val="24"/>
          <w:lang w:val="en-US"/>
        </w:rPr>
        <w:t>junior schools</w:t>
      </w:r>
      <w:r>
        <w:rPr>
          <w:sz w:val="24"/>
        </w:rPr>
        <w:t>, with a particular focus on Lagdera Sub-County, Garissa County. The review began by exploring the concept of domestic chores and their gendered nature, emphasizing how cultural norms and traditional gender roles disproportionately assign household responsibilities to girls. These roles are deeply embedded in many African societies and significantly interfere with girls’ educational engagement.</w:t>
      </w:r>
    </w:p>
    <w:p w14:paraId="123D1D82">
      <w:pPr>
        <w:rPr>
          <w:sz w:val="24"/>
        </w:rPr>
      </w:pPr>
      <w:r>
        <w:rPr>
          <w:sz w:val="24"/>
        </w:rPr>
        <w:t>The literature further examined the effects of domestic chores on school attendance, concentration, academic performance, and overall retention. Studies consistently show that girls burdened with household tasks are more likely to arrive at school late, miss classes, perform poorly, and eventually drop out. The introduction of Kenya’s Competency-Based Curriculum (CBC), while well-intentioned, may inadvertently exacerbate these challenges by increasing the demand for home-based learning, which competes with girls’ domestic responsibilities.</w:t>
      </w:r>
    </w:p>
    <w:p w14:paraId="3BC3989A">
      <w:pPr>
        <w:rPr>
          <w:sz w:val="24"/>
        </w:rPr>
      </w:pPr>
      <w:r>
        <w:rPr>
          <w:sz w:val="24"/>
        </w:rPr>
        <w:t>Empirical studies from Kenya, Uganda, and Somalia reinforce the argument that domestic chores are a critical, yet often overlooked, factor in girls’ dropout. Research by Langat (2019, 2025), Agengo and Mugisha (2025), and Jama et al. (2023) highlights the intersection of domestic labor, poverty, cultural expectations, and weak policy implementation as key contributors to school discontinuation. These studies also emphasize the need for localized, gender-sensitive interventions that address both household and community-level barriers to girls’ education.</w:t>
      </w:r>
    </w:p>
    <w:p w14:paraId="785A7E97">
      <w:pPr>
        <w:rPr>
          <w:sz w:val="24"/>
        </w:rPr>
      </w:pPr>
      <w:r>
        <w:rPr>
          <w:sz w:val="24"/>
        </w:rPr>
        <w:t xml:space="preserve">Despite the breadth of existing research, several gaps remain. Few studies focus specifically on the impact of domestic chores within the junior secondary context, particularly in ASAL regions like Lagdera. There is also a lack of longitudinal and region-specific data that could inform more targeted and sustainable interventions. This study seeks to fill these gaps by providing empirical evidence on how domestic chores influence girls’ dropout rates in public day </w:t>
      </w:r>
      <w:r>
        <w:rPr>
          <w:sz w:val="24"/>
          <w:lang w:val="en-US"/>
        </w:rPr>
        <w:t>junior schools</w:t>
      </w:r>
      <w:r>
        <w:rPr>
          <w:sz w:val="24"/>
        </w:rPr>
        <w:t xml:space="preserve"> in Lagdera Sub-County, thereby contributing to more effective policy and practice.</w:t>
      </w:r>
    </w:p>
    <w:p w14:paraId="3EA70F87">
      <w:pPr>
        <w:rPr>
          <w:sz w:val="24"/>
        </w:rPr>
      </w:pPr>
    </w:p>
    <w:p w14:paraId="06AF07AA">
      <w:pPr>
        <w:tabs>
          <w:tab w:val="left" w:pos="2629"/>
        </w:tabs>
        <w:rPr>
          <w:sz w:val="24"/>
        </w:rPr>
      </w:pPr>
    </w:p>
    <w:p w14:paraId="24CA1AD8">
      <w:pPr>
        <w:tabs>
          <w:tab w:val="left" w:pos="2629"/>
        </w:tabs>
        <w:rPr>
          <w:sz w:val="24"/>
        </w:rPr>
      </w:pPr>
    </w:p>
    <w:p w14:paraId="32E76E5C">
      <w:pPr>
        <w:rPr>
          <w:sz w:val="24"/>
        </w:rPr>
      </w:pPr>
      <w:r>
        <w:rPr>
          <w:sz w:val="24"/>
        </w:rPr>
        <w:br w:type="page"/>
      </w:r>
    </w:p>
    <w:p w14:paraId="7C59DDB4">
      <w:pPr>
        <w:tabs>
          <w:tab w:val="left" w:pos="2629"/>
        </w:tabs>
        <w:jc w:val="center"/>
        <w:rPr>
          <w:b/>
          <w:sz w:val="24"/>
        </w:rPr>
      </w:pPr>
      <w:r>
        <w:rPr>
          <w:b/>
          <w:sz w:val="24"/>
        </w:rPr>
        <w:t>CHAPTER THREE</w:t>
      </w:r>
    </w:p>
    <w:p w14:paraId="319000B5">
      <w:pPr>
        <w:tabs>
          <w:tab w:val="left" w:pos="2629"/>
        </w:tabs>
        <w:rPr>
          <w:b/>
          <w:sz w:val="24"/>
        </w:rPr>
      </w:pPr>
      <w:r>
        <w:rPr>
          <w:b/>
          <w:sz w:val="24"/>
        </w:rPr>
        <w:t>RESEARCH METHODOLOGY</w:t>
      </w:r>
    </w:p>
    <w:p w14:paraId="6A4E6B4B">
      <w:pPr>
        <w:tabs>
          <w:tab w:val="left" w:pos="2629"/>
        </w:tabs>
        <w:rPr>
          <w:b/>
          <w:sz w:val="24"/>
        </w:rPr>
      </w:pPr>
      <w:r>
        <w:rPr>
          <w:b/>
          <w:sz w:val="24"/>
        </w:rPr>
        <w:t>3.1 Overview</w:t>
      </w:r>
    </w:p>
    <w:p w14:paraId="3F5945B9">
      <w:pPr>
        <w:tabs>
          <w:tab w:val="left" w:pos="2629"/>
        </w:tabs>
        <w:rPr>
          <w:sz w:val="24"/>
        </w:rPr>
      </w:pPr>
      <w:r>
        <w:rPr>
          <w:sz w:val="24"/>
        </w:rPr>
        <w:t xml:space="preserve">This chapter outlines the methodological framework that will guide the study on the influence of domestic chores on girls’ dropout rates in public day </w:t>
      </w:r>
      <w:r>
        <w:rPr>
          <w:sz w:val="24"/>
          <w:lang w:val="en-US"/>
        </w:rPr>
        <w:t>junior schools</w:t>
      </w:r>
      <w:r>
        <w:rPr>
          <w:sz w:val="24"/>
        </w:rPr>
        <w:t xml:space="preserve"> in Lagdera Sub-County, Garissa County, Kenya. It presents the research design, target population, sampling techniques, data collection instruments, procedures, and methods of data analysis. The methodology was carefully selected to ensure the collection of valid, reliable, and relevant data to address the research objectives and questions. The chapter also discusses the ethical considerations observed during the research process.</w:t>
      </w:r>
    </w:p>
    <w:p w14:paraId="71184179">
      <w:pPr>
        <w:tabs>
          <w:tab w:val="left" w:pos="2629"/>
        </w:tabs>
        <w:rPr>
          <w:b/>
          <w:sz w:val="24"/>
        </w:rPr>
      </w:pPr>
      <w:r>
        <w:rPr>
          <w:b/>
          <w:sz w:val="24"/>
        </w:rPr>
        <w:t>3.2 Research Paradigm</w:t>
      </w:r>
    </w:p>
    <w:p w14:paraId="51364005">
      <w:pPr>
        <w:tabs>
          <w:tab w:val="left" w:pos="2629"/>
        </w:tabs>
        <w:rPr>
          <w:sz w:val="24"/>
        </w:rPr>
      </w:pPr>
      <w:r>
        <w:rPr>
          <w:sz w:val="24"/>
        </w:rPr>
        <w:t>This study will adopt the pragmatic research paradigm, which supports the use of mixed methods to gain a comprehensive understanding of complex social phenomena. The pragmatic approach is grounded in the belief that research should focus on practical outcomes and the use of multiple methods to answer research questions effectively.</w:t>
      </w:r>
    </w:p>
    <w:p w14:paraId="290EEE8A">
      <w:pPr>
        <w:tabs>
          <w:tab w:val="left" w:pos="2629"/>
        </w:tabs>
        <w:rPr>
          <w:sz w:val="24"/>
        </w:rPr>
      </w:pPr>
      <w:r>
        <w:rPr>
          <w:sz w:val="24"/>
        </w:rPr>
        <w:t xml:space="preserve">Given the nature of this study—examining how domestic chores influence girls’ dropout rates in public day </w:t>
      </w:r>
      <w:r>
        <w:rPr>
          <w:sz w:val="24"/>
          <w:lang w:val="en-US"/>
        </w:rPr>
        <w:t>junior schools</w:t>
      </w:r>
      <w:r>
        <w:rPr>
          <w:sz w:val="24"/>
        </w:rPr>
        <w:t xml:space="preserve"> in Lagdera Sub-County—the pragmatic paradigm was suitable because it allowed the integration of both quantitative and qualitative data. Quantitative data provided measurable insights into dropout trends and the prevalence of domestic responsibilities, while qualitative data offered deeper understanding of the lived experiences, attitudes, and perceptions of students, parents, and teachers.</w:t>
      </w:r>
    </w:p>
    <w:p w14:paraId="401359E1">
      <w:pPr>
        <w:tabs>
          <w:tab w:val="left" w:pos="2629"/>
        </w:tabs>
        <w:rPr>
          <w:sz w:val="24"/>
        </w:rPr>
      </w:pPr>
      <w:r>
        <w:rPr>
          <w:sz w:val="24"/>
        </w:rPr>
        <w:t>By combining these approaches, the study was able to triangulate findings, enhance validity, and provide a more holistic view of the issue. The pragmatic paradigm thus enabled the researcher to remain flexible and responsive to the research context, ensuring that the methods used were driven by the research questions rather than by philosophical allegiance to a single methodology.</w:t>
      </w:r>
    </w:p>
    <w:p w14:paraId="1C362701">
      <w:pPr>
        <w:tabs>
          <w:tab w:val="left" w:pos="2629"/>
        </w:tabs>
        <w:rPr>
          <w:b/>
          <w:sz w:val="24"/>
        </w:rPr>
      </w:pPr>
      <w:r>
        <w:rPr>
          <w:b/>
          <w:sz w:val="24"/>
        </w:rPr>
        <w:t>3.3 Research Design</w:t>
      </w:r>
    </w:p>
    <w:p w14:paraId="45284CEB">
      <w:pPr>
        <w:tabs>
          <w:tab w:val="left" w:pos="2629"/>
        </w:tabs>
        <w:rPr>
          <w:sz w:val="24"/>
        </w:rPr>
      </w:pPr>
      <w:r>
        <w:rPr>
          <w:sz w:val="24"/>
        </w:rPr>
        <w:t>This study will employ a mixed methods research design, specifically integrating descriptive survey and correlational designs. The choice of design is guided by the need to both describe the current situation regarding domestic chores and girls’ dropout rates, and to examine the relationship between these two variables.</w:t>
      </w:r>
    </w:p>
    <w:p w14:paraId="42FCC805">
      <w:pPr>
        <w:tabs>
          <w:tab w:val="left" w:pos="2629"/>
        </w:tabs>
        <w:rPr>
          <w:sz w:val="24"/>
        </w:rPr>
      </w:pPr>
      <w:r>
        <w:rPr>
          <w:sz w:val="24"/>
        </w:rPr>
        <w:t>The descriptive survey design will be used to collect quantitative data from This study will adhere to strict ethical standards to ensure the protection and dignity of all participants. Informed consent will be obtained from all respondents before participation. For students under the age of 18, consent will be sought from their parents or guardians, while assent will be obtained from the students themselves. Participants will be fully informed about the purpose of the study, the procedures to be involved, their right to withdraw at any time, and the voluntary nature of their participation.</w:t>
      </w:r>
    </w:p>
    <w:p w14:paraId="74D7F4A2">
      <w:pPr>
        <w:tabs>
          <w:tab w:val="left" w:pos="2629"/>
        </w:tabs>
        <w:rPr>
          <w:sz w:val="24"/>
        </w:rPr>
      </w:pPr>
      <w:r>
        <w:rPr>
          <w:sz w:val="24"/>
        </w:rPr>
        <w:t>Confidentiality and anonymity will strictly be maintained throughout the research process. Participants’ names and personal identifiers will not be recorded in the data collection tools. All responses will be treated with the highest level of confidentiality and to be used solely for academic purposes. Data will be securely stored and only accessible to the researcher. During reporting, aggregated data will be used to ensure that no individual could be identified from the findings.</w:t>
      </w:r>
    </w:p>
    <w:p w14:paraId="4722BCA1">
      <w:pPr>
        <w:tabs>
          <w:tab w:val="left" w:pos="2629"/>
        </w:tabs>
        <w:rPr>
          <w:sz w:val="24"/>
        </w:rPr>
      </w:pPr>
      <w:r>
        <w:rPr>
          <w:sz w:val="24"/>
        </w:rPr>
        <w:t>The researcher will also obtain formal approval from the Ministry of Education (MoE) Garissa County, and the head teachers of the participating schools. These approvals will ensure that the study will comply with national research regulations and institutional requirements. Ethical clearance will be a critical step in legitimizing the research and safeguarding the rights and welfare of all participants involved.</w:t>
      </w:r>
    </w:p>
    <w:p w14:paraId="62021AEC">
      <w:pPr>
        <w:tabs>
          <w:tab w:val="left" w:pos="2629"/>
        </w:tabs>
        <w:rPr>
          <w:sz w:val="24"/>
        </w:rPr>
      </w:pPr>
      <w:r>
        <w:rPr>
          <w:sz w:val="24"/>
        </w:rPr>
        <w:t>The study will employ both quantitative and qualitative data analysis methods, in line with its mixed methods design. For the quantitative data to be collected through questionnaires from students and teachers, the researcher will use descriptive statistics such as frequencies, percentages, means, and standard deviations to summarize and present the data in a clear and meaningful way. These statistics will help to describe the extent of domestic chores performed by girls and the patterns of school attendance and dropout.</w:t>
      </w:r>
    </w:p>
    <w:p w14:paraId="39F94548">
      <w:pPr>
        <w:tabs>
          <w:tab w:val="left" w:pos="2629"/>
        </w:tabs>
        <w:rPr>
          <w:sz w:val="24"/>
        </w:rPr>
      </w:pPr>
      <w:r>
        <w:rPr>
          <w:sz w:val="24"/>
        </w:rPr>
        <w:t>In addition to descriptive analysis, inferential statistics will also be used to examine the relationship between domestic chores and girls’ dropout rates. Specifically, Pearson’s correlation coefficient will be applied to determine the strength and direction of the relationship between the frequency of domestic chores and school dropout. This analysis will help to test the study’s hypotheses and draw conclusions about the potential impact of domestic responsibilities on girls’ education.</w:t>
      </w:r>
    </w:p>
    <w:p w14:paraId="31EFF9A4">
      <w:pPr>
        <w:tabs>
          <w:tab w:val="left" w:pos="2629"/>
        </w:tabs>
        <w:rPr>
          <w:sz w:val="24"/>
        </w:rPr>
      </w:pPr>
      <w:r>
        <w:rPr>
          <w:sz w:val="24"/>
        </w:rPr>
        <w:t>For the qualitative data to be obtained through interviews with head teachers and parents, the researcher will use thematic analysis. This will involve transcribing the interviews, reading through the transcripts multiple times, and identifying recurring themes and patterns related to domestic chores, cultural expectations, and school dropout. Then, the themes will be categorized and interpreted to provide deeper insights into the contextual and social factors influencing girls’ educational outcomes in Lagdera Sub-County.</w:t>
      </w:r>
    </w:p>
    <w:p w14:paraId="587FEF0F">
      <w:pPr>
        <w:tabs>
          <w:tab w:val="left" w:pos="2629"/>
        </w:tabs>
        <w:rPr>
          <w:sz w:val="24"/>
        </w:rPr>
      </w:pPr>
      <w:r>
        <w:rPr>
          <w:sz w:val="24"/>
        </w:rPr>
        <w:t>In this study, the independent variable is domestic chores, which refers to the routine household tasks assigned to girls outside school hours. These include activities such as cooking, cleaning, fetching water, taking care of siblings, and other responsibilities that may interfere with their study time or school attendance. For the purpose of this research, domestic chores were measured by the type, frequency, and duration of tasks performed by the girls on a daily or weekly basis, as reported through student questionnaires.</w:t>
      </w:r>
    </w:p>
    <w:p w14:paraId="56D399D1">
      <w:pPr>
        <w:tabs>
          <w:tab w:val="left" w:pos="2629"/>
        </w:tabs>
        <w:rPr>
          <w:sz w:val="24"/>
        </w:rPr>
      </w:pPr>
      <w:r>
        <w:rPr>
          <w:sz w:val="24"/>
        </w:rPr>
        <w:t xml:space="preserve">The dependent variable is the girls’ dropout rate from public day </w:t>
      </w:r>
      <w:r>
        <w:rPr>
          <w:sz w:val="24"/>
          <w:lang w:val="en-US"/>
        </w:rPr>
        <w:t>junior schools</w:t>
      </w:r>
      <w:r>
        <w:rPr>
          <w:sz w:val="24"/>
        </w:rPr>
        <w:t>. This was operationalized as the number of girls who discontinued their schooling before completing the junior secondary level, as recorded by school administrators and confirmed through interviews with head teachers. Indicators such as absenteeism, declining academic performance, and eventual withdrawal from school were used to assess dropout trends.</w:t>
      </w:r>
    </w:p>
    <w:p w14:paraId="13439E87">
      <w:pPr>
        <w:tabs>
          <w:tab w:val="left" w:pos="2629"/>
        </w:tabs>
        <w:rPr>
          <w:sz w:val="24"/>
        </w:rPr>
      </w:pPr>
      <w:r>
        <w:rPr>
          <w:sz w:val="24"/>
        </w:rPr>
        <w:t>Other intervening variables considered in the study included parental attitudes, socio-economic status, and cultural beliefs, which may influence both the assignment of domestic chores and the decision to keep girls in school. These were explored through interviews with parents and head teachers to understand the broader context in which domestic responsibilities are assigned and how they relate to educational outcomes.</w:t>
      </w:r>
    </w:p>
    <w:p w14:paraId="46F08FFF">
      <w:pPr>
        <w:tabs>
          <w:tab w:val="left" w:pos="2629"/>
        </w:tabs>
        <w:rPr>
          <w:sz w:val="24"/>
        </w:rPr>
      </w:pPr>
      <w:r>
        <w:rPr>
          <w:sz w:val="24"/>
        </w:rPr>
        <w:t xml:space="preserve">The data collection process will begin with obtaining the necessary permissions and approvals from relevant authorities, including the school administrators and local education officers in Lagdera Sub-County. Once approvals are granted, the researcher will schedule visits to the selected public day </w:t>
      </w:r>
      <w:r>
        <w:rPr>
          <w:sz w:val="24"/>
          <w:lang w:val="en-US"/>
        </w:rPr>
        <w:t>junior schools</w:t>
      </w:r>
      <w:r>
        <w:rPr>
          <w:sz w:val="24"/>
        </w:rPr>
        <w:t>. Prior to data collection, participants will be briefed on the purpose of the study, assured of confidentiality, and asked to provide informed consent.</w:t>
      </w:r>
    </w:p>
    <w:p w14:paraId="0BE9D8F6">
      <w:pPr>
        <w:tabs>
          <w:tab w:val="left" w:pos="2629"/>
        </w:tabs>
        <w:rPr>
          <w:sz w:val="24"/>
        </w:rPr>
      </w:pPr>
      <w:r>
        <w:rPr>
          <w:sz w:val="24"/>
        </w:rPr>
        <w:t>Questionnaires will be administered first to the selected students and teachers. The researcher will distribute the questionnaires in person and remain present to clarify any questions and ensure proper completion. Students will fill out their questionnaires during school hours in a quiet, supervised setting to minimize distractions. Teachers will be given time during breaks or after lessons to complete their questionnaires. This approach will ensure a high response rate and accurate data collection.</w:t>
      </w:r>
    </w:p>
    <w:p w14:paraId="12E9AD9C">
      <w:pPr>
        <w:tabs>
          <w:tab w:val="left" w:pos="2629"/>
        </w:tabs>
        <w:rPr>
          <w:sz w:val="24"/>
        </w:rPr>
      </w:pPr>
      <w:r>
        <w:rPr>
          <w:sz w:val="24"/>
        </w:rPr>
        <w:t>Following the questionnaires, interviews will be conducted with head teachers and selected parents or guardians. Head teacher interviews will be held in their offices at scheduled times, while parent interviews will be conducted either at the school or in community settings, depending on convenience and availability. All interviews will follow a structured guide and will be recorded (with consent) to ensure accuracy. Field notes will also be taken to capture non-verbal cues and contextual details. The entire data collection process will be completed over a period of four weeks.</w:t>
      </w:r>
    </w:p>
    <w:p w14:paraId="0BAFC309">
      <w:pPr>
        <w:tabs>
          <w:tab w:val="left" w:pos="2629"/>
        </w:tabs>
        <w:rPr>
          <w:sz w:val="24"/>
        </w:rPr>
      </w:pPr>
      <w:r>
        <w:rPr>
          <w:sz w:val="24"/>
        </w:rPr>
        <w:t xml:space="preserve">Before the main data collection, a pilot study will be conducted to test the effectiveness, clarity, and reliability of the research instruments. The pilot is to be carried out in one public day </w:t>
      </w:r>
      <w:r>
        <w:rPr>
          <w:sz w:val="24"/>
          <w:lang w:val="en-US"/>
        </w:rPr>
        <w:t>junior school</w:t>
      </w:r>
      <w:r>
        <w:rPr>
          <w:sz w:val="24"/>
        </w:rPr>
        <w:t xml:space="preserve"> within Lagdera Sub-County that is not included in the final sample. This school will be selected based on its similarity in context and characteristics to the schools participating in the main study. The purpose of the pilot is to identify any ambiguities, inconsistencies, or challenges in administering the questionnaires and interview schedules.</w:t>
      </w:r>
    </w:p>
    <w:p w14:paraId="5AC43811">
      <w:pPr>
        <w:tabs>
          <w:tab w:val="left" w:pos="2629"/>
        </w:tabs>
        <w:rPr>
          <w:sz w:val="24"/>
        </w:rPr>
      </w:pPr>
      <w:r>
        <w:rPr>
          <w:sz w:val="24"/>
        </w:rPr>
        <w:t>A small group of 12 students, 3 teachers, 1 head teacher, and 3 parents will participate in the pilot. The feedback from this group will help the researcher assess whether the questions were understandable, culturally appropriate, and capable of eliciting the intended information. It will also provide an opportunity to evaluate the time required to complete the instruments and the overall flow of the data collection process.</w:t>
      </w:r>
    </w:p>
    <w:p w14:paraId="6724D187">
      <w:pPr>
        <w:tabs>
          <w:tab w:val="left" w:pos="2629"/>
        </w:tabs>
        <w:rPr>
          <w:sz w:val="24"/>
        </w:rPr>
      </w:pPr>
      <w:r>
        <w:rPr>
          <w:sz w:val="24"/>
        </w:rPr>
        <w:t>Based on the findings from the pilot, minor revisions will be made to improve the clarity and structure of the instruments. Some questions are to be re-worded for better comprehension, and the sequencing of items will be adjusted to enhance logical flow. The pilot study thus will play a crucial role in refining the tools and ensure that they are well-suited for the main research, thereby enhancing the validity and reliability of the data to be collected.</w:t>
      </w:r>
    </w:p>
    <w:p w14:paraId="5B25428B">
      <w:pPr>
        <w:tabs>
          <w:tab w:val="left" w:pos="2629"/>
        </w:tabs>
        <w:rPr>
          <w:sz w:val="24"/>
        </w:rPr>
      </w:pPr>
      <w:r>
        <w:rPr>
          <w:sz w:val="24"/>
        </w:rPr>
        <w:t>To ensure the reliability of the research instruments, the study will employ the test-retest method for the questionnaires. This involves administering the same set of questionnaires to a small group of respondents from a school not included in the main study sample, and then re-administering the same instruments after a two-week interval. The consistency of the responses across the two administrations will be analyzed to determine the stability and reliability of the instruments over time.</w:t>
      </w:r>
    </w:p>
    <w:p w14:paraId="36AE56F9">
      <w:pPr>
        <w:tabs>
          <w:tab w:val="left" w:pos="2629"/>
        </w:tabs>
        <w:rPr>
          <w:sz w:val="24"/>
        </w:rPr>
      </w:pPr>
      <w:r>
        <w:rPr>
          <w:sz w:val="24"/>
        </w:rPr>
        <w:t>The reliability coefficient is to be calculated using Cronbach’s Alpha, a statistical measure commonly used to assess internal consistency. A reliability coefficient of 0.7 or higher is to be considered acceptable for this study, indicating that the items in the questionnaire are measuring the same underlying constructs consistently. The results from the pilot test will confirm whether the instruments are reliable and suitable for use in the main study or not suitable.</w:t>
      </w:r>
    </w:p>
    <w:p w14:paraId="0B3282F2">
      <w:pPr>
        <w:tabs>
          <w:tab w:val="left" w:pos="2629"/>
        </w:tabs>
        <w:rPr>
          <w:sz w:val="24"/>
        </w:rPr>
      </w:pPr>
      <w:r>
        <w:rPr>
          <w:sz w:val="24"/>
        </w:rPr>
        <w:t>For the interview schedules, reliability will be ensured through standardization and consistency in the way interviews are conducted. The researcher will use a structured guide with pre-determined questions to ensure that all participants are asked similar questions in a similar manner. Additionally, the researcher will maintain detailed field notes and use audio recordings (with consent) to ensure accuracy and consistency in data collection and analysis.</w:t>
      </w:r>
    </w:p>
    <w:p w14:paraId="0796576A">
      <w:pPr>
        <w:tabs>
          <w:tab w:val="left" w:pos="2629"/>
        </w:tabs>
        <w:rPr>
          <w:sz w:val="24"/>
        </w:rPr>
      </w:pPr>
      <w:r>
        <w:rPr>
          <w:sz w:val="24"/>
        </w:rPr>
        <w:t>To ensure the validity of the research instruments, the study focuses on content validity, which refers to the extent to which the instruments adequately cover the research objectives and questions. The questionnaires and interview schedules are carefully developed based on a thorough review of relevant literature and aligned with the study’s conceptual framework. This helps to ensure that the items to be included are relevant, clear, and capable of capturing the intended data on domestic chores and girls’ dropout rates.</w:t>
      </w:r>
    </w:p>
    <w:p w14:paraId="1706D54F">
      <w:pPr>
        <w:tabs>
          <w:tab w:val="left" w:pos="2629"/>
        </w:tabs>
        <w:rPr>
          <w:sz w:val="24"/>
        </w:rPr>
      </w:pPr>
      <w:r>
        <w:rPr>
          <w:sz w:val="24"/>
        </w:rPr>
        <w:t>To further enhance validity, the instruments are to be reviewed by experts in the fields of education and research methodology. These reviewers include university lecturers and education officers familiar with the context of Lagdera Sub-County. Their feedback will be used to refine the wording, structure, and content of the instruments to eliminate ambiguity and ensure cultural appropriateness and clarity for all participants.</w:t>
      </w:r>
    </w:p>
    <w:p w14:paraId="2FE369E5">
      <w:pPr>
        <w:tabs>
          <w:tab w:val="left" w:pos="2629"/>
        </w:tabs>
        <w:rPr>
          <w:sz w:val="24"/>
        </w:rPr>
      </w:pPr>
      <w:r>
        <w:rPr>
          <w:sz w:val="24"/>
        </w:rPr>
        <w:t xml:space="preserve">Additionally, a pilot study is also to be conducted in one public day </w:t>
      </w:r>
      <w:r>
        <w:rPr>
          <w:sz w:val="24"/>
          <w:lang w:val="en-US"/>
        </w:rPr>
        <w:t>junior school</w:t>
      </w:r>
      <w:r>
        <w:rPr>
          <w:sz w:val="24"/>
        </w:rPr>
        <w:t xml:space="preserve"> that is not part of the main sample. The pilot helps to test the instruments for clarity, relevance, and consistency. Based on the results of the pilot, minor adjustments will be made to improve the instruments’ effectiveness in capturing accurate and meaningful data. This process ensures that the tools are valid and suitable for use in the actual study.</w:t>
      </w:r>
    </w:p>
    <w:p w14:paraId="1252DBC8">
      <w:pPr>
        <w:tabs>
          <w:tab w:val="left" w:pos="2629"/>
        </w:tabs>
        <w:rPr>
          <w:sz w:val="24"/>
        </w:rPr>
      </w:pPr>
      <w:r>
        <w:rPr>
          <w:sz w:val="24"/>
        </w:rPr>
        <w:t xml:space="preserve">The study employs a multi-stage sampling procedure to ensure that the selected participants accurately represent the target population across Lagdera Sub-County. In the first stage, purposive sampling will be used to select 15 public day </w:t>
      </w:r>
      <w:r>
        <w:rPr>
          <w:sz w:val="24"/>
          <w:lang w:val="en-US"/>
        </w:rPr>
        <w:t>junior schools</w:t>
      </w:r>
      <w:r>
        <w:rPr>
          <w:sz w:val="24"/>
        </w:rPr>
        <w:t>. These schools are chosen based on their accessibility, enrollment of girls, and reported cases of absenteeism or dropout, as identified through preliminary consultations with education officers and school administrators.</w:t>
      </w:r>
    </w:p>
    <w:p w14:paraId="7B250205">
      <w:pPr>
        <w:tabs>
          <w:tab w:val="left" w:pos="2629"/>
        </w:tabs>
        <w:rPr>
          <w:sz w:val="24"/>
        </w:rPr>
      </w:pPr>
      <w:r>
        <w:rPr>
          <w:sz w:val="24"/>
        </w:rPr>
        <w:t>In the second stage, stratified random sampling is applied to select 180 girls from the 15 schools, with each school contributing 12 students. The stratification is based on grade level and age to ensure diversity in experiences and perspectives. Within each stratum, students will randomly be selected to minimize bias and enhance the representativeness of the sample. This approach allows the researcher to capture variations in how domestic chores affect girls at different stages of junior secondary education.</w:t>
      </w:r>
    </w:p>
    <w:p w14:paraId="3A01A343">
      <w:pPr>
        <w:tabs>
          <w:tab w:val="left" w:pos="2629"/>
        </w:tabs>
        <w:rPr>
          <w:sz w:val="24"/>
        </w:rPr>
      </w:pPr>
      <w:r>
        <w:rPr>
          <w:sz w:val="24"/>
        </w:rPr>
        <w:t>For the selection of teachers, head teachers, and parents, purposive sampling is used. Three teachers and three parents or guardians are selected from each school based on their direct involvement with the sampled students. Teachers and head teachers are chosen for their knowledge of student attendance and academic performance, while parents are selected based on their willingness to participate and their role in assigning domestic responsibilities at home. This combination of sampling techniques ensures a balanced and contextually rich dataset for analysis.</w:t>
      </w:r>
    </w:p>
    <w:p w14:paraId="52C9DA13">
      <w:pPr>
        <w:tabs>
          <w:tab w:val="left" w:pos="2629"/>
        </w:tabs>
        <w:rPr>
          <w:sz w:val="24"/>
        </w:rPr>
      </w:pPr>
      <w:r>
        <w:rPr>
          <w:sz w:val="24"/>
        </w:rPr>
        <w:t>The study utilizes both questionnaires and interview schedules as the primary data collection instruments, in line with the mixed methods approach. Questionnaires will be administered to students and teachers to gather quantitative data on the extent of domestic chores, school attendance patterns, and perceptions of the relationship between household responsibilities and dropout rates. The questionnaires include both closed-ended and a few open-ended questions to allow for structured responses while also capturing brief qualitative insights.</w:t>
      </w:r>
    </w:p>
    <w:p w14:paraId="4A7008CB">
      <w:pPr>
        <w:tabs>
          <w:tab w:val="left" w:pos="2629"/>
        </w:tabs>
        <w:rPr>
          <w:sz w:val="24"/>
        </w:rPr>
      </w:pPr>
      <w:r>
        <w:rPr>
          <w:sz w:val="24"/>
        </w:rPr>
        <w:t>For students, the questionnaire focuses on the types and frequency of domestic chores they perform, the time spent on these tasks, and how these responsibilities affect their school attendance and academic performance. The teachers’ questionnaire is designed to collect data on observed trends in girls’ absenteeism and dropout, as well as their professional opinions on the influence of domestic chores on students’ education.</w:t>
      </w:r>
    </w:p>
    <w:p w14:paraId="5470DA98">
      <w:pPr>
        <w:tabs>
          <w:tab w:val="left" w:pos="2629"/>
        </w:tabs>
        <w:rPr>
          <w:sz w:val="24"/>
        </w:rPr>
      </w:pPr>
      <w:r>
        <w:rPr>
          <w:sz w:val="24"/>
        </w:rPr>
        <w:t>To complement the questionnaires, interview schedules are used to collect qualitative data from head teachers and selected parents or guardians. The interviews with head teachers explore school-level data on dropout rates, interventions in place, and their views on the socio-cultural factors affecting girls’ education. Interviews with parents and guardians will provide deeper insights into household expectations, cultural norms, and the rationale behind assigning domestic responsibilities to school-going girls. These instruments are carefully designed to ensure clarity, relevance, and cultural sensitivity.</w:t>
      </w:r>
    </w:p>
    <w:p w14:paraId="6613AAD8">
      <w:pPr>
        <w:rPr>
          <w:rFonts w:ascii="Times New Roman" w:hAnsi="Times New Roman" w:cs="Times New Roman"/>
          <w:sz w:val="24"/>
          <w:szCs w:val="24"/>
        </w:rPr>
      </w:pPr>
      <w:r>
        <w:rPr>
          <w:rFonts w:ascii="Times New Roman" w:hAnsi="Times New Roman" w:cs="Times New Roman"/>
          <w:sz w:val="24"/>
          <w:szCs w:val="24"/>
        </w:rPr>
        <w:t xml:space="preserve">The sample size will be determined using </w:t>
      </w:r>
      <w:r>
        <w:rPr>
          <w:rFonts w:ascii="Times New Roman" w:hAnsi="Times New Roman" w:cs="Times New Roman"/>
          <w:bCs/>
          <w:sz w:val="24"/>
          <w:szCs w:val="24"/>
        </w:rPr>
        <w:t>Yamane’s formula (1967)</w:t>
      </w:r>
      <w:r>
        <w:rPr>
          <w:rFonts w:ascii="Times New Roman" w:hAnsi="Times New Roman" w:cs="Times New Roman"/>
          <w:sz w:val="24"/>
          <w:szCs w:val="24"/>
        </w:rPr>
        <w:t xml:space="preserve"> for finite populations: e</w:t>
      </w:r>
      <w:r>
        <w:rPr>
          <w:rFonts w:ascii="Times New Roman" w:hAnsi="Times New Roman" w:cs="Times New Roman"/>
          <w:sz w:val="24"/>
          <w:szCs w:val="24"/>
          <w:vertAlign w:val="superscript"/>
        </w:rPr>
        <w:t>2</w:t>
      </w:r>
    </w:p>
    <w:p w14:paraId="661864C2">
      <w:pPr>
        <w:rPr>
          <w:rFonts w:ascii="Times New Roman" w:hAnsi="Times New Roman" w:cs="Times New Roman"/>
          <w:sz w:val="24"/>
          <w:szCs w:val="24"/>
        </w:rPr>
      </w:pPr>
      <m:oMathPara>
        <m:oMath>
          <m:r>
            <m:rPr>
              <m:nor/>
              <m:sty m:val="p"/>
            </m:rPr>
            <w:rPr>
              <w:rFonts w:ascii="Times New Roman" w:hAnsi="Times New Roman" w:cs="Times New Roman"/>
              <w:b w:val="0"/>
              <w:i w:val="0"/>
              <w:sz w:val="24"/>
              <w:szCs w:val="24"/>
            </w:rPr>
            <m:t>n=</m:t>
          </m:r>
          <m:f>
            <m:fPr>
              <m:ctrlPr>
                <w:rPr>
                  <w:rFonts w:ascii="Cambria Math" w:hAnsi="Cambria Math" w:cs="Times New Roman"/>
                  <w:sz w:val="24"/>
                  <w:szCs w:val="24"/>
                </w:rPr>
              </m:ctrlPr>
            </m:fPr>
            <m:num>
              <m:r>
                <m:rPr>
                  <m:nor/>
                  <m:sty m:val="p"/>
                </m:rPr>
                <w:rPr>
                  <w:rFonts w:ascii="Times New Roman" w:hAnsi="Times New Roman" w:cs="Times New Roman"/>
                  <w:b w:val="0"/>
                  <w:i w:val="0"/>
                  <w:sz w:val="24"/>
                  <w:szCs w:val="24"/>
                </w:rPr>
                <m:t>N</m:t>
              </m:r>
              <m:ctrlPr>
                <w:rPr>
                  <w:rFonts w:ascii="Cambria Math" w:hAnsi="Cambria Math" w:cs="Times New Roman"/>
                  <w:sz w:val="24"/>
                  <w:szCs w:val="24"/>
                </w:rPr>
              </m:ctrlPr>
            </m:num>
            <m:den>
              <m:r>
                <m:rPr>
                  <m:nor/>
                  <m:sty m:val="p"/>
                </m:rPr>
                <w:rPr>
                  <w:rFonts w:ascii="Times New Roman" w:hAnsi="Times New Roman" w:cs="Times New Roman"/>
                  <w:b w:val="0"/>
                  <w:i w:val="0"/>
                  <w:sz w:val="24"/>
                  <w:szCs w:val="24"/>
                </w:rPr>
                <m:t>1 + N(e)</m:t>
              </m:r>
              <m:r>
                <m:rPr>
                  <m:nor/>
                  <m:sty m:val="p"/>
                </m:rPr>
                <w:rPr>
                  <w:rFonts w:ascii="Times New Roman" w:hAnsi="Times New Roman" w:cs="Times New Roman"/>
                  <w:b w:val="0"/>
                  <w:i w:val="0"/>
                  <w:sz w:val="24"/>
                  <w:szCs w:val="24"/>
                  <w:vertAlign w:val="superscript"/>
                </w:rPr>
                <m:t>2</m:t>
              </m:r>
              <m:ctrlPr>
                <w:rPr>
                  <w:rFonts w:ascii="Cambria Math" w:hAnsi="Cambria Math" w:cs="Times New Roman"/>
                  <w:sz w:val="24"/>
                  <w:szCs w:val="24"/>
                </w:rPr>
              </m:ctrlPr>
            </m:den>
          </m:f>
        </m:oMath>
      </m:oMathPara>
    </w:p>
    <w:p w14:paraId="678FEC6A">
      <w:pPr>
        <w:rPr>
          <w:rFonts w:ascii="Times New Roman" w:hAnsi="Times New Roman" w:cs="Times New Roman"/>
          <w:sz w:val="24"/>
          <w:szCs w:val="24"/>
        </w:rPr>
      </w:pPr>
      <w:r>
        <w:rPr>
          <w:rFonts w:ascii="Times New Roman" w:hAnsi="Times New Roman" w:cs="Times New Roman"/>
          <w:sz w:val="24"/>
          <w:szCs w:val="24"/>
        </w:rPr>
        <w:t xml:space="preserve">Where: </w:t>
      </w:r>
      <w:r>
        <w:rPr>
          <w:rFonts w:ascii="Times New Roman" w:hAnsi="Times New Roman" w:cs="Times New Roman"/>
          <w:iCs/>
          <w:sz w:val="24"/>
          <w:szCs w:val="24"/>
        </w:rPr>
        <w:t>n</w:t>
      </w:r>
      <w:r>
        <w:rPr>
          <w:rFonts w:ascii="Times New Roman" w:hAnsi="Times New Roman" w:cs="Times New Roman"/>
          <w:sz w:val="24"/>
          <w:szCs w:val="24"/>
        </w:rPr>
        <w:t xml:space="preserve"> = desired sample size, </w:t>
      </w:r>
      <w:r>
        <w:rPr>
          <w:rFonts w:ascii="Times New Roman" w:hAnsi="Times New Roman" w:cs="Times New Roman"/>
          <w:iCs/>
          <w:sz w:val="24"/>
          <w:szCs w:val="24"/>
        </w:rPr>
        <w:t>N</w:t>
      </w:r>
      <w:r>
        <w:rPr>
          <w:rFonts w:ascii="Times New Roman" w:hAnsi="Times New Roman" w:cs="Times New Roman"/>
          <w:sz w:val="24"/>
          <w:szCs w:val="24"/>
        </w:rPr>
        <w:t xml:space="preserve"> = estimated population size, </w:t>
      </w:r>
      <w:r>
        <w:rPr>
          <w:rFonts w:ascii="Times New Roman" w:hAnsi="Times New Roman" w:cs="Times New Roman"/>
          <w:iCs/>
          <w:sz w:val="24"/>
          <w:szCs w:val="24"/>
        </w:rPr>
        <w:t>e</w:t>
      </w:r>
      <w:r>
        <w:rPr>
          <w:rFonts w:ascii="Times New Roman" w:hAnsi="Times New Roman" w:cs="Times New Roman"/>
          <w:sz w:val="24"/>
          <w:szCs w:val="24"/>
        </w:rPr>
        <w:t xml:space="preserve"> = level of precision (usually set </w:t>
      </w:r>
    </w:p>
    <w:p w14:paraId="6D92744A">
      <w:pPr>
        <w:rPr>
          <w:rFonts w:ascii="Times New Roman" w:hAnsi="Times New Roman" w:cs="Times New Roman"/>
          <w:sz w:val="24"/>
          <w:szCs w:val="24"/>
        </w:rPr>
      </w:pPr>
      <w:r>
        <w:rPr>
          <w:rFonts w:ascii="Times New Roman" w:hAnsi="Times New Roman" w:cs="Times New Roman"/>
          <w:sz w:val="24"/>
          <w:szCs w:val="24"/>
        </w:rPr>
        <w:t>at 0.05 for 95% confidence)</w:t>
      </w:r>
    </w:p>
    <w:p w14:paraId="47D5C610">
      <w:pPr>
        <w:rPr>
          <w:rFonts w:ascii="Times New Roman" w:hAnsi="Times New Roman" w:cs="Times New Roman"/>
          <w:sz w:val="24"/>
          <w:szCs w:val="24"/>
        </w:rPr>
      </w:pPr>
      <w:r>
        <w:rPr>
          <w:rFonts w:ascii="Times New Roman" w:hAnsi="Times New Roman" w:cs="Times New Roman"/>
          <w:sz w:val="24"/>
          <w:szCs w:val="24"/>
        </w:rPr>
        <w:t xml:space="preserve">The total target population is approximately </w:t>
      </w:r>
      <w:r>
        <w:rPr>
          <w:rFonts w:ascii="Times New Roman" w:hAnsi="Times New Roman" w:cs="Times New Roman"/>
          <w:bCs/>
          <w:sz w:val="24"/>
          <w:szCs w:val="24"/>
        </w:rPr>
        <w:t>990</w:t>
      </w:r>
      <w:r>
        <w:rPr>
          <w:rFonts w:ascii="Times New Roman" w:hAnsi="Times New Roman" w:cs="Times New Roman"/>
          <w:sz w:val="24"/>
          <w:szCs w:val="24"/>
        </w:rPr>
        <w:t>, and using a 95% confidence level:</w:t>
      </w:r>
    </w:p>
    <w:p w14:paraId="69497D88">
      <w:pPr>
        <w:rPr>
          <w:rFonts w:ascii="Times New Roman" w:hAnsi="Times New Roman" w:cs="Times New Roman"/>
          <w:sz w:val="24"/>
          <w:szCs w:val="24"/>
        </w:rPr>
      </w:pPr>
      <m:oMath>
        <m:r>
          <m:rPr>
            <m:nor/>
            <m:sty m:val="p"/>
          </m:rPr>
          <w:rPr>
            <w:rFonts w:ascii="Times New Roman" w:hAnsi="Times New Roman" w:cs="Times New Roman"/>
            <w:b w:val="0"/>
            <w:i w:val="0"/>
            <w:sz w:val="24"/>
            <w:szCs w:val="24"/>
          </w:rPr>
          <m:t xml:space="preserve">n = </m:t>
        </m:r>
        <m:f>
          <m:fPr>
            <m:ctrlPr>
              <w:rPr>
                <w:rFonts w:ascii="Cambria Math" w:hAnsi="Cambria Math" w:cs="Times New Roman"/>
                <w:sz w:val="24"/>
                <w:szCs w:val="24"/>
              </w:rPr>
            </m:ctrlPr>
          </m:fPr>
          <m:num>
            <m:r>
              <m:rPr>
                <m:nor/>
                <m:sty m:val="p"/>
              </m:rPr>
              <w:rPr>
                <w:rFonts w:ascii="Times New Roman" w:hAnsi="Times New Roman" w:cs="Times New Roman"/>
                <w:b w:val="0"/>
                <w:i w:val="0"/>
                <w:sz w:val="24"/>
                <w:szCs w:val="24"/>
              </w:rPr>
              <m:t>990</m:t>
            </m:r>
            <m:ctrlPr>
              <w:rPr>
                <w:rFonts w:ascii="Cambria Math" w:hAnsi="Cambria Math" w:cs="Times New Roman"/>
                <w:sz w:val="24"/>
                <w:szCs w:val="24"/>
              </w:rPr>
            </m:ctrlPr>
          </m:num>
          <m:den>
            <m:r>
              <m:rPr>
                <m:nor/>
                <m:sty m:val="p"/>
              </m:rPr>
              <w:rPr>
                <w:rFonts w:ascii="Times New Roman" w:hAnsi="Times New Roman" w:cs="Times New Roman"/>
                <w:b w:val="0"/>
                <w:i w:val="0"/>
                <w:sz w:val="24"/>
                <w:szCs w:val="24"/>
              </w:rPr>
              <m:t>1 + 990(0.05*0.05)</m:t>
            </m:r>
            <m:ctrlPr>
              <w:rPr>
                <w:rFonts w:ascii="Cambria Math" w:hAnsi="Cambria Math" w:cs="Times New Roman"/>
                <w:sz w:val="24"/>
                <w:szCs w:val="24"/>
              </w:rPr>
            </m:ctrlPr>
          </m:den>
        </m:f>
      </m:oMath>
      <w:r>
        <w:rPr>
          <w:rFonts w:ascii="Times New Roman" w:hAnsi="Times New Roman" w:cs="Times New Roman"/>
          <w:sz w:val="24"/>
          <w:szCs w:val="24"/>
        </w:rPr>
        <w:t xml:space="preserve">  = 285</w:t>
      </w:r>
    </w:p>
    <w:p w14:paraId="0DB2E336">
      <w:pPr>
        <w:rPr>
          <w:rFonts w:ascii="Times New Roman" w:hAnsi="Times New Roman" w:cs="Times New Roman"/>
          <w:sz w:val="24"/>
          <w:szCs w:val="24"/>
        </w:rPr>
      </w:pPr>
      <w:r>
        <w:rPr>
          <w:rFonts w:ascii="Times New Roman" w:hAnsi="Times New Roman" w:cs="Times New Roman"/>
          <w:sz w:val="24"/>
          <w:szCs w:val="24"/>
        </w:rPr>
        <w:t xml:space="preserve">Thus, a sample size of approximately </w:t>
      </w:r>
      <w:r>
        <w:rPr>
          <w:rFonts w:ascii="Times New Roman" w:hAnsi="Times New Roman" w:cs="Times New Roman"/>
          <w:bCs/>
          <w:sz w:val="24"/>
          <w:szCs w:val="24"/>
        </w:rPr>
        <w:t>285 respondents</w:t>
      </w:r>
      <w:r>
        <w:rPr>
          <w:rFonts w:ascii="Times New Roman" w:hAnsi="Times New Roman" w:cs="Times New Roman"/>
          <w:sz w:val="24"/>
          <w:szCs w:val="24"/>
        </w:rPr>
        <w:t xml:space="preserve"> will be selected, distributed as follows:</w:t>
      </w:r>
    </w:p>
    <w:p w14:paraId="1C147DEB">
      <w:pPr>
        <w:rPr>
          <w:rFonts w:ascii="Times New Roman" w:hAnsi="Times New Roman" w:cs="Times New Roman"/>
          <w:sz w:val="24"/>
          <w:szCs w:val="24"/>
        </w:rPr>
      </w:pPr>
      <w:r>
        <w:rPr>
          <w:rFonts w:ascii="Times New Roman" w:hAnsi="Times New Roman" w:cs="Times New Roman"/>
          <w:bCs/>
          <w:sz w:val="24"/>
          <w:szCs w:val="24"/>
        </w:rPr>
        <w:t>180 students</w:t>
      </w:r>
      <w:r>
        <w:rPr>
          <w:rFonts w:ascii="Times New Roman" w:hAnsi="Times New Roman" w:cs="Times New Roman"/>
          <w:sz w:val="24"/>
          <w:szCs w:val="24"/>
        </w:rPr>
        <w:t xml:space="preserve"> (girls in junior secondary)</w:t>
      </w:r>
    </w:p>
    <w:p w14:paraId="7C21DC67">
      <w:pPr>
        <w:tabs>
          <w:tab w:val="left" w:pos="2629"/>
        </w:tabs>
        <w:rPr>
          <w:sz w:val="24"/>
        </w:rPr>
      </w:pPr>
      <w:r>
        <w:rPr>
          <w:sz w:val="24"/>
        </w:rPr>
        <w:t>45 parents</w:t>
      </w:r>
    </w:p>
    <w:p w14:paraId="5D7A75C8">
      <w:pPr>
        <w:tabs>
          <w:tab w:val="left" w:pos="2629"/>
        </w:tabs>
        <w:rPr>
          <w:sz w:val="24"/>
        </w:rPr>
      </w:pPr>
      <w:r>
        <w:rPr>
          <w:sz w:val="24"/>
        </w:rPr>
        <w:t>45 teachers and 15 Head of Institutions (HOIs)</w:t>
      </w:r>
    </w:p>
    <w:p w14:paraId="4B66188E">
      <w:pPr>
        <w:tabs>
          <w:tab w:val="left" w:pos="2629"/>
        </w:tabs>
        <w:rPr>
          <w:sz w:val="24"/>
        </w:rPr>
      </w:pPr>
      <w:r>
        <w:rPr>
          <w:sz w:val="24"/>
        </w:rPr>
        <w:t xml:space="preserve">This stratified distribution ensures representation across key stakeholders while maintaining statistical reliability. A total of  15 junior day schools will be selected, 285 participants will be selected from these schools, comprising 180 girls from public day </w:t>
      </w:r>
      <w:r>
        <w:rPr>
          <w:sz w:val="24"/>
          <w:lang w:val="en-US"/>
        </w:rPr>
        <w:t>junior schools</w:t>
      </w:r>
      <w:r>
        <w:rPr>
          <w:sz w:val="24"/>
        </w:rPr>
        <w:t>, 45 teachers and 15 head teachers, and 45 parents or guardians shared equally across grade 7, grade 8 and grade 9. This sample is considered adequate to provide diverse perspectives and ensure the reliability of the findings.</w:t>
      </w:r>
    </w:p>
    <w:p w14:paraId="0BBB1697">
      <w:pPr>
        <w:tabs>
          <w:tab w:val="left" w:pos="2629"/>
        </w:tabs>
        <w:rPr>
          <w:sz w:val="24"/>
        </w:rPr>
      </w:pPr>
      <w:r>
        <w:rPr>
          <w:sz w:val="24"/>
        </w:rPr>
        <w:t xml:space="preserve">The selection of  180 girls is guided by the need to capture a range of experiences across different schools and grade levels. These students are chosen from 15 public day </w:t>
      </w:r>
      <w:r>
        <w:rPr>
          <w:sz w:val="24"/>
          <w:lang w:val="en-US"/>
        </w:rPr>
        <w:t>junior schools</w:t>
      </w:r>
      <w:r>
        <w:rPr>
          <w:sz w:val="24"/>
        </w:rPr>
        <w:t>, with 12 girls sampled from each school. This approach will allow for a balanced representation of the student population and ensure that the data reflects variations in domestic responsibilities and school attendance patterns.</w:t>
      </w:r>
    </w:p>
    <w:p w14:paraId="14B6955C">
      <w:pPr>
        <w:tabs>
          <w:tab w:val="left" w:pos="2629"/>
        </w:tabs>
        <w:rPr>
          <w:sz w:val="24"/>
        </w:rPr>
      </w:pPr>
      <w:r>
        <w:rPr>
          <w:sz w:val="24"/>
        </w:rPr>
        <w:t>For the teachers, head teachers, and parents, 3 class teachers and 3 parents each from grade 7,8 and 9 will be selected from each of the 15 schools. This ensures that each school contributes equally to the adult perspectives in the study. The sample size is manageable for in-depth data collection while still providing sufficient breadth to identify common themes and trends. The chosen sample size also aligns with the mixed methods approach, allowing for both quantitative analysis and qualitative depth.</w:t>
      </w:r>
    </w:p>
    <w:p w14:paraId="02AFA014">
      <w:pPr>
        <w:tabs>
          <w:tab w:val="left" w:pos="2629"/>
        </w:tabs>
        <w:rPr>
          <w:sz w:val="24"/>
        </w:rPr>
      </w:pPr>
      <w:r>
        <w:rPr>
          <w:sz w:val="24"/>
        </w:rPr>
        <w:t xml:space="preserve">The primary target population for this study is girls enrolled in public day </w:t>
      </w:r>
      <w:r>
        <w:rPr>
          <w:sz w:val="24"/>
          <w:lang w:val="en-US"/>
        </w:rPr>
        <w:t>junior schools</w:t>
      </w:r>
      <w:r>
        <w:rPr>
          <w:sz w:val="24"/>
        </w:rPr>
        <w:t xml:space="preserve"> within Lagdera Sub-County, Garissa County. These girls are selected because they are directly affected by the issue under investigation; balancing domestic chores with academic responsibilities. This group will provide firsthand insights into how household duties influence their school attendance, academic performance, and decisions to remain in or drop out of school.</w:t>
      </w:r>
    </w:p>
    <w:p w14:paraId="71071533">
      <w:pPr>
        <w:tabs>
          <w:tab w:val="left" w:pos="2629"/>
        </w:tabs>
        <w:rPr>
          <w:sz w:val="24"/>
        </w:rPr>
      </w:pPr>
      <w:r>
        <w:rPr>
          <w:sz w:val="24"/>
        </w:rPr>
        <w:t>In addition to the students, the study will also target teachers and head teachers from the schools to be selected. These educators play a critical role in monitoring student attendance and academic progress, and they possess valuable perspectives on the patterns and causes of dropout among girls. Their professional observations and experiences will help to contextualize the data to be collected from students and provide a broader understanding of the institutional challenges faced by schools in addressing gender disparities in education.</w:t>
      </w:r>
    </w:p>
    <w:p w14:paraId="00EA36E5">
      <w:pPr>
        <w:tabs>
          <w:tab w:val="left" w:pos="2629"/>
        </w:tabs>
        <w:rPr>
          <w:sz w:val="24"/>
        </w:rPr>
      </w:pPr>
      <w:r>
        <w:rPr>
          <w:sz w:val="24"/>
        </w:rPr>
        <w:t>The study will be conducted in Lagdera Sub-County, one of the administrative units in Garissa County, located in the northeastern region of Kenya. Lagdera is characterized by its arid and semi-arid climate, sparse population, and predominantly pastoralist communities. The sub-county faces numerous socio-economic challenges, including limited access to education, especially for girls.</w:t>
      </w:r>
    </w:p>
    <w:p w14:paraId="19E40D68">
      <w:pPr>
        <w:tabs>
          <w:tab w:val="left" w:pos="2629"/>
        </w:tabs>
        <w:rPr>
          <w:sz w:val="24"/>
        </w:rPr>
      </w:pPr>
      <w:r>
        <w:rPr>
          <w:sz w:val="24"/>
        </w:rPr>
        <w:t xml:space="preserve">Lagdera was selected as the study location due to its high rates of school dropout among girls, which are often attributed to socio-cultural practices, poverty, and the burden of domestic chores. Public day </w:t>
      </w:r>
      <w:r>
        <w:rPr>
          <w:sz w:val="24"/>
          <w:lang w:val="en-US"/>
        </w:rPr>
        <w:t>junior schools</w:t>
      </w:r>
      <w:r>
        <w:rPr>
          <w:sz w:val="24"/>
        </w:rPr>
        <w:t xml:space="preserve"> in this region serve as critical access points for education, yet many girls struggle to remain enrolled due to competing responsibilities at home.</w:t>
      </w:r>
    </w:p>
    <w:p w14:paraId="3167C0B3">
      <w:pPr>
        <w:tabs>
          <w:tab w:val="left" w:pos="2629"/>
        </w:tabs>
        <w:rPr>
          <w:sz w:val="24"/>
        </w:rPr>
      </w:pPr>
      <w:r>
        <w:rPr>
          <w:sz w:val="24"/>
        </w:rPr>
        <w:t>The choice of this location was also influenced by the need to generate context-specific data that can inform targeted interventions and policy decisions aimed at improving girls’ education outcomes in marginalized and underserved areas.</w:t>
      </w:r>
    </w:p>
    <w:p w14:paraId="1B1243A9">
      <w:pPr>
        <w:tabs>
          <w:tab w:val="left" w:pos="2629"/>
        </w:tabs>
        <w:rPr>
          <w:sz w:val="24"/>
        </w:rPr>
      </w:pPr>
      <w:r>
        <w:rPr>
          <w:sz w:val="24"/>
        </w:rPr>
        <w:t>enable the researcher to gather standardized information on the extent and nature of domestic chores assigned to girls, as well as the patterns and rates of school dropout.</w:t>
      </w:r>
    </w:p>
    <w:p w14:paraId="198342C5">
      <w:pPr>
        <w:tabs>
          <w:tab w:val="left" w:pos="2629"/>
        </w:tabs>
        <w:rPr>
          <w:sz w:val="24"/>
        </w:rPr>
      </w:pPr>
      <w:r>
        <w:rPr>
          <w:sz w:val="24"/>
        </w:rPr>
        <w:t>In addition, a correlational design is employed to determine the strength and direction of the relationship between domestic chores and girls’ dropout rates. This aspect of the design will allow the researcher to statistically analyze whether increased domestic responsibilities are associated with higher dropout rates among girls.</w:t>
      </w:r>
    </w:p>
    <w:p w14:paraId="4B40B356">
      <w:pPr>
        <w:tabs>
          <w:tab w:val="left" w:pos="2629"/>
        </w:tabs>
        <w:rPr>
          <w:sz w:val="24"/>
        </w:rPr>
      </w:pPr>
      <w:r>
        <w:rPr>
          <w:sz w:val="24"/>
        </w:rPr>
        <w:t>The combination of these designs under the pragmatic paradigm provides a comprehensive understanding of the issue by capturing both numerical trends and contextual insights. It also facilitates triangulation of data, enhancing the validity and reliability of the findings.</w:t>
      </w:r>
    </w:p>
    <w:p w14:paraId="6008CB40">
      <w:pPr>
        <w:tabs>
          <w:tab w:val="left" w:pos="2629"/>
        </w:tabs>
        <w:rPr>
          <w:sz w:val="24"/>
        </w:rPr>
      </w:pPr>
      <w:r>
        <w:rPr>
          <w:sz w:val="24"/>
        </w:rPr>
        <w:t>The third group to be included is selected parents or guardians of the girls. Their inclusion is essential in understanding the socio-cultural and economic dynamics that shape girls’ roles within the household. Parents and guardians influence the distribution of domestic responsibilities and decisions related to education. Their views will help to uncover the underlying beliefs and practices that contribute to the burden of domestic chores and its impact on girls’ schooling.</w:t>
      </w:r>
    </w:p>
    <w:p w14:paraId="0416B936">
      <w:pPr>
        <w:tabs>
          <w:tab w:val="left" w:pos="2629"/>
        </w:tabs>
        <w:rPr>
          <w:sz w:val="24"/>
        </w:rPr>
      </w:pPr>
      <w:r>
        <w:rPr>
          <w:sz w:val="24"/>
        </w:rPr>
        <w:t xml:space="preserve">a broad sample of students, teachers, and parents in public day </w:t>
      </w:r>
      <w:r>
        <w:rPr>
          <w:sz w:val="24"/>
          <w:lang w:val="en-US"/>
        </w:rPr>
        <w:t>junior schools</w:t>
      </w:r>
      <w:r>
        <w:rPr>
          <w:sz w:val="24"/>
        </w:rPr>
        <w:t xml:space="preserve"> in Lagdera Sub-County. This design will enable the researcher to gather standardized information on the extent and nature of domestic chores assigned to girls, as well as the patterns and rates of school dropout.</w:t>
      </w:r>
    </w:p>
    <w:p w14:paraId="63984C07">
      <w:pPr>
        <w:tabs>
          <w:tab w:val="left" w:pos="2629"/>
        </w:tabs>
        <w:rPr>
          <w:sz w:val="24"/>
        </w:rPr>
      </w:pPr>
      <w:r>
        <w:rPr>
          <w:sz w:val="24"/>
        </w:rPr>
        <w:t>In addition, a correlational design is employed to determine the strength and direction of the relationship between domestic chores and girls’ dropout rates. This aspect of the design will allow the researcher to statistically analyze whether increased domestic responsibilities are associated with higher dropout rates among girls.</w:t>
      </w:r>
    </w:p>
    <w:p w14:paraId="403D06BC">
      <w:pPr>
        <w:tabs>
          <w:tab w:val="left" w:pos="2629"/>
        </w:tabs>
        <w:rPr>
          <w:sz w:val="24"/>
        </w:rPr>
      </w:pPr>
      <w:r>
        <w:rPr>
          <w:sz w:val="24"/>
        </w:rPr>
        <w:t>The combination of these designs under the pragmatic paradigm provides a comprehensive understanding of the issue by capturing both numerical trends and contextual insights. It also facilitates triangulation of data, enhancing the validity and reliability of the findings.</w:t>
      </w:r>
    </w:p>
    <w:p w14:paraId="168E8C84">
      <w:pPr>
        <w:tabs>
          <w:tab w:val="left" w:pos="2629"/>
        </w:tabs>
        <w:rPr>
          <w:b/>
          <w:sz w:val="24"/>
        </w:rPr>
      </w:pPr>
      <w:r>
        <w:rPr>
          <w:b/>
          <w:sz w:val="24"/>
        </w:rPr>
        <w:t>3.4 Location of the Study</w:t>
      </w:r>
    </w:p>
    <w:p w14:paraId="35781E8D">
      <w:pPr>
        <w:tabs>
          <w:tab w:val="left" w:pos="2629"/>
        </w:tabs>
        <w:rPr>
          <w:sz w:val="24"/>
        </w:rPr>
      </w:pPr>
      <w:r>
        <w:rPr>
          <w:sz w:val="24"/>
        </w:rPr>
        <w:t>The study will be conducted in Lagdera Sub-County, one of the administrative units in Garissa County, located in the northeastern region of Kenya. Lagdera is characterized by its arid and semi-arid climate, sparse population, and predominantly pastoralist communities. The sub-county faces numerous socio-economic challenges, including limited access to education, especially for girls.</w:t>
      </w:r>
    </w:p>
    <w:p w14:paraId="469F298E">
      <w:pPr>
        <w:tabs>
          <w:tab w:val="left" w:pos="2629"/>
        </w:tabs>
        <w:rPr>
          <w:sz w:val="24"/>
        </w:rPr>
      </w:pPr>
      <w:r>
        <w:rPr>
          <w:sz w:val="24"/>
        </w:rPr>
        <w:t xml:space="preserve">Lagdera was selected as the study location due to its high rates of school dropout among girls, which are often attributed to socio-cultural practices, poverty, and the burden of domestic chores. Public day </w:t>
      </w:r>
      <w:r>
        <w:rPr>
          <w:sz w:val="24"/>
          <w:lang w:val="en-US"/>
        </w:rPr>
        <w:t>junior schools</w:t>
      </w:r>
      <w:r>
        <w:rPr>
          <w:sz w:val="24"/>
        </w:rPr>
        <w:t xml:space="preserve"> in this region serve as critical access points for education, yet many girls struggle to remain enrolled due to competing responsibilities at home.</w:t>
      </w:r>
    </w:p>
    <w:p w14:paraId="65728959">
      <w:pPr>
        <w:tabs>
          <w:tab w:val="left" w:pos="2629"/>
        </w:tabs>
        <w:rPr>
          <w:sz w:val="24"/>
        </w:rPr>
      </w:pPr>
      <w:r>
        <w:rPr>
          <w:sz w:val="24"/>
        </w:rPr>
        <w:t>The choice of this location was also influenced by the need to generate context-specific data that can inform targeted interventions and policy decisions aimed at improving girls’ education outcomes in marginalized and underserved areas.</w:t>
      </w:r>
    </w:p>
    <w:p w14:paraId="46C03A7D">
      <w:pPr>
        <w:tabs>
          <w:tab w:val="left" w:pos="2629"/>
        </w:tabs>
        <w:rPr>
          <w:b/>
          <w:sz w:val="24"/>
        </w:rPr>
      </w:pPr>
      <w:r>
        <w:rPr>
          <w:b/>
          <w:sz w:val="24"/>
        </w:rPr>
        <w:t>3.5 Target Population</w:t>
      </w:r>
    </w:p>
    <w:p w14:paraId="587B4AAA">
      <w:pPr>
        <w:tabs>
          <w:tab w:val="left" w:pos="2629"/>
        </w:tabs>
        <w:rPr>
          <w:sz w:val="24"/>
        </w:rPr>
      </w:pPr>
      <w:r>
        <w:rPr>
          <w:sz w:val="24"/>
        </w:rPr>
        <w:t xml:space="preserve">The primary target population for this study is girls enrolled in public day </w:t>
      </w:r>
      <w:r>
        <w:rPr>
          <w:sz w:val="24"/>
          <w:lang w:val="en-US"/>
        </w:rPr>
        <w:t>junior schools</w:t>
      </w:r>
      <w:r>
        <w:rPr>
          <w:sz w:val="24"/>
        </w:rPr>
        <w:t xml:space="preserve"> within Lagdera Sub-County, Garissa County. These girls are selected because they are directly affected by the issue under investigation; balancing domestic chores with academic responsibilities. This group will provide firsthand insights into how household duties influence their school attendance, academic performance, and decisions to remain in or drop out of school.</w:t>
      </w:r>
    </w:p>
    <w:p w14:paraId="4C2A6FFA">
      <w:pPr>
        <w:tabs>
          <w:tab w:val="left" w:pos="2629"/>
        </w:tabs>
        <w:rPr>
          <w:sz w:val="24"/>
        </w:rPr>
      </w:pPr>
      <w:r>
        <w:rPr>
          <w:sz w:val="24"/>
        </w:rPr>
        <w:t>In addition to the students, the study will also target teachers and head teachers from the schools to be selected. These educators play a critical role in monitoring student attendance and academic progress, and they possess valuable perspectives on the patterns and causes of dropout among girls. Their professional observations and experiences will help to contextualize the data to be collected from students and provide a broader understanding of the institutional challenges faced by schools in addressing gender disparities in education.</w:t>
      </w:r>
    </w:p>
    <w:p w14:paraId="4990EE41">
      <w:pPr>
        <w:tabs>
          <w:tab w:val="left" w:pos="2629"/>
        </w:tabs>
        <w:rPr>
          <w:sz w:val="24"/>
        </w:rPr>
      </w:pPr>
      <w:r>
        <w:rPr>
          <w:sz w:val="24"/>
        </w:rPr>
        <w:t>The third group to be included is selected parents or guardians of the girls. Their inclusion is essential in understanding the socio-cultural and economic dynamics that shape girls’ roles within the household. Parents and guardians influence the distribution of domestic responsibilities and decisions related to education. Their views will help to uncover the underlying beliefs and practices that contribute to the burden of domestic chores and its impact on girls’ schooling.</w:t>
      </w:r>
    </w:p>
    <w:p w14:paraId="73BF7681">
      <w:pPr>
        <w:tabs>
          <w:tab w:val="left" w:pos="2629"/>
        </w:tabs>
        <w:rPr>
          <w:b/>
          <w:sz w:val="24"/>
        </w:rPr>
      </w:pPr>
      <w:r>
        <w:rPr>
          <w:b/>
          <w:sz w:val="24"/>
        </w:rPr>
        <w:t>3.6 Sample Size</w:t>
      </w:r>
    </w:p>
    <w:p w14:paraId="781E7B99">
      <w:pPr>
        <w:rPr>
          <w:rFonts w:ascii="Times New Roman" w:hAnsi="Times New Roman" w:cs="Times New Roman"/>
          <w:sz w:val="24"/>
          <w:szCs w:val="24"/>
        </w:rPr>
      </w:pPr>
      <w:r>
        <w:rPr>
          <w:rFonts w:ascii="Times New Roman" w:hAnsi="Times New Roman" w:cs="Times New Roman"/>
          <w:sz w:val="24"/>
          <w:szCs w:val="24"/>
        </w:rPr>
        <w:t xml:space="preserve">The sample size will be determined using </w:t>
      </w:r>
      <w:r>
        <w:rPr>
          <w:rFonts w:ascii="Times New Roman" w:hAnsi="Times New Roman" w:cs="Times New Roman"/>
          <w:bCs/>
          <w:sz w:val="24"/>
          <w:szCs w:val="24"/>
        </w:rPr>
        <w:t>Yamane’s formula (1967)</w:t>
      </w:r>
      <w:r>
        <w:rPr>
          <w:rFonts w:ascii="Times New Roman" w:hAnsi="Times New Roman" w:cs="Times New Roman"/>
          <w:sz w:val="24"/>
          <w:szCs w:val="24"/>
        </w:rPr>
        <w:t xml:space="preserve"> for finite populations: e</w:t>
      </w:r>
      <w:r>
        <w:rPr>
          <w:rFonts w:ascii="Times New Roman" w:hAnsi="Times New Roman" w:cs="Times New Roman"/>
          <w:sz w:val="24"/>
          <w:szCs w:val="24"/>
          <w:vertAlign w:val="superscript"/>
        </w:rPr>
        <w:t>2</w:t>
      </w:r>
    </w:p>
    <w:p w14:paraId="69B95392">
      <w:pPr>
        <w:rPr>
          <w:rFonts w:ascii="Times New Roman" w:hAnsi="Times New Roman" w:cs="Times New Roman"/>
          <w:sz w:val="24"/>
          <w:szCs w:val="24"/>
        </w:rPr>
      </w:pPr>
      <m:oMathPara>
        <m:oMath>
          <m:r>
            <m:rPr>
              <m:nor/>
              <m:sty m:val="p"/>
            </m:rPr>
            <w:rPr>
              <w:rFonts w:ascii="Times New Roman" w:hAnsi="Times New Roman" w:cs="Times New Roman"/>
              <w:b w:val="0"/>
              <w:i w:val="0"/>
              <w:sz w:val="24"/>
              <w:szCs w:val="24"/>
            </w:rPr>
            <m:t>n=</m:t>
          </m:r>
          <m:f>
            <m:fPr>
              <m:ctrlPr>
                <w:rPr>
                  <w:rFonts w:ascii="Cambria Math" w:hAnsi="Cambria Math" w:cs="Times New Roman"/>
                  <w:sz w:val="24"/>
                  <w:szCs w:val="24"/>
                </w:rPr>
              </m:ctrlPr>
            </m:fPr>
            <m:num>
              <m:r>
                <m:rPr>
                  <m:nor/>
                  <m:sty m:val="p"/>
                </m:rPr>
                <w:rPr>
                  <w:rFonts w:ascii="Times New Roman" w:hAnsi="Times New Roman" w:cs="Times New Roman"/>
                  <w:b w:val="0"/>
                  <w:i w:val="0"/>
                  <w:sz w:val="24"/>
                  <w:szCs w:val="24"/>
                </w:rPr>
                <m:t>N</m:t>
              </m:r>
              <m:ctrlPr>
                <w:rPr>
                  <w:rFonts w:ascii="Cambria Math" w:hAnsi="Cambria Math" w:cs="Times New Roman"/>
                  <w:sz w:val="24"/>
                  <w:szCs w:val="24"/>
                </w:rPr>
              </m:ctrlPr>
            </m:num>
            <m:den>
              <m:r>
                <m:rPr>
                  <m:nor/>
                  <m:sty m:val="p"/>
                </m:rPr>
                <w:rPr>
                  <w:rFonts w:ascii="Times New Roman" w:hAnsi="Times New Roman" w:cs="Times New Roman"/>
                  <w:b w:val="0"/>
                  <w:i w:val="0"/>
                  <w:sz w:val="24"/>
                  <w:szCs w:val="24"/>
                </w:rPr>
                <m:t>1 + N(e)</m:t>
              </m:r>
              <m:r>
                <m:rPr>
                  <m:nor/>
                  <m:sty m:val="p"/>
                </m:rPr>
                <w:rPr>
                  <w:rFonts w:ascii="Times New Roman" w:hAnsi="Times New Roman" w:cs="Times New Roman"/>
                  <w:b w:val="0"/>
                  <w:i w:val="0"/>
                  <w:sz w:val="24"/>
                  <w:szCs w:val="24"/>
                  <w:vertAlign w:val="superscript"/>
                </w:rPr>
                <m:t>2</m:t>
              </m:r>
              <m:ctrlPr>
                <w:rPr>
                  <w:rFonts w:ascii="Cambria Math" w:hAnsi="Cambria Math" w:cs="Times New Roman"/>
                  <w:sz w:val="24"/>
                  <w:szCs w:val="24"/>
                </w:rPr>
              </m:ctrlPr>
            </m:den>
          </m:f>
        </m:oMath>
      </m:oMathPara>
    </w:p>
    <w:p w14:paraId="27E43F36">
      <w:pPr>
        <w:rPr>
          <w:rFonts w:ascii="Times New Roman" w:hAnsi="Times New Roman" w:cs="Times New Roman"/>
          <w:sz w:val="24"/>
          <w:szCs w:val="24"/>
        </w:rPr>
      </w:pPr>
      <w:r>
        <w:rPr>
          <w:rFonts w:ascii="Times New Roman" w:hAnsi="Times New Roman" w:cs="Times New Roman"/>
          <w:sz w:val="24"/>
          <w:szCs w:val="24"/>
        </w:rPr>
        <w:t xml:space="preserve">Where: </w:t>
      </w:r>
      <w:r>
        <w:rPr>
          <w:rFonts w:ascii="Times New Roman" w:hAnsi="Times New Roman" w:cs="Times New Roman"/>
          <w:iCs/>
          <w:sz w:val="24"/>
          <w:szCs w:val="24"/>
        </w:rPr>
        <w:t>n</w:t>
      </w:r>
      <w:r>
        <w:rPr>
          <w:rFonts w:ascii="Times New Roman" w:hAnsi="Times New Roman" w:cs="Times New Roman"/>
          <w:sz w:val="24"/>
          <w:szCs w:val="24"/>
        </w:rPr>
        <w:t xml:space="preserve"> = desired sample size, </w:t>
      </w:r>
      <w:r>
        <w:rPr>
          <w:rFonts w:ascii="Times New Roman" w:hAnsi="Times New Roman" w:cs="Times New Roman"/>
          <w:iCs/>
          <w:sz w:val="24"/>
          <w:szCs w:val="24"/>
        </w:rPr>
        <w:t>N</w:t>
      </w:r>
      <w:r>
        <w:rPr>
          <w:rFonts w:ascii="Times New Roman" w:hAnsi="Times New Roman" w:cs="Times New Roman"/>
          <w:sz w:val="24"/>
          <w:szCs w:val="24"/>
        </w:rPr>
        <w:t xml:space="preserve"> = estimated population size, </w:t>
      </w:r>
      <w:r>
        <w:rPr>
          <w:rFonts w:ascii="Times New Roman" w:hAnsi="Times New Roman" w:cs="Times New Roman"/>
          <w:iCs/>
          <w:sz w:val="24"/>
          <w:szCs w:val="24"/>
        </w:rPr>
        <w:t>e</w:t>
      </w:r>
      <w:r>
        <w:rPr>
          <w:rFonts w:ascii="Times New Roman" w:hAnsi="Times New Roman" w:cs="Times New Roman"/>
          <w:sz w:val="24"/>
          <w:szCs w:val="24"/>
        </w:rPr>
        <w:t xml:space="preserve"> = level of precision (usually set </w:t>
      </w:r>
    </w:p>
    <w:p w14:paraId="470C4B85">
      <w:pPr>
        <w:rPr>
          <w:rFonts w:ascii="Times New Roman" w:hAnsi="Times New Roman" w:cs="Times New Roman"/>
          <w:sz w:val="24"/>
          <w:szCs w:val="24"/>
        </w:rPr>
      </w:pPr>
      <w:r>
        <w:rPr>
          <w:rFonts w:ascii="Times New Roman" w:hAnsi="Times New Roman" w:cs="Times New Roman"/>
          <w:sz w:val="24"/>
          <w:szCs w:val="24"/>
        </w:rPr>
        <w:t>at 0.05 for 95% confidence)</w:t>
      </w:r>
    </w:p>
    <w:p w14:paraId="0BA17189">
      <w:pPr>
        <w:rPr>
          <w:rFonts w:ascii="Times New Roman" w:hAnsi="Times New Roman" w:cs="Times New Roman"/>
          <w:sz w:val="24"/>
          <w:szCs w:val="24"/>
        </w:rPr>
      </w:pPr>
      <w:r>
        <w:rPr>
          <w:rFonts w:ascii="Times New Roman" w:hAnsi="Times New Roman" w:cs="Times New Roman"/>
          <w:sz w:val="24"/>
          <w:szCs w:val="24"/>
        </w:rPr>
        <w:t xml:space="preserve">The total target population is approximately </w:t>
      </w:r>
      <w:r>
        <w:rPr>
          <w:rFonts w:ascii="Times New Roman" w:hAnsi="Times New Roman" w:cs="Times New Roman"/>
          <w:bCs/>
          <w:sz w:val="24"/>
          <w:szCs w:val="24"/>
        </w:rPr>
        <w:t>990</w:t>
      </w:r>
      <w:r>
        <w:rPr>
          <w:rFonts w:ascii="Times New Roman" w:hAnsi="Times New Roman" w:cs="Times New Roman"/>
          <w:sz w:val="24"/>
          <w:szCs w:val="24"/>
        </w:rPr>
        <w:t>, and using a 95% confidence level:</w:t>
      </w:r>
    </w:p>
    <w:p w14:paraId="24DE991F">
      <w:pPr>
        <w:rPr>
          <w:rFonts w:ascii="Times New Roman" w:hAnsi="Times New Roman" w:cs="Times New Roman"/>
          <w:sz w:val="24"/>
          <w:szCs w:val="24"/>
        </w:rPr>
      </w:pPr>
      <m:oMath>
        <m:r>
          <m:rPr>
            <m:nor/>
            <m:sty m:val="p"/>
          </m:rPr>
          <w:rPr>
            <w:rFonts w:ascii="Times New Roman" w:hAnsi="Times New Roman" w:cs="Times New Roman"/>
            <w:b w:val="0"/>
            <w:i w:val="0"/>
            <w:sz w:val="24"/>
            <w:szCs w:val="24"/>
          </w:rPr>
          <m:t xml:space="preserve">n = </m:t>
        </m:r>
        <m:f>
          <m:fPr>
            <m:ctrlPr>
              <w:rPr>
                <w:rFonts w:ascii="Cambria Math" w:hAnsi="Cambria Math" w:cs="Times New Roman"/>
                <w:sz w:val="24"/>
                <w:szCs w:val="24"/>
              </w:rPr>
            </m:ctrlPr>
          </m:fPr>
          <m:num>
            <m:r>
              <m:rPr>
                <m:nor/>
                <m:sty m:val="p"/>
              </m:rPr>
              <w:rPr>
                <w:rFonts w:ascii="Times New Roman" w:hAnsi="Times New Roman" w:cs="Times New Roman"/>
                <w:b w:val="0"/>
                <w:i w:val="0"/>
                <w:sz w:val="24"/>
                <w:szCs w:val="24"/>
              </w:rPr>
              <m:t>990</m:t>
            </m:r>
            <m:ctrlPr>
              <w:rPr>
                <w:rFonts w:ascii="Cambria Math" w:hAnsi="Cambria Math" w:cs="Times New Roman"/>
                <w:sz w:val="24"/>
                <w:szCs w:val="24"/>
              </w:rPr>
            </m:ctrlPr>
          </m:num>
          <m:den>
            <m:r>
              <m:rPr>
                <m:nor/>
                <m:sty m:val="p"/>
              </m:rPr>
              <w:rPr>
                <w:rFonts w:ascii="Times New Roman" w:hAnsi="Times New Roman" w:cs="Times New Roman"/>
                <w:b w:val="0"/>
                <w:i w:val="0"/>
                <w:sz w:val="24"/>
                <w:szCs w:val="24"/>
              </w:rPr>
              <m:t>1 + 990(0.05*0.05)</m:t>
            </m:r>
            <m:ctrlPr>
              <w:rPr>
                <w:rFonts w:ascii="Cambria Math" w:hAnsi="Cambria Math" w:cs="Times New Roman"/>
                <w:sz w:val="24"/>
                <w:szCs w:val="24"/>
              </w:rPr>
            </m:ctrlPr>
          </m:den>
        </m:f>
      </m:oMath>
      <w:r>
        <w:rPr>
          <w:rFonts w:ascii="Times New Roman" w:hAnsi="Times New Roman" w:cs="Times New Roman"/>
          <w:sz w:val="24"/>
          <w:szCs w:val="24"/>
        </w:rPr>
        <w:t xml:space="preserve">  = 285</w:t>
      </w:r>
    </w:p>
    <w:p w14:paraId="6A2EF4EB">
      <w:pPr>
        <w:rPr>
          <w:rFonts w:ascii="Times New Roman" w:hAnsi="Times New Roman" w:cs="Times New Roman"/>
          <w:sz w:val="24"/>
          <w:szCs w:val="24"/>
        </w:rPr>
      </w:pPr>
      <w:r>
        <w:rPr>
          <w:rFonts w:ascii="Times New Roman" w:hAnsi="Times New Roman" w:cs="Times New Roman"/>
          <w:sz w:val="24"/>
          <w:szCs w:val="24"/>
        </w:rPr>
        <w:t xml:space="preserve">Thus, a sample size of approximately </w:t>
      </w:r>
      <w:r>
        <w:rPr>
          <w:rFonts w:ascii="Times New Roman" w:hAnsi="Times New Roman" w:cs="Times New Roman"/>
          <w:bCs/>
          <w:sz w:val="24"/>
          <w:szCs w:val="24"/>
        </w:rPr>
        <w:t>285 respondents</w:t>
      </w:r>
      <w:r>
        <w:rPr>
          <w:rFonts w:ascii="Times New Roman" w:hAnsi="Times New Roman" w:cs="Times New Roman"/>
          <w:sz w:val="24"/>
          <w:szCs w:val="24"/>
        </w:rPr>
        <w:t xml:space="preserve"> will be selected, distributed as follows:</w:t>
      </w:r>
    </w:p>
    <w:p w14:paraId="4FF6599C">
      <w:pPr>
        <w:rPr>
          <w:rFonts w:ascii="Times New Roman" w:hAnsi="Times New Roman" w:cs="Times New Roman"/>
          <w:sz w:val="24"/>
          <w:szCs w:val="24"/>
        </w:rPr>
      </w:pPr>
      <w:r>
        <w:rPr>
          <w:rFonts w:ascii="Times New Roman" w:hAnsi="Times New Roman" w:cs="Times New Roman"/>
          <w:bCs/>
          <w:sz w:val="24"/>
          <w:szCs w:val="24"/>
        </w:rPr>
        <w:t>180 students</w:t>
      </w:r>
      <w:r>
        <w:rPr>
          <w:rFonts w:ascii="Times New Roman" w:hAnsi="Times New Roman" w:cs="Times New Roman"/>
          <w:sz w:val="24"/>
          <w:szCs w:val="24"/>
        </w:rPr>
        <w:t xml:space="preserve"> (girls in junior secondary)</w:t>
      </w:r>
    </w:p>
    <w:p w14:paraId="2535F571">
      <w:pPr>
        <w:tabs>
          <w:tab w:val="left" w:pos="2629"/>
        </w:tabs>
        <w:rPr>
          <w:sz w:val="24"/>
        </w:rPr>
      </w:pPr>
      <w:r>
        <w:rPr>
          <w:sz w:val="24"/>
        </w:rPr>
        <w:t>45 parents</w:t>
      </w:r>
    </w:p>
    <w:p w14:paraId="4096CC00">
      <w:pPr>
        <w:tabs>
          <w:tab w:val="left" w:pos="2629"/>
        </w:tabs>
        <w:rPr>
          <w:sz w:val="24"/>
        </w:rPr>
      </w:pPr>
      <w:r>
        <w:rPr>
          <w:sz w:val="24"/>
        </w:rPr>
        <w:t>45 teachers and 15 Head of Institutions (HOIs)</w:t>
      </w:r>
    </w:p>
    <w:p w14:paraId="24420A04">
      <w:pPr>
        <w:tabs>
          <w:tab w:val="left" w:pos="2629"/>
        </w:tabs>
        <w:rPr>
          <w:sz w:val="24"/>
        </w:rPr>
      </w:pPr>
      <w:r>
        <w:rPr>
          <w:sz w:val="24"/>
        </w:rPr>
        <w:t xml:space="preserve">This stratified distribution ensures representation across key stakeholders while maintaining statistical reliability. A total of  15 junior day schools will be selected, 285 participants will be selected from these schools, comprising 180 girls from public day </w:t>
      </w:r>
      <w:r>
        <w:rPr>
          <w:sz w:val="24"/>
          <w:lang w:val="en-US"/>
        </w:rPr>
        <w:t>junior schools</w:t>
      </w:r>
      <w:r>
        <w:rPr>
          <w:sz w:val="24"/>
        </w:rPr>
        <w:t>, 45 teachers and 15 head teachers, and 45 parents or guardians shared equally across grade 7, grade 8 and grade 9. This sample is considered adequate to provide diverse perspectives and ensure the reliability of the findings.</w:t>
      </w:r>
    </w:p>
    <w:p w14:paraId="1A89EFC5">
      <w:pPr>
        <w:tabs>
          <w:tab w:val="left" w:pos="2629"/>
        </w:tabs>
        <w:rPr>
          <w:sz w:val="24"/>
        </w:rPr>
      </w:pPr>
      <w:r>
        <w:rPr>
          <w:sz w:val="24"/>
        </w:rPr>
        <w:t xml:space="preserve">The selection of  180 girls is guided by the need to capture a range of experiences across different schools and grade levels. These students are chosen from 15 public day </w:t>
      </w:r>
      <w:r>
        <w:rPr>
          <w:sz w:val="24"/>
          <w:lang w:val="en-US"/>
        </w:rPr>
        <w:t>junior schools</w:t>
      </w:r>
      <w:r>
        <w:rPr>
          <w:sz w:val="24"/>
        </w:rPr>
        <w:t>, with 12 girls sampled from each school. This approach will allow for a balanced representation of the student population and ensure that the data reflects variations in domestic responsibilities and school attendance patterns.</w:t>
      </w:r>
    </w:p>
    <w:p w14:paraId="1B4B0A73">
      <w:pPr>
        <w:tabs>
          <w:tab w:val="left" w:pos="2629"/>
        </w:tabs>
        <w:rPr>
          <w:sz w:val="24"/>
        </w:rPr>
      </w:pPr>
      <w:r>
        <w:rPr>
          <w:sz w:val="24"/>
        </w:rPr>
        <w:t>For the teachers, head teachers, and parents, 3 class teachers and 3 parents each from grade 7,8 and 9 will be selected from each of the 15 schools. This ensures that each school contributes equally to the adult perspectives in the study. The sample size is manageable for in-depth data collection while still providing sufficient breadth to identify common themes and trends. The chosen sample size also aligns with the mixed methods approach, allowing for both quantitative analysis and qualitative depth.</w:t>
      </w:r>
    </w:p>
    <w:p w14:paraId="34974A49">
      <w:pPr>
        <w:tabs>
          <w:tab w:val="left" w:pos="2629"/>
        </w:tabs>
        <w:rPr>
          <w:b/>
          <w:sz w:val="24"/>
        </w:rPr>
      </w:pPr>
      <w:r>
        <w:rPr>
          <w:b/>
          <w:sz w:val="24"/>
        </w:rPr>
        <w:t>3.7 Sampling Procedure</w:t>
      </w:r>
    </w:p>
    <w:p w14:paraId="5AA6CFF3">
      <w:pPr>
        <w:tabs>
          <w:tab w:val="left" w:pos="2629"/>
        </w:tabs>
        <w:rPr>
          <w:sz w:val="24"/>
        </w:rPr>
      </w:pPr>
      <w:r>
        <w:rPr>
          <w:sz w:val="24"/>
        </w:rPr>
        <w:t xml:space="preserve">The study employs a multi-stage sampling procedure to ensure that the selected participants accurately represent the target population across Lagdera Sub-County. In the first stage, purposive sampling will be used to select 15 public day </w:t>
      </w:r>
      <w:r>
        <w:rPr>
          <w:sz w:val="24"/>
          <w:lang w:val="en-US"/>
        </w:rPr>
        <w:t>junior schools</w:t>
      </w:r>
      <w:r>
        <w:rPr>
          <w:sz w:val="24"/>
        </w:rPr>
        <w:t>. These schools are chosen based on their accessibility, enrollment of girls, and reported cases of absenteeism or dropout, as identified through preliminary consultations with education officers and school administrators.</w:t>
      </w:r>
    </w:p>
    <w:p w14:paraId="5EBF7CEF">
      <w:pPr>
        <w:tabs>
          <w:tab w:val="left" w:pos="2629"/>
        </w:tabs>
        <w:rPr>
          <w:sz w:val="24"/>
        </w:rPr>
      </w:pPr>
      <w:r>
        <w:rPr>
          <w:sz w:val="24"/>
        </w:rPr>
        <w:t>In the second stage, stratified random sampling is applied to select 180 girls from the 15 schools, with each school contributing 12 students. The stratification is based on grade level and age to ensure diversity in experiences and perspectives. Within each stratum, students will randomly be selected to minimize bias and enhance the representativeness of the sample. This approach allows the researcher to capture variations in how domestic chores affect girls at different stages of junior secondary education.</w:t>
      </w:r>
    </w:p>
    <w:p w14:paraId="4CEE6A2A">
      <w:pPr>
        <w:tabs>
          <w:tab w:val="left" w:pos="2629"/>
        </w:tabs>
        <w:rPr>
          <w:sz w:val="24"/>
        </w:rPr>
      </w:pPr>
      <w:r>
        <w:rPr>
          <w:sz w:val="24"/>
        </w:rPr>
        <w:t>For the selection of teachers, head teachers, and parents, purposive sampling is used. Three teachers and three parents or guardians are selected from each school based on their direct involvement with the sampled students. Teachers and head teachers are chosen for their knowledge of student attendance and academic performance, while parents are selected based on their willingness to participate and their role in assigning domestic responsibilities at home. This combination of sampling techniques ensures a balanced and contextually rich dataset for analysis.</w:t>
      </w:r>
    </w:p>
    <w:p w14:paraId="6E734212">
      <w:pPr>
        <w:tabs>
          <w:tab w:val="left" w:pos="2629"/>
        </w:tabs>
        <w:rPr>
          <w:b/>
          <w:sz w:val="24"/>
        </w:rPr>
      </w:pPr>
      <w:r>
        <w:rPr>
          <w:b/>
          <w:sz w:val="24"/>
        </w:rPr>
        <w:t>3.8 Instrumentation</w:t>
      </w:r>
    </w:p>
    <w:p w14:paraId="0B8DECB0">
      <w:pPr>
        <w:tabs>
          <w:tab w:val="left" w:pos="2629"/>
        </w:tabs>
        <w:rPr>
          <w:sz w:val="24"/>
        </w:rPr>
      </w:pPr>
      <w:r>
        <w:rPr>
          <w:sz w:val="24"/>
        </w:rPr>
        <w:t>The study utilizes both questionnaires and interview schedules as the primary data collection instruments, in line with the mixed methods approach. Questionnaires will be administered to students and teachers to gather quantitative data on the extent of domestic chores, school attendance patterns, and perceptions of the relationship between household responsibilities and dropout rates. The questionnaires include both closed-ended and a few open-ended questions to allow for structured responses while also capturing brief qualitative insights.</w:t>
      </w:r>
    </w:p>
    <w:p w14:paraId="3AD9229A">
      <w:pPr>
        <w:tabs>
          <w:tab w:val="left" w:pos="2629"/>
        </w:tabs>
        <w:rPr>
          <w:sz w:val="24"/>
        </w:rPr>
      </w:pPr>
      <w:r>
        <w:rPr>
          <w:sz w:val="24"/>
        </w:rPr>
        <w:t>For students, the questionnaire focuses on the types and frequency of domestic chores they perform, the time spent on these tasks, and how these responsibilities affect their school attendance and academic performance. The teachers’ questionnaire is designed to collect data on observed trends in girls’ absenteeism and dropout, as well as their professional opinions on the influence of domestic chores on students’ education.</w:t>
      </w:r>
    </w:p>
    <w:p w14:paraId="51618409">
      <w:pPr>
        <w:tabs>
          <w:tab w:val="left" w:pos="2629"/>
        </w:tabs>
        <w:rPr>
          <w:sz w:val="24"/>
        </w:rPr>
      </w:pPr>
      <w:r>
        <w:rPr>
          <w:sz w:val="24"/>
        </w:rPr>
        <w:t>To complement the questionnaires, interview schedules are used to collect qualitative data from head teachers and selected parents or guardians. The interviews with head teachers explore school-level data on dropout rates, interventions in place, and their views on the socio-cultural factors affecting girls’ education. Interviews with parents and guardians will provide deeper insights into household expectations, cultural norms, and the rationale behind assigning domestic responsibilities to school-going girls. These instruments are carefully designed to ensure clarity, relevance, and cultural sensitivity.</w:t>
      </w:r>
    </w:p>
    <w:p w14:paraId="7669EC61">
      <w:pPr>
        <w:tabs>
          <w:tab w:val="left" w:pos="2629"/>
        </w:tabs>
        <w:rPr>
          <w:b/>
          <w:sz w:val="24"/>
        </w:rPr>
      </w:pPr>
      <w:r>
        <w:rPr>
          <w:b/>
          <w:sz w:val="24"/>
        </w:rPr>
        <w:t>3.9 Validity of the Instruments</w:t>
      </w:r>
    </w:p>
    <w:p w14:paraId="1D4012D9">
      <w:pPr>
        <w:tabs>
          <w:tab w:val="left" w:pos="2629"/>
        </w:tabs>
        <w:rPr>
          <w:sz w:val="24"/>
        </w:rPr>
      </w:pPr>
      <w:r>
        <w:rPr>
          <w:sz w:val="24"/>
        </w:rPr>
        <w:t>To ensure the validity of the research instruments, the study focuses on content validity, which refers to the extent to which the instruments adequately cover the research objectives and questions. The questionnaires and interview schedules are carefully developed based on a thorough review of relevant literature and aligned with the study’s conceptual framework. This helps to ensure that the items to be included are relevant, clear, and capable of capturing the intended data on domestic chores and girls’ dropout rates.</w:t>
      </w:r>
    </w:p>
    <w:p w14:paraId="7161CDF1">
      <w:pPr>
        <w:tabs>
          <w:tab w:val="left" w:pos="2629"/>
        </w:tabs>
        <w:rPr>
          <w:sz w:val="24"/>
        </w:rPr>
      </w:pPr>
      <w:r>
        <w:rPr>
          <w:sz w:val="24"/>
        </w:rPr>
        <w:t>To further enhance validity, the instruments are to be reviewed by experts in the fields of education and research methodology. These reviewers include university lecturers and education officers familiar with the context of Lagdera Sub-County. Their feedback will be used to refine the wording, structure, and content of the instruments to eliminate ambiguity and ensure cultural appropriateness and clarity for all participants.</w:t>
      </w:r>
    </w:p>
    <w:p w14:paraId="29FD4B5A">
      <w:pPr>
        <w:tabs>
          <w:tab w:val="left" w:pos="2629"/>
        </w:tabs>
        <w:rPr>
          <w:sz w:val="24"/>
        </w:rPr>
      </w:pPr>
      <w:r>
        <w:rPr>
          <w:sz w:val="24"/>
        </w:rPr>
        <w:t xml:space="preserve">Additionally, a pilot study is also to be conducted in one public day </w:t>
      </w:r>
      <w:r>
        <w:rPr>
          <w:sz w:val="24"/>
          <w:lang w:val="en-US"/>
        </w:rPr>
        <w:t>junior school</w:t>
      </w:r>
      <w:r>
        <w:rPr>
          <w:sz w:val="24"/>
        </w:rPr>
        <w:t xml:space="preserve"> that is not part of the main sample. The pilot helps to test the instruments for clarity, relevance, and consistency. Based on the results of the pilot, minor adjustments will be made to improve the instruments’ effectiveness in capturing accurate and meaningful data. This process ensures that the tools are valid and suitable for use in the actual study.</w:t>
      </w:r>
    </w:p>
    <w:p w14:paraId="599EC152">
      <w:pPr>
        <w:tabs>
          <w:tab w:val="left" w:pos="2629"/>
        </w:tabs>
        <w:rPr>
          <w:b/>
          <w:sz w:val="24"/>
        </w:rPr>
      </w:pPr>
      <w:r>
        <w:rPr>
          <w:b/>
          <w:sz w:val="24"/>
        </w:rPr>
        <w:t>3.10 Reliability of the Instruments</w:t>
      </w:r>
    </w:p>
    <w:p w14:paraId="07D658A2">
      <w:pPr>
        <w:tabs>
          <w:tab w:val="left" w:pos="2629"/>
        </w:tabs>
        <w:rPr>
          <w:sz w:val="24"/>
        </w:rPr>
      </w:pPr>
      <w:r>
        <w:rPr>
          <w:sz w:val="24"/>
        </w:rPr>
        <w:t>To ensure the reliability of the research instruments, the study will employ the test-retest method for the questionnaires. This involves administering the same set of questionnaires to a small group of respondents from a school not included in the main study sample, and then re-administering the same instruments after a two-week interval. The consistency of the responses across the two administrations will be analyzed to determine the stability and reliability of the instruments over time.</w:t>
      </w:r>
    </w:p>
    <w:p w14:paraId="1BDB5A50">
      <w:pPr>
        <w:tabs>
          <w:tab w:val="left" w:pos="2629"/>
        </w:tabs>
        <w:rPr>
          <w:sz w:val="24"/>
        </w:rPr>
      </w:pPr>
      <w:r>
        <w:rPr>
          <w:sz w:val="24"/>
        </w:rPr>
        <w:t>The reliability coefficient is to be calculated using Cronbach’s Alpha, a statistical measure commonly used to assess internal consistency. A reliability coefficient of 0.7 or higher is to be considered acceptable for this study, indicating that the items in the questionnaire are measuring the same underlying constructs consistently. The results from the pilot test will confirm whether the instruments are reliable and suitable for use in the main study or not suitable.</w:t>
      </w:r>
    </w:p>
    <w:p w14:paraId="4D845AB6">
      <w:pPr>
        <w:tabs>
          <w:tab w:val="left" w:pos="2629"/>
        </w:tabs>
        <w:rPr>
          <w:sz w:val="24"/>
        </w:rPr>
      </w:pPr>
      <w:r>
        <w:rPr>
          <w:sz w:val="24"/>
        </w:rPr>
        <w:t>For the interview schedules, reliability will be ensured through standardization and consistency in the way interviews are conducted. The researcher will use a structured guide with pre-determined questions to ensure that all participants are asked similar questions in a similar manner. Additionally, the researcher will maintain detailed field notes and use audio recordings (with consent) to ensure accuracy and consistency in data collection and analysis.</w:t>
      </w:r>
    </w:p>
    <w:p w14:paraId="555D2D95">
      <w:pPr>
        <w:tabs>
          <w:tab w:val="left" w:pos="2629"/>
        </w:tabs>
        <w:rPr>
          <w:b/>
          <w:sz w:val="24"/>
        </w:rPr>
      </w:pPr>
      <w:r>
        <w:rPr>
          <w:b/>
          <w:sz w:val="24"/>
        </w:rPr>
        <w:t>3.11 Piloting of the Study</w:t>
      </w:r>
    </w:p>
    <w:p w14:paraId="0084A1F1">
      <w:pPr>
        <w:tabs>
          <w:tab w:val="left" w:pos="2629"/>
        </w:tabs>
        <w:rPr>
          <w:sz w:val="24"/>
        </w:rPr>
      </w:pPr>
      <w:r>
        <w:rPr>
          <w:sz w:val="24"/>
        </w:rPr>
        <w:t xml:space="preserve">Before the main data collection, a pilot study will be conducted to test the effectiveness, clarity, and reliability of the research instruments. The pilot is to be carried out in one public day </w:t>
      </w:r>
      <w:r>
        <w:rPr>
          <w:sz w:val="24"/>
          <w:lang w:val="en-US"/>
        </w:rPr>
        <w:t>junior school</w:t>
      </w:r>
      <w:r>
        <w:rPr>
          <w:sz w:val="24"/>
        </w:rPr>
        <w:t xml:space="preserve"> within Lagdera Sub-County that is not included in the final sample. This school will be selected based on its similarity in context and characteristics to the schools participating in the main study. The purpose of the pilot is to identify any ambiguities, inconsistencies, or challenges in administering the questionnaires and interview schedules.</w:t>
      </w:r>
    </w:p>
    <w:p w14:paraId="1A59896A">
      <w:pPr>
        <w:tabs>
          <w:tab w:val="left" w:pos="2629"/>
        </w:tabs>
        <w:rPr>
          <w:sz w:val="24"/>
        </w:rPr>
      </w:pPr>
      <w:r>
        <w:rPr>
          <w:sz w:val="24"/>
        </w:rPr>
        <w:t>A small group of 12 students, 3 teachers, 1 head teacher, and 3 parents will participate in the pilot. The feedback from this group will help the researcher assess whether the questions were understandable, culturally appropriate, and capable of eliciting the intended information. It will also provide an opportunity to evaluate the time required to complete the instruments and the overall flow of the data collection process.</w:t>
      </w:r>
    </w:p>
    <w:p w14:paraId="13F4818C">
      <w:pPr>
        <w:tabs>
          <w:tab w:val="left" w:pos="2629"/>
        </w:tabs>
        <w:rPr>
          <w:sz w:val="24"/>
        </w:rPr>
      </w:pPr>
      <w:r>
        <w:rPr>
          <w:sz w:val="24"/>
        </w:rPr>
        <w:t>Based on the findings from the pilot, minor revisions will be made to improve the clarity and structure of the instruments. Some questions are to be re-worded for better comprehension, and the sequencing of items will be adjusted to enhance logical flow. The pilot study thus will play a crucial role in refining the tools and ensure that they are well-suited for the main research, thereby enhancing the validity and reliability of the data to be collected.</w:t>
      </w:r>
    </w:p>
    <w:p w14:paraId="34D0BCCD">
      <w:pPr>
        <w:tabs>
          <w:tab w:val="left" w:pos="2629"/>
        </w:tabs>
        <w:rPr>
          <w:b/>
          <w:sz w:val="24"/>
        </w:rPr>
      </w:pPr>
      <w:r>
        <w:rPr>
          <w:b/>
          <w:sz w:val="24"/>
        </w:rPr>
        <w:t>3.12 Data Collection Procedure</w:t>
      </w:r>
    </w:p>
    <w:p w14:paraId="5D785AC4">
      <w:pPr>
        <w:tabs>
          <w:tab w:val="left" w:pos="2629"/>
        </w:tabs>
        <w:rPr>
          <w:sz w:val="24"/>
        </w:rPr>
      </w:pPr>
      <w:r>
        <w:rPr>
          <w:sz w:val="24"/>
        </w:rPr>
        <w:t xml:space="preserve">The data collection process will begin with obtaining the necessary permissions and approvals from relevant authorities, including the school administrators and local education officers in Lagdera Sub-County. Once approvals are granted, the researcher will schedule visits to the selected public day </w:t>
      </w:r>
      <w:r>
        <w:rPr>
          <w:sz w:val="24"/>
          <w:lang w:val="en-US"/>
        </w:rPr>
        <w:t>junior schools</w:t>
      </w:r>
      <w:r>
        <w:rPr>
          <w:sz w:val="24"/>
        </w:rPr>
        <w:t>. Prior to data collection, participants will be briefed on the purpose of the study, assured of confidentiality, and asked to provide informed consent.</w:t>
      </w:r>
    </w:p>
    <w:p w14:paraId="4F5C4908">
      <w:pPr>
        <w:tabs>
          <w:tab w:val="left" w:pos="2629"/>
        </w:tabs>
        <w:rPr>
          <w:sz w:val="24"/>
        </w:rPr>
      </w:pPr>
      <w:r>
        <w:rPr>
          <w:sz w:val="24"/>
        </w:rPr>
        <w:t>Questionnaires will be administered first to the selected students and teachers. The researcher will distribute the questionnaires in person and remain present to clarify any questions and ensure proper completion. Students will fill out their questionnaires during school hours in a quiet, supervised setting to minimize distractions. Teachers will be given time during breaks or after lessons to complete their questionnaires. This approach will ensure a high response rate and accurate data collection.</w:t>
      </w:r>
    </w:p>
    <w:p w14:paraId="58872D04">
      <w:pPr>
        <w:tabs>
          <w:tab w:val="left" w:pos="2629"/>
        </w:tabs>
        <w:rPr>
          <w:sz w:val="24"/>
        </w:rPr>
      </w:pPr>
      <w:r>
        <w:rPr>
          <w:sz w:val="24"/>
        </w:rPr>
        <w:t>Following the questionnaires, interviews will be conducted with head teachers and selected parents or guardians. Head teacher interviews will be held in their offices at scheduled times, while parent interviews will be conducted either at the school or in community settings, depending on convenience and availability. All interviews will follow a structured guide and will be recorded (with consent) to ensure accuracy. Field notes will also be taken to capture non-verbal cues and contextual details. The entire data collection process will be completed over a period of four weeks.</w:t>
      </w:r>
    </w:p>
    <w:p w14:paraId="6FC3C5F2">
      <w:pPr>
        <w:tabs>
          <w:tab w:val="left" w:pos="2629"/>
        </w:tabs>
        <w:rPr>
          <w:b/>
          <w:sz w:val="24"/>
        </w:rPr>
      </w:pPr>
      <w:r>
        <w:rPr>
          <w:b/>
          <w:sz w:val="24"/>
        </w:rPr>
        <w:t>3.13 Operational Definition of Research Variables</w:t>
      </w:r>
    </w:p>
    <w:p w14:paraId="7AD12C19">
      <w:pPr>
        <w:tabs>
          <w:tab w:val="left" w:pos="2629"/>
        </w:tabs>
        <w:rPr>
          <w:sz w:val="24"/>
        </w:rPr>
      </w:pPr>
      <w:r>
        <w:rPr>
          <w:sz w:val="24"/>
        </w:rPr>
        <w:t>In this study, the independent variable is domestic chores, which refers to the routine household tasks assigned to girls outside school hours. These include activities such as cooking, cleaning, fetching water, taking care of siblings, and other responsibilities that may interfere with their study time or school attendance. For the purpose of this research, domestic chores were measured by the type, frequency, and duration of tasks performed by the girls on a daily or weekly basis, as reported through student questionnaires.</w:t>
      </w:r>
    </w:p>
    <w:p w14:paraId="5C50F5E0">
      <w:pPr>
        <w:tabs>
          <w:tab w:val="left" w:pos="2629"/>
        </w:tabs>
        <w:rPr>
          <w:sz w:val="24"/>
        </w:rPr>
      </w:pPr>
      <w:r>
        <w:rPr>
          <w:sz w:val="24"/>
        </w:rPr>
        <w:t xml:space="preserve">The dependent variable is the girls’ dropout rate from public day </w:t>
      </w:r>
      <w:r>
        <w:rPr>
          <w:sz w:val="24"/>
          <w:lang w:val="en-US"/>
        </w:rPr>
        <w:t>junior schools</w:t>
      </w:r>
      <w:r>
        <w:rPr>
          <w:sz w:val="24"/>
        </w:rPr>
        <w:t>. This was operationalized as the number of girls who discontinued their schooling before completing the junior secondary level, as recorded by school administrators and confirmed through interviews with head teachers. Indicators such as absenteeism, declining academic performance, and eventual withdrawal from school were used to assess dropout trends.</w:t>
      </w:r>
    </w:p>
    <w:p w14:paraId="53A66B5E">
      <w:pPr>
        <w:tabs>
          <w:tab w:val="left" w:pos="2629"/>
        </w:tabs>
        <w:rPr>
          <w:sz w:val="24"/>
        </w:rPr>
      </w:pPr>
      <w:r>
        <w:rPr>
          <w:sz w:val="24"/>
        </w:rPr>
        <w:t>Other intervening variables considered in the study included parental attitudes, socio-economic status, and cultural beliefs, which may influence both the assignment of domestic chores and the decision to keep girls in school. These were explored through interviews with parents and head teachers to understand the broader context in which domestic responsibilities are assigned and how they relate to educational outcomes.</w:t>
      </w:r>
    </w:p>
    <w:p w14:paraId="4B2F7FD7">
      <w:pPr>
        <w:tabs>
          <w:tab w:val="left" w:pos="2629"/>
        </w:tabs>
        <w:rPr>
          <w:b/>
          <w:sz w:val="24"/>
        </w:rPr>
      </w:pPr>
      <w:r>
        <w:rPr>
          <w:b/>
          <w:sz w:val="24"/>
        </w:rPr>
        <w:t>3.14 Data Analysis Methods</w:t>
      </w:r>
    </w:p>
    <w:p w14:paraId="04324B11">
      <w:pPr>
        <w:tabs>
          <w:tab w:val="left" w:pos="2629"/>
        </w:tabs>
        <w:rPr>
          <w:sz w:val="24"/>
        </w:rPr>
      </w:pPr>
      <w:r>
        <w:rPr>
          <w:sz w:val="24"/>
        </w:rPr>
        <w:t>The study will employ both quantitative and qualitative data analysis methods, in line with its mixed methods design. For the quantitative data to be collected through questionnaires from students and teachers, the researcher will use descriptive statistics such as frequencies, percentages, means, and standard deviations to summarize and present the data in a clear and meaningful way. These statistics will help to describe the extent of domestic chores performed by girls and the patterns of school attendance and dropout.</w:t>
      </w:r>
    </w:p>
    <w:p w14:paraId="0D3C9C3B">
      <w:pPr>
        <w:tabs>
          <w:tab w:val="left" w:pos="2629"/>
        </w:tabs>
        <w:rPr>
          <w:sz w:val="24"/>
        </w:rPr>
      </w:pPr>
      <w:r>
        <w:rPr>
          <w:sz w:val="24"/>
        </w:rPr>
        <w:t>In addition to descriptive analysis, inferential statistics will also be used to examine the relationship between domestic chores and girls’ dropout rates. Specifically, Pearson’s correlation coefficient will be applied to determine the strength and direction of the relationship between the frequency of domestic chores and school dropout. This analysis will help to test the study’s hypotheses and draw conclusions about the potential impact of domestic responsibilities on girls’ education.</w:t>
      </w:r>
    </w:p>
    <w:p w14:paraId="17A88C59">
      <w:pPr>
        <w:tabs>
          <w:tab w:val="left" w:pos="2629"/>
        </w:tabs>
        <w:rPr>
          <w:sz w:val="24"/>
        </w:rPr>
      </w:pPr>
      <w:r>
        <w:rPr>
          <w:sz w:val="24"/>
        </w:rPr>
        <w:t>For the qualitative data to be obtained through interviews with head teachers and parents, the researcher will use thematic analysis. This will involve transcribing the interviews, reading through the transcripts multiple times, and identifying recurring themes and patterns related to domestic chores, cultural expectations, and school dropout. Then, the themes will be categorized and interpreted to provide deeper insights into the contextual and social factors influencing girls’ educational outcomes in Lagdera Sub-County.</w:t>
      </w:r>
    </w:p>
    <w:p w14:paraId="1EEB51AD">
      <w:pPr>
        <w:tabs>
          <w:tab w:val="left" w:pos="2629"/>
        </w:tabs>
        <w:rPr>
          <w:b/>
          <w:sz w:val="24"/>
        </w:rPr>
      </w:pPr>
      <w:r>
        <w:rPr>
          <w:b/>
          <w:sz w:val="24"/>
        </w:rPr>
        <w:t>3.15 Ethical Considerations</w:t>
      </w:r>
    </w:p>
    <w:p w14:paraId="568CF22B">
      <w:pPr>
        <w:tabs>
          <w:tab w:val="left" w:pos="2629"/>
        </w:tabs>
        <w:rPr>
          <w:sz w:val="24"/>
        </w:rPr>
      </w:pPr>
      <w:r>
        <w:rPr>
          <w:sz w:val="24"/>
        </w:rPr>
        <w:t>This study will adhere to strict ethical standards to ensure the protection and dignity of all participants. Informed consent will be obtained from all respondents before participation. For students under the age of 18, consent will be sought from their parents or guardians, while assent will be obtained from the students themselves. Participants will be fully informed about the purpose of the study, the procedures to be involved, their right to withdraw at any time, and the voluntary nature of their participation.</w:t>
      </w:r>
    </w:p>
    <w:p w14:paraId="24949735">
      <w:pPr>
        <w:tabs>
          <w:tab w:val="left" w:pos="2629"/>
        </w:tabs>
        <w:rPr>
          <w:sz w:val="24"/>
        </w:rPr>
      </w:pPr>
      <w:r>
        <w:rPr>
          <w:sz w:val="24"/>
        </w:rPr>
        <w:t>Confidentiality and anonymity will strictly be maintained throughout the research process. Participants’ names and personal identifiers will not be recorded in the data collection tools. All responses will be treated with the highest level of confidentiality and to be used solely for academic purposes. Data will be securely stored and only accessible to the researcher. During reporting, aggregated data will be used to ensure that no individual could be identified from the findings.</w:t>
      </w:r>
    </w:p>
    <w:p w14:paraId="2E803144">
      <w:pPr>
        <w:tabs>
          <w:tab w:val="left" w:pos="2629"/>
        </w:tabs>
        <w:rPr>
          <w:sz w:val="24"/>
        </w:rPr>
      </w:pPr>
      <w:r>
        <w:rPr>
          <w:sz w:val="24"/>
        </w:rPr>
        <w:t>The researcher will also obtain formal approval from the Ministry of Education (MoE) Garissa County, and the head teachers of the participating schools. These approvals will ensure that the study will comply with national research regulations and institutional requirements. Ethical clearance will be a critical step in legitimizing the research and safeguarding the rights and welfare of all participants involved.</w:t>
      </w:r>
    </w:p>
    <w:p w14:paraId="5446D890">
      <w:pPr>
        <w:rPr>
          <w:sz w:val="24"/>
        </w:rPr>
      </w:pPr>
      <w:r>
        <w:rPr>
          <w:sz w:val="24"/>
        </w:rPr>
        <w:br w:type="page"/>
      </w:r>
    </w:p>
    <w:p w14:paraId="28EE2A45">
      <w:pPr>
        <w:tabs>
          <w:tab w:val="left" w:pos="2629"/>
        </w:tabs>
        <w:rPr>
          <w:b/>
          <w:i/>
          <w:sz w:val="24"/>
        </w:rPr>
      </w:pPr>
      <w:r>
        <w:rPr>
          <w:b/>
          <w:i/>
          <w:sz w:val="24"/>
        </w:rPr>
        <w:t>References</w:t>
      </w:r>
    </w:p>
    <w:p w14:paraId="3EAD2FAA">
      <w:pPr>
        <w:tabs>
          <w:tab w:val="left" w:pos="2629"/>
        </w:tabs>
        <w:spacing w:line="0" w:lineRule="atLeast"/>
        <w:ind w:left="929" w:hanging="928" w:hangingChars="387"/>
        <w:rPr>
          <w:sz w:val="24"/>
        </w:rPr>
      </w:pPr>
      <w:r>
        <w:rPr>
          <w:sz w:val="24"/>
        </w:rPr>
        <w:t>Abuya, B. A., &amp; Ngware, M. W. (2015). Free Primary Education and Educational Outcomes in Kenya: Impacts, Lessons, and Challenges. Brookings Institution. https://www.brookings.edu</w:t>
      </w:r>
    </w:p>
    <w:p w14:paraId="13D3BF5B">
      <w:pPr>
        <w:tabs>
          <w:tab w:val="left" w:pos="2629"/>
        </w:tabs>
        <w:spacing w:line="0" w:lineRule="atLeast"/>
        <w:ind w:left="929" w:hanging="928" w:hangingChars="387"/>
        <w:rPr>
          <w:sz w:val="24"/>
        </w:rPr>
      </w:pPr>
      <w:r>
        <w:rPr>
          <w:sz w:val="24"/>
        </w:rPr>
        <w:t>Abuya, B. A., Oketch, M., &amp; Musyoka, P. K. (2013). Why do pupils dropout when education is ‘free’? Explaining school dropout among the urban poor in Nairobi. International Journal of Educational Development, 33(4), 348–356.</w:t>
      </w:r>
    </w:p>
    <w:p w14:paraId="2D6B8CEE">
      <w:pPr>
        <w:tabs>
          <w:tab w:val="left" w:pos="2629"/>
        </w:tabs>
        <w:spacing w:line="0" w:lineRule="atLeast"/>
        <w:ind w:left="929" w:hanging="928" w:hangingChars="387"/>
        <w:rPr>
          <w:sz w:val="24"/>
        </w:rPr>
      </w:pPr>
      <w:r>
        <w:rPr>
          <w:sz w:val="24"/>
        </w:rPr>
        <w:t>Abuya, B. A., Onsomu, E. O., &amp; Moore, D. (2021). The role of social norms and gender roles in school dropout among girls in northern Kenya. International Journal of Educational Development in Africa, 7(2), 33–50.</w:t>
      </w:r>
    </w:p>
    <w:p w14:paraId="5871B149">
      <w:pPr>
        <w:tabs>
          <w:tab w:val="left" w:pos="2629"/>
        </w:tabs>
        <w:spacing w:line="0" w:lineRule="atLeast"/>
        <w:ind w:left="929" w:hanging="928" w:hangingChars="387"/>
        <w:rPr>
          <w:sz w:val="24"/>
        </w:rPr>
      </w:pPr>
      <w:r>
        <w:rPr>
          <w:sz w:val="24"/>
        </w:rPr>
        <w:t>Abuya, B. A., Onsomu, E. O., Moore, D., &amp; Sagwe, J. (2012). A phenomenological study of sexual harassment and violence among girls attending high schools in urban slums in Nairobi, Kenya. Journal of School Violence, 11(4), 323–344.</w:t>
      </w:r>
    </w:p>
    <w:p w14:paraId="772DF73C">
      <w:pPr>
        <w:tabs>
          <w:tab w:val="left" w:pos="2629"/>
        </w:tabs>
        <w:spacing w:line="0" w:lineRule="atLeast"/>
        <w:ind w:left="929" w:hanging="928" w:hangingChars="387"/>
        <w:rPr>
          <w:sz w:val="24"/>
        </w:rPr>
      </w:pPr>
      <w:r>
        <w:rPr>
          <w:sz w:val="24"/>
        </w:rPr>
        <w:t>Abuya, B. A., Onsomu, E. O., Moore, D., &amp; Sagwe, J. (2012). Determinants of educational outcomes: The case of Kenya’s informal settlements. International Journal of Educational Development, 32(2), 314–320. https://doi.org/10.1016/j.ijedudev.2011.05.009</w:t>
      </w:r>
    </w:p>
    <w:p w14:paraId="69D497A2">
      <w:pPr>
        <w:tabs>
          <w:tab w:val="left" w:pos="2629"/>
        </w:tabs>
        <w:spacing w:line="0" w:lineRule="atLeast"/>
        <w:ind w:left="929" w:hanging="928" w:hangingChars="387"/>
        <w:rPr>
          <w:sz w:val="24"/>
        </w:rPr>
      </w:pPr>
      <w:r>
        <w:rPr>
          <w:sz w:val="24"/>
        </w:rPr>
        <w:t>Achoka, J. S. K., &amp; Ogenga, F. P. (2012). Poverty, girl child dropout and human rights in Kenya. International Journal of Humanities and Social Science, 2(16), 105–112.</w:t>
      </w:r>
    </w:p>
    <w:p w14:paraId="47F9257C">
      <w:pPr>
        <w:tabs>
          <w:tab w:val="left" w:pos="2629"/>
        </w:tabs>
        <w:spacing w:line="0" w:lineRule="atLeast"/>
        <w:ind w:left="929" w:hanging="928" w:hangingChars="387"/>
        <w:rPr>
          <w:sz w:val="24"/>
        </w:rPr>
      </w:pPr>
      <w:r>
        <w:rPr>
          <w:sz w:val="24"/>
        </w:rPr>
        <w:t>Achoka, J. S. K., &amp; Oluoch, E. T. (2013). Dismal transition rate in the Kenyan education system: A challenge to effective implementation of curriculum reforms. International Journal of Curriculum and Instruction, 3(2), 17–24.</w:t>
      </w:r>
    </w:p>
    <w:p w14:paraId="4C995E07">
      <w:pPr>
        <w:tabs>
          <w:tab w:val="left" w:pos="2629"/>
        </w:tabs>
        <w:spacing w:line="0" w:lineRule="atLeast"/>
        <w:ind w:left="929" w:hanging="928" w:hangingChars="387"/>
        <w:rPr>
          <w:sz w:val="24"/>
        </w:rPr>
      </w:pPr>
      <w:r>
        <w:rPr>
          <w:sz w:val="24"/>
        </w:rPr>
        <w:t>Adhiambo, R. (2012). Influence of domestic chores on girl-child participation in public primary schools in Bondo District, Kenya. International Journal of Educational Research, 3(2), 112–119.</w:t>
      </w:r>
    </w:p>
    <w:p w14:paraId="17BEE687">
      <w:pPr>
        <w:tabs>
          <w:tab w:val="left" w:pos="2629"/>
        </w:tabs>
        <w:spacing w:line="0" w:lineRule="atLeast"/>
        <w:ind w:left="929" w:hanging="928" w:hangingChars="387"/>
        <w:rPr>
          <w:sz w:val="24"/>
        </w:rPr>
      </w:pPr>
      <w:r>
        <w:rPr>
          <w:sz w:val="24"/>
        </w:rPr>
        <w:t>Adhiambo, R. M. (2015). Socio-cultural factors influencing girl-child education in Nyatike Sub-County, Migori County, Kenya [Master’s thesis, University of Nairobi]. http://erepository.uonbi.ac.ke</w:t>
      </w:r>
    </w:p>
    <w:p w14:paraId="2E8FA543">
      <w:pPr>
        <w:tabs>
          <w:tab w:val="left" w:pos="2629"/>
        </w:tabs>
        <w:spacing w:line="0" w:lineRule="atLeast"/>
        <w:ind w:left="929" w:hanging="928" w:hangingChars="387"/>
        <w:rPr>
          <w:sz w:val="24"/>
        </w:rPr>
      </w:pPr>
      <w:r>
        <w:rPr>
          <w:sz w:val="24"/>
        </w:rPr>
        <w:t>Agengo, R., &amp; Mugisha, S. (2025). Domestic burden and the risk of dropout among schoolgirls in East Africa: A comparative analysis of Kenya and Uganda. African Journal of Gender and Education, 9(1), 45–61.</w:t>
      </w:r>
    </w:p>
    <w:p w14:paraId="40C35788">
      <w:pPr>
        <w:tabs>
          <w:tab w:val="left" w:pos="2629"/>
        </w:tabs>
        <w:spacing w:line="0" w:lineRule="atLeast"/>
        <w:ind w:left="929" w:hanging="928" w:hangingChars="387"/>
        <w:rPr>
          <w:sz w:val="24"/>
        </w:rPr>
      </w:pPr>
      <w:r>
        <w:rPr>
          <w:sz w:val="24"/>
        </w:rPr>
        <w:t>Aikman, S., Halai, A., &amp; Rubagiza, J. (2011). Conceptualising gender equality in research on education quality. Comparative Education, 47(1), 45–60. https://doi.org/10.1080/03050068.2011.541674</w:t>
      </w:r>
    </w:p>
    <w:p w14:paraId="1E304329">
      <w:pPr>
        <w:tabs>
          <w:tab w:val="left" w:pos="2629"/>
        </w:tabs>
        <w:spacing w:line="0" w:lineRule="atLeast"/>
        <w:ind w:left="929" w:hanging="928" w:hangingChars="387"/>
        <w:rPr>
          <w:sz w:val="24"/>
        </w:rPr>
      </w:pPr>
      <w:r>
        <w:rPr>
          <w:sz w:val="24"/>
        </w:rPr>
        <w:t>Aloka, P. J. O., &amp; Boit, J. M. (2016). Gender disparities in education: Addressing the impact of household chores on the academic performance of girls in Kenya. Journal of Education and Practice, 7(35), 59–63.</w:t>
      </w:r>
    </w:p>
    <w:p w14:paraId="055AB30B">
      <w:pPr>
        <w:tabs>
          <w:tab w:val="left" w:pos="2629"/>
        </w:tabs>
        <w:spacing w:line="0" w:lineRule="atLeast"/>
        <w:ind w:left="929" w:hanging="928" w:hangingChars="387"/>
        <w:rPr>
          <w:sz w:val="24"/>
        </w:rPr>
      </w:pPr>
      <w:r>
        <w:rPr>
          <w:sz w:val="24"/>
        </w:rPr>
        <w:t>Amin, S., Diamond, I., Naved, R. T., &amp; Newby, M. (1998). Transition to adulthood of female garment-factory workers in Bangladesh. Studies in Family Planning, 29(2), 185–200.</w:t>
      </w:r>
    </w:p>
    <w:p w14:paraId="4D988501">
      <w:pPr>
        <w:tabs>
          <w:tab w:val="left" w:pos="2629"/>
        </w:tabs>
        <w:spacing w:line="0" w:lineRule="atLeast"/>
        <w:ind w:left="929" w:hanging="928" w:hangingChars="387"/>
        <w:rPr>
          <w:sz w:val="24"/>
        </w:rPr>
      </w:pPr>
      <w:r>
        <w:rPr>
          <w:sz w:val="24"/>
        </w:rPr>
        <w:t>Ampiah, J. G., &amp; Adu‐Yeboah, C. (2009). Mapping the incidence of school dropout: A case study of communities in Northern Ghana. Comparative Education, 45(2), 219–232. https://doi.org/10.1080/03050060902920644</w:t>
      </w:r>
    </w:p>
    <w:p w14:paraId="24117400">
      <w:pPr>
        <w:tabs>
          <w:tab w:val="left" w:pos="2629"/>
        </w:tabs>
        <w:spacing w:line="0" w:lineRule="atLeast"/>
        <w:ind w:left="929" w:hanging="928" w:hangingChars="387"/>
        <w:rPr>
          <w:sz w:val="24"/>
        </w:rPr>
      </w:pPr>
      <w:r>
        <w:rPr>
          <w:sz w:val="24"/>
        </w:rPr>
        <w:t>Asayo, O. O. (2010). Socio-cultural determinants of dropout among girls in primary schools in Busia County, Kenya [Master’s thesis, Kenyatta University]. https://ir-library.ku.ac.ke</w:t>
      </w:r>
    </w:p>
    <w:p w14:paraId="1E0B64A9">
      <w:pPr>
        <w:tabs>
          <w:tab w:val="left" w:pos="2629"/>
        </w:tabs>
        <w:spacing w:line="0" w:lineRule="atLeast"/>
        <w:ind w:left="929" w:hanging="928" w:hangingChars="387"/>
        <w:rPr>
          <w:sz w:val="24"/>
        </w:rPr>
      </w:pPr>
      <w:r>
        <w:rPr>
          <w:sz w:val="24"/>
        </w:rPr>
        <w:t>Bandura, A. (1977). Social Learning Theory. Englewood Cliffs, NJ: Prentice Hall.</w:t>
      </w:r>
    </w:p>
    <w:p w14:paraId="3E70BB97">
      <w:pPr>
        <w:tabs>
          <w:tab w:val="left" w:pos="2629"/>
        </w:tabs>
        <w:spacing w:line="0" w:lineRule="atLeast"/>
        <w:ind w:left="929" w:hanging="928" w:hangingChars="387"/>
        <w:rPr>
          <w:sz w:val="24"/>
        </w:rPr>
      </w:pPr>
      <w:r>
        <w:rPr>
          <w:sz w:val="24"/>
        </w:rPr>
        <w:t>Biraimah, K. L. (2005). Parental support, culture and education: A case study of the Maasai of Kenya. Education and Society, 23(1), 41–54.</w:t>
      </w:r>
    </w:p>
    <w:p w14:paraId="155E648A">
      <w:pPr>
        <w:tabs>
          <w:tab w:val="left" w:pos="2629"/>
        </w:tabs>
        <w:spacing w:line="0" w:lineRule="atLeast"/>
        <w:ind w:left="929" w:hanging="928" w:hangingChars="387"/>
        <w:rPr>
          <w:sz w:val="24"/>
        </w:rPr>
      </w:pPr>
      <w:r>
        <w:rPr>
          <w:sz w:val="24"/>
        </w:rPr>
        <w:t>Black, M. (2002). Child domestic workers: A handbook on good practice in programme interventions. Geneva: ILO.</w:t>
      </w:r>
    </w:p>
    <w:p w14:paraId="17AB1D67">
      <w:pPr>
        <w:tabs>
          <w:tab w:val="left" w:pos="2629"/>
        </w:tabs>
        <w:spacing w:line="0" w:lineRule="atLeast"/>
        <w:ind w:left="929" w:hanging="928" w:hangingChars="387"/>
        <w:rPr>
          <w:sz w:val="24"/>
        </w:rPr>
      </w:pPr>
      <w:r>
        <w:rPr>
          <w:sz w:val="24"/>
        </w:rPr>
        <w:t>Bourdillon, M., Levison, D., Myers, W. E., &amp; White, B. (2010). Rights and wrongs of children's work. Rutgers University Press.</w:t>
      </w:r>
    </w:p>
    <w:p w14:paraId="60725432">
      <w:pPr>
        <w:tabs>
          <w:tab w:val="left" w:pos="2629"/>
        </w:tabs>
        <w:spacing w:line="0" w:lineRule="atLeast"/>
        <w:ind w:left="929" w:hanging="928" w:hangingChars="387"/>
        <w:rPr>
          <w:sz w:val="24"/>
        </w:rPr>
      </w:pPr>
      <w:r>
        <w:rPr>
          <w:sz w:val="24"/>
        </w:rPr>
        <w:t>Boyden, J., &amp; Levison, D. (2000). Children as economic and social actors in the development process. Working Paper No. 2000/1. Stockholm: Ministry for Foreign Affairs.</w:t>
      </w:r>
    </w:p>
    <w:p w14:paraId="0DC286D1">
      <w:pPr>
        <w:tabs>
          <w:tab w:val="left" w:pos="2629"/>
        </w:tabs>
        <w:spacing w:line="0" w:lineRule="atLeast"/>
        <w:ind w:left="929" w:hanging="928" w:hangingChars="387"/>
        <w:rPr>
          <w:sz w:val="24"/>
        </w:rPr>
      </w:pPr>
      <w:r>
        <w:rPr>
          <w:sz w:val="24"/>
        </w:rPr>
        <w:t>Brock, C., &amp; Cammish, N. (1997). Factors affecting female participation in education in seven developing countries. Education Research Paper No. 09. Department for International Development.</w:t>
      </w:r>
    </w:p>
    <w:p w14:paraId="03D7487E">
      <w:pPr>
        <w:tabs>
          <w:tab w:val="left" w:pos="2629"/>
        </w:tabs>
        <w:spacing w:line="0" w:lineRule="atLeast"/>
        <w:ind w:left="929" w:hanging="928" w:hangingChars="387"/>
        <w:rPr>
          <w:sz w:val="24"/>
        </w:rPr>
      </w:pPr>
      <w:r>
        <w:rPr>
          <w:sz w:val="24"/>
        </w:rPr>
        <w:t>Bronfenbrenner, U. (1979). The ecology of human development: Experiments by nature and design. Harvard University Press.</w:t>
      </w:r>
    </w:p>
    <w:p w14:paraId="525314E7">
      <w:pPr>
        <w:tabs>
          <w:tab w:val="left" w:pos="2629"/>
        </w:tabs>
        <w:spacing w:line="0" w:lineRule="atLeast"/>
        <w:ind w:left="929" w:hanging="928" w:hangingChars="387"/>
        <w:rPr>
          <w:sz w:val="24"/>
        </w:rPr>
      </w:pPr>
      <w:r>
        <w:rPr>
          <w:sz w:val="24"/>
        </w:rPr>
        <w:t>Buchmann, C., &amp; Hannum, E. (2001). Education and stratification in developing countries: A review of theories and research. Annual Review of Sociology, 27(1), 77–102.</w:t>
      </w:r>
    </w:p>
    <w:p w14:paraId="553CEB50">
      <w:pPr>
        <w:tabs>
          <w:tab w:val="left" w:pos="2629"/>
        </w:tabs>
        <w:spacing w:line="0" w:lineRule="atLeast"/>
        <w:ind w:left="929" w:hanging="928" w:hangingChars="387"/>
        <w:rPr>
          <w:sz w:val="24"/>
        </w:rPr>
      </w:pPr>
      <w:r>
        <w:rPr>
          <w:sz w:val="24"/>
        </w:rPr>
        <w:t>Burton, P. (2007). Someone stole my smile: An exploration into the causes of youth violence in South Africa. Centre for Justice and Crime Prevention.</w:t>
      </w:r>
    </w:p>
    <w:p w14:paraId="43AB0EC3">
      <w:pPr>
        <w:tabs>
          <w:tab w:val="left" w:pos="2629"/>
        </w:tabs>
        <w:spacing w:line="0" w:lineRule="atLeast"/>
        <w:ind w:left="929" w:hanging="928" w:hangingChars="387"/>
        <w:rPr>
          <w:sz w:val="24"/>
        </w:rPr>
      </w:pPr>
      <w:r>
        <w:rPr>
          <w:sz w:val="24"/>
        </w:rPr>
        <w:t>Chege, F. N., &amp; Sifuna, D. N. (2006). Girls’ and women’s education in Kenya: Gender perspectives and trends. UNESCO.</w:t>
      </w:r>
    </w:p>
    <w:p w14:paraId="576BCBFC">
      <w:pPr>
        <w:tabs>
          <w:tab w:val="left" w:pos="2629"/>
        </w:tabs>
        <w:spacing w:line="0" w:lineRule="atLeast"/>
        <w:ind w:left="929" w:hanging="928" w:hangingChars="387"/>
        <w:rPr>
          <w:sz w:val="24"/>
        </w:rPr>
      </w:pPr>
      <w:r>
        <w:rPr>
          <w:sz w:val="24"/>
        </w:rPr>
        <w:t>Chege, F. N., &amp; Sifuna, D. N. (2006). Girls’ and women’s education in Kenya: Gender perspectives and trends. Nairobi: UNESCO.</w:t>
      </w:r>
    </w:p>
    <w:p w14:paraId="579375B2">
      <w:pPr>
        <w:tabs>
          <w:tab w:val="left" w:pos="2629"/>
        </w:tabs>
        <w:spacing w:line="0" w:lineRule="atLeast"/>
        <w:ind w:left="929" w:hanging="928" w:hangingChars="387"/>
        <w:rPr>
          <w:sz w:val="24"/>
        </w:rPr>
      </w:pPr>
      <w:r>
        <w:rPr>
          <w:sz w:val="24"/>
        </w:rPr>
        <w:t>Chinyoka, K. (2014). Causes of school dropout among ordinary level learners in a resettlement area in Masvingo, Zimbabwe. Journal of Emerging Trends in Educational Research and Policy Studies, 5(2), 171–175.</w:t>
      </w:r>
    </w:p>
    <w:p w14:paraId="0A8EF4C4">
      <w:pPr>
        <w:tabs>
          <w:tab w:val="left" w:pos="2629"/>
        </w:tabs>
        <w:spacing w:line="0" w:lineRule="atLeast"/>
        <w:ind w:left="929" w:hanging="928" w:hangingChars="387"/>
        <w:rPr>
          <w:sz w:val="24"/>
        </w:rPr>
      </w:pPr>
      <w:r>
        <w:rPr>
          <w:sz w:val="24"/>
        </w:rPr>
        <w:t>Colclough, C., Rose, P., &amp; Tembon, M. (2000). Gender inequalities in primary schooling: The roles of poverty and adverse cultural practice. International Journal of Educational Development, 20(1), 5–27. https://doi.org/10.1016/S0738-0593(99)00046-2</w:t>
      </w:r>
    </w:p>
    <w:p w14:paraId="1694B0FF">
      <w:pPr>
        <w:tabs>
          <w:tab w:val="left" w:pos="2629"/>
        </w:tabs>
        <w:spacing w:line="0" w:lineRule="atLeast"/>
        <w:ind w:left="929" w:hanging="928" w:hangingChars="387"/>
        <w:rPr>
          <w:sz w:val="24"/>
        </w:rPr>
      </w:pPr>
      <w:r>
        <w:rPr>
          <w:sz w:val="24"/>
        </w:rPr>
        <w:t>Colclough, C., Rose, P., &amp; Tembon, M. (2000). Gender inequalities in primary schooling: The roles of poverty and adverse cultural practice. International Journal of Educational Development, 20(1), 5–27.</w:t>
      </w:r>
    </w:p>
    <w:p w14:paraId="32C5FB9A">
      <w:pPr>
        <w:tabs>
          <w:tab w:val="left" w:pos="2629"/>
        </w:tabs>
        <w:spacing w:line="0" w:lineRule="atLeast"/>
        <w:ind w:left="929" w:hanging="928" w:hangingChars="387"/>
        <w:rPr>
          <w:sz w:val="24"/>
        </w:rPr>
      </w:pPr>
      <w:r>
        <w:rPr>
          <w:sz w:val="24"/>
        </w:rPr>
        <w:t>DFID. (2005). Girls’ education: Towards a better future for all. UK Department for International Development. https://www.gov.uk/government/publications/girls-education-towards-a-better-future-for-all</w:t>
      </w:r>
    </w:p>
    <w:p w14:paraId="13F23694">
      <w:pPr>
        <w:tabs>
          <w:tab w:val="left" w:pos="2629"/>
        </w:tabs>
        <w:spacing w:line="0" w:lineRule="atLeast"/>
        <w:ind w:left="929" w:hanging="928" w:hangingChars="387"/>
        <w:rPr>
          <w:sz w:val="24"/>
        </w:rPr>
      </w:pPr>
      <w:r>
        <w:rPr>
          <w:sz w:val="24"/>
        </w:rPr>
        <w:t>Durkheim, E. (1897/2006). On suicide (R. Buss, Trans.). Penguin Classics.</w:t>
      </w:r>
    </w:p>
    <w:p w14:paraId="4AEDA60E">
      <w:pPr>
        <w:tabs>
          <w:tab w:val="left" w:pos="2629"/>
        </w:tabs>
        <w:spacing w:line="0" w:lineRule="atLeast"/>
        <w:ind w:left="929" w:hanging="928" w:hangingChars="387"/>
        <w:rPr>
          <w:sz w:val="24"/>
        </w:rPr>
      </w:pPr>
      <w:r>
        <w:rPr>
          <w:sz w:val="24"/>
        </w:rPr>
        <w:t>FAWE (Forum for African Women Educationalists). (2011). Tackling gender inequality in education: A study of female dropout and retention in Kenya. FAWE Kenya Chapter.</w:t>
      </w:r>
    </w:p>
    <w:p w14:paraId="08A2F15C">
      <w:pPr>
        <w:tabs>
          <w:tab w:val="left" w:pos="2629"/>
        </w:tabs>
        <w:spacing w:line="0" w:lineRule="atLeast"/>
        <w:ind w:left="929" w:hanging="928" w:hangingChars="387"/>
        <w:rPr>
          <w:sz w:val="24"/>
        </w:rPr>
      </w:pPr>
      <w:r>
        <w:rPr>
          <w:sz w:val="24"/>
        </w:rPr>
        <w:t>FAWE (Forum for African Women Educationalists). (2011). Tapping the Potential of Schoolgirls: Eliminating Barriers to Girls' Education in Africa. Nairobi: FAWE.</w:t>
      </w:r>
    </w:p>
    <w:p w14:paraId="5864C03F">
      <w:pPr>
        <w:tabs>
          <w:tab w:val="left" w:pos="2629"/>
        </w:tabs>
        <w:spacing w:line="0" w:lineRule="atLeast"/>
        <w:ind w:left="929" w:hanging="928" w:hangingChars="387"/>
        <w:rPr>
          <w:sz w:val="24"/>
        </w:rPr>
      </w:pPr>
      <w:r>
        <w:rPr>
          <w:sz w:val="24"/>
        </w:rPr>
        <w:t>FAWE (Forum for African Women Educationalists). (2022). Barriers to girls' education in arid and semi-arid regions of Kenya: Policy responses and community engagement. Nairobi: FAWE-Kenya.</w:t>
      </w:r>
    </w:p>
    <w:p w14:paraId="70B47F40">
      <w:pPr>
        <w:tabs>
          <w:tab w:val="left" w:pos="2629"/>
        </w:tabs>
        <w:spacing w:line="0" w:lineRule="atLeast"/>
        <w:ind w:left="929" w:hanging="928" w:hangingChars="387"/>
        <w:rPr>
          <w:sz w:val="24"/>
        </w:rPr>
      </w:pPr>
      <w:r>
        <w:rPr>
          <w:sz w:val="24"/>
        </w:rPr>
        <w:t>FAWE. (2017). Reducing gender disparities in education through parental engagement in pastoralist communities. FAWE Africa Policy Brief.</w:t>
      </w:r>
    </w:p>
    <w:p w14:paraId="7725BCBD">
      <w:pPr>
        <w:tabs>
          <w:tab w:val="left" w:pos="2629"/>
        </w:tabs>
        <w:spacing w:line="0" w:lineRule="atLeast"/>
        <w:ind w:left="929" w:hanging="928" w:hangingChars="387"/>
        <w:rPr>
          <w:sz w:val="24"/>
        </w:rPr>
      </w:pPr>
      <w:r>
        <w:rPr>
          <w:sz w:val="24"/>
        </w:rPr>
        <w:t>Fentiman, A., Hall, A., &amp; Bundy, D. (1999). School enrolment patterns in rural Ghana: A comparative study of the impact of location, gender, age and health on children’s access to basic schooling. Comparative Education, 35(3), 331–349.</w:t>
      </w:r>
    </w:p>
    <w:p w14:paraId="7A4F9A97">
      <w:pPr>
        <w:tabs>
          <w:tab w:val="left" w:pos="2629"/>
        </w:tabs>
        <w:spacing w:line="0" w:lineRule="atLeast"/>
        <w:ind w:left="929" w:hanging="928" w:hangingChars="387"/>
        <w:rPr>
          <w:sz w:val="24"/>
        </w:rPr>
      </w:pPr>
      <w:r>
        <w:rPr>
          <w:sz w:val="24"/>
        </w:rPr>
        <w:t>Gachukia, E. W. (2002). The role of African universities in the advancement of women. In A. M. D. Farah &amp; D. Mazrui (Eds.), The African university in the twenty-first century (pp. 128–141). Dakar: CODESRIA.</w:t>
      </w:r>
    </w:p>
    <w:p w14:paraId="31533F62">
      <w:pPr>
        <w:tabs>
          <w:tab w:val="left" w:pos="2629"/>
        </w:tabs>
        <w:spacing w:line="0" w:lineRule="atLeast"/>
        <w:ind w:left="929" w:hanging="928" w:hangingChars="387"/>
        <w:rPr>
          <w:sz w:val="24"/>
        </w:rPr>
      </w:pPr>
      <w:r>
        <w:rPr>
          <w:sz w:val="24"/>
        </w:rPr>
        <w:t>Gachukia, E. W. (2020). Domestic work, child rights, and the girl child’s education in Africa: Policy contradictions and cultural persistence. African Education Studies, 6(1), 84–98.</w:t>
      </w:r>
    </w:p>
    <w:p w14:paraId="4D2E3909">
      <w:pPr>
        <w:tabs>
          <w:tab w:val="left" w:pos="2629"/>
        </w:tabs>
        <w:spacing w:line="0" w:lineRule="atLeast"/>
        <w:ind w:left="929" w:hanging="928" w:hangingChars="387"/>
        <w:rPr>
          <w:sz w:val="24"/>
        </w:rPr>
      </w:pPr>
      <w:r>
        <w:rPr>
          <w:sz w:val="24"/>
        </w:rPr>
        <w:t>Garcia, M., Pence, A., &amp; Evans, J. L. (2008). Africa's future, Africa's challenge: Early childhood care and development in Sub-Saharan Africa. Washington, DC: World Bank.</w:t>
      </w:r>
    </w:p>
    <w:p w14:paraId="7A08E250">
      <w:pPr>
        <w:tabs>
          <w:tab w:val="left" w:pos="2629"/>
        </w:tabs>
        <w:spacing w:line="0" w:lineRule="atLeast"/>
        <w:ind w:left="929" w:hanging="928" w:hangingChars="387"/>
        <w:rPr>
          <w:sz w:val="24"/>
        </w:rPr>
      </w:pPr>
      <w:r>
        <w:rPr>
          <w:sz w:val="24"/>
        </w:rPr>
        <w:t>Garissa County Government. (2018). Garissa County Integrated Development Plan 2018–2022. https://garissa.go.ke</w:t>
      </w:r>
    </w:p>
    <w:p w14:paraId="3240055D">
      <w:pPr>
        <w:tabs>
          <w:tab w:val="left" w:pos="2629"/>
        </w:tabs>
        <w:spacing w:line="0" w:lineRule="atLeast"/>
        <w:ind w:left="929" w:hanging="928" w:hangingChars="387"/>
        <w:rPr>
          <w:sz w:val="24"/>
        </w:rPr>
      </w:pPr>
      <w:r>
        <w:rPr>
          <w:sz w:val="24"/>
        </w:rPr>
        <w:t>Gershoff, E. T., &amp; Grogan-Kaylor, A. (2016). Spanking and child outcomes: Old controversies and new meta-analyses. Journal of Family Psychology, 30(4), 453–469. https://doi.org/10.1037/fam0000191</w:t>
      </w:r>
    </w:p>
    <w:p w14:paraId="0365F907">
      <w:pPr>
        <w:tabs>
          <w:tab w:val="left" w:pos="2629"/>
        </w:tabs>
        <w:spacing w:line="0" w:lineRule="atLeast"/>
        <w:ind w:left="929" w:hanging="928" w:hangingChars="387"/>
        <w:rPr>
          <w:sz w:val="24"/>
        </w:rPr>
      </w:pPr>
      <w:r>
        <w:rPr>
          <w:sz w:val="24"/>
        </w:rPr>
        <w:t>GOK (Government of Kenya). (2013). The Basic Education Act No. 14 of 2013. Nairobi: National Council for Law Reporting.</w:t>
      </w:r>
    </w:p>
    <w:p w14:paraId="11455958">
      <w:pPr>
        <w:tabs>
          <w:tab w:val="left" w:pos="2629"/>
        </w:tabs>
        <w:spacing w:line="0" w:lineRule="atLeast"/>
        <w:ind w:left="929" w:hanging="928" w:hangingChars="387"/>
        <w:rPr>
          <w:sz w:val="24"/>
        </w:rPr>
      </w:pPr>
      <w:r>
        <w:rPr>
          <w:sz w:val="24"/>
        </w:rPr>
        <w:t>GOK (Government of Kenya). (2018). Education sector report 2018/19–2020/21. Nairobi: The National Treasury and Planning.</w:t>
      </w:r>
    </w:p>
    <w:p w14:paraId="173D7D2C">
      <w:pPr>
        <w:tabs>
          <w:tab w:val="left" w:pos="2629"/>
        </w:tabs>
        <w:spacing w:line="0" w:lineRule="atLeast"/>
        <w:ind w:left="929" w:hanging="928" w:hangingChars="387"/>
        <w:rPr>
          <w:sz w:val="24"/>
        </w:rPr>
      </w:pPr>
      <w:r>
        <w:rPr>
          <w:sz w:val="24"/>
        </w:rPr>
        <w:t>Gordon, A. (2013). Girlhood and the politics of place. Berghahn Books.</w:t>
      </w:r>
    </w:p>
    <w:p w14:paraId="1FD9AC22">
      <w:pPr>
        <w:tabs>
          <w:tab w:val="left" w:pos="2629"/>
        </w:tabs>
        <w:spacing w:line="0" w:lineRule="atLeast"/>
        <w:ind w:left="929" w:hanging="928" w:hangingChars="387"/>
        <w:rPr>
          <w:sz w:val="24"/>
        </w:rPr>
      </w:pPr>
      <w:r>
        <w:rPr>
          <w:sz w:val="24"/>
        </w:rPr>
        <w:t>Gordon, D. (2018). The impact of gender roles on access to education in pastoralist communities in Kenya. African Journal of Gender and Development, 4(2), 66–78.</w:t>
      </w:r>
    </w:p>
    <w:p w14:paraId="4F38947D">
      <w:pPr>
        <w:tabs>
          <w:tab w:val="left" w:pos="2629"/>
        </w:tabs>
        <w:spacing w:line="0" w:lineRule="atLeast"/>
        <w:ind w:left="929" w:hanging="928" w:hangingChars="387"/>
        <w:rPr>
          <w:sz w:val="24"/>
        </w:rPr>
      </w:pPr>
      <w:r>
        <w:rPr>
          <w:sz w:val="24"/>
        </w:rPr>
        <w:t>Gordon, R. A. (2004). Social institutions and gender inequality. In A. L. Kimmel (Ed.), The gendered society (pp. 156–182). Oxford University Press.</w:t>
      </w:r>
    </w:p>
    <w:p w14:paraId="1CCE4A1E">
      <w:pPr>
        <w:tabs>
          <w:tab w:val="left" w:pos="2629"/>
        </w:tabs>
        <w:spacing w:line="0" w:lineRule="atLeast"/>
        <w:ind w:left="929" w:hanging="928" w:hangingChars="387"/>
        <w:rPr>
          <w:sz w:val="24"/>
        </w:rPr>
      </w:pPr>
      <w:r>
        <w:rPr>
          <w:sz w:val="24"/>
        </w:rPr>
        <w:t>Gordon, R., Welikala, D., &amp; James, C. (2019). Education and child labour: A gender perspective. Geneva: International Labour Organization (ILO).</w:t>
      </w:r>
    </w:p>
    <w:p w14:paraId="56E8EBE0">
      <w:pPr>
        <w:tabs>
          <w:tab w:val="left" w:pos="2629"/>
        </w:tabs>
        <w:spacing w:line="0" w:lineRule="atLeast"/>
        <w:ind w:left="929" w:hanging="928" w:hangingChars="387"/>
        <w:rPr>
          <w:sz w:val="24"/>
        </w:rPr>
      </w:pPr>
      <w:r>
        <w:rPr>
          <w:sz w:val="24"/>
        </w:rPr>
        <w:t>Groleau, D., &amp; Whitley, R. (2014). Cultural competence and global public health. Canadian Medical Association Journal, 186(13), 1016–1020.</w:t>
      </w:r>
    </w:p>
    <w:p w14:paraId="6B1A4A95">
      <w:pPr>
        <w:tabs>
          <w:tab w:val="left" w:pos="2629"/>
        </w:tabs>
        <w:spacing w:line="0" w:lineRule="atLeast"/>
        <w:ind w:left="929" w:hanging="928" w:hangingChars="387"/>
        <w:rPr>
          <w:sz w:val="24"/>
        </w:rPr>
      </w:pPr>
      <w:r>
        <w:rPr>
          <w:sz w:val="24"/>
        </w:rPr>
        <w:t>Herz, B., &amp; Sperling, G. B. (2004). What works in girls' education: Evidence and policies from the developing world. New York: Council on Foreign Relations.</w:t>
      </w:r>
    </w:p>
    <w:p w14:paraId="081C49DD">
      <w:pPr>
        <w:tabs>
          <w:tab w:val="left" w:pos="2629"/>
        </w:tabs>
        <w:spacing w:line="0" w:lineRule="atLeast"/>
        <w:ind w:left="929" w:hanging="928" w:hangingChars="387"/>
        <w:rPr>
          <w:sz w:val="24"/>
        </w:rPr>
      </w:pPr>
      <w:r>
        <w:rPr>
          <w:sz w:val="24"/>
        </w:rPr>
        <w:t>Herz, B., &amp; Sperling, G. B. (2004). What works in girls’ education: Evidence and policies from the developing world. Council on Foreign Relations.</w:t>
      </w:r>
    </w:p>
    <w:p w14:paraId="01E273A4">
      <w:pPr>
        <w:tabs>
          <w:tab w:val="left" w:pos="2629"/>
        </w:tabs>
        <w:spacing w:line="0" w:lineRule="atLeast"/>
        <w:ind w:left="929" w:hanging="928" w:hangingChars="387"/>
        <w:rPr>
          <w:sz w:val="24"/>
        </w:rPr>
      </w:pPr>
      <w:r>
        <w:rPr>
          <w:sz w:val="24"/>
        </w:rPr>
        <w:t>Human Rights Watch. (2016). “I Just Sit and Wait to Die”: Education, sexual violence, and child marriage in South Sudan. https://www.hrw.org</w:t>
      </w:r>
    </w:p>
    <w:p w14:paraId="275608BE">
      <w:pPr>
        <w:tabs>
          <w:tab w:val="left" w:pos="2629"/>
        </w:tabs>
        <w:spacing w:line="0" w:lineRule="atLeast"/>
        <w:ind w:left="929" w:hanging="928" w:hangingChars="387"/>
        <w:rPr>
          <w:sz w:val="24"/>
        </w:rPr>
      </w:pPr>
      <w:r>
        <w:rPr>
          <w:sz w:val="24"/>
        </w:rPr>
        <w:t>Hyde, K. A. L. (1993). Sub-Saharan Africa: Girls' education in transition. In E. M. King &amp; M. A. Hill (Eds.), Women's education in developing countries: Barriers, benefits, and policies (pp. 173–208). Johns Hopkins University Press.</w:t>
      </w:r>
    </w:p>
    <w:p w14:paraId="627FA3B1">
      <w:pPr>
        <w:tabs>
          <w:tab w:val="left" w:pos="2629"/>
        </w:tabs>
        <w:spacing w:line="0" w:lineRule="atLeast"/>
        <w:ind w:left="929" w:hanging="928" w:hangingChars="387"/>
        <w:rPr>
          <w:sz w:val="24"/>
        </w:rPr>
      </w:pPr>
      <w:r>
        <w:rPr>
          <w:sz w:val="24"/>
        </w:rPr>
        <w:t>Hyde, K. A. L. (2001). Barriers to women’s education in Africa. In O. F. P. Zeleza &amp; P. Tiyambe (Eds.), Gender, education and development: Beyond access to empowerment (pp. 95–119). London: Zed Books.</w:t>
      </w:r>
    </w:p>
    <w:p w14:paraId="7A763460">
      <w:pPr>
        <w:tabs>
          <w:tab w:val="left" w:pos="2629"/>
        </w:tabs>
        <w:spacing w:line="0" w:lineRule="atLeast"/>
        <w:ind w:left="929" w:hanging="928" w:hangingChars="387"/>
        <w:rPr>
          <w:sz w:val="24"/>
        </w:rPr>
      </w:pPr>
      <w:r>
        <w:rPr>
          <w:sz w:val="24"/>
        </w:rPr>
        <w:t>International Labour Organization (ILO). (2009). Give girls a chance: Tackling child labour, a key to the future. Geneva: ILO.</w:t>
      </w:r>
    </w:p>
    <w:p w14:paraId="0D1F9A3C">
      <w:pPr>
        <w:tabs>
          <w:tab w:val="left" w:pos="2629"/>
        </w:tabs>
        <w:spacing w:line="0" w:lineRule="atLeast"/>
        <w:ind w:left="929" w:hanging="928" w:hangingChars="387"/>
        <w:rPr>
          <w:sz w:val="24"/>
        </w:rPr>
      </w:pPr>
      <w:r>
        <w:rPr>
          <w:sz w:val="24"/>
        </w:rPr>
        <w:t>Jama, A. H., Warsame, H. M., &amp; Mohamed, S. Y. (2023). Socio-cultural drivers of school dropout among girls in Somalia: The role of household responsibilities. Somali Journal of Education and Development, 5(2), 112–129.</w:t>
      </w:r>
    </w:p>
    <w:p w14:paraId="6C461586">
      <w:pPr>
        <w:tabs>
          <w:tab w:val="left" w:pos="2629"/>
        </w:tabs>
        <w:spacing w:line="0" w:lineRule="atLeast"/>
        <w:ind w:left="929" w:hanging="928" w:hangingChars="387"/>
        <w:rPr>
          <w:sz w:val="24"/>
        </w:rPr>
      </w:pPr>
      <w:r>
        <w:rPr>
          <w:sz w:val="24"/>
        </w:rPr>
        <w:t>Jansen, J. D. (2009). Knowledge in the blood: Confronting race and the apartheid past. Stanford University Press.</w:t>
      </w:r>
    </w:p>
    <w:p w14:paraId="54EFC756">
      <w:pPr>
        <w:tabs>
          <w:tab w:val="left" w:pos="2629"/>
        </w:tabs>
        <w:spacing w:line="0" w:lineRule="atLeast"/>
        <w:ind w:left="929" w:hanging="928" w:hangingChars="387"/>
        <w:rPr>
          <w:sz w:val="24"/>
        </w:rPr>
      </w:pPr>
      <w:r>
        <w:rPr>
          <w:sz w:val="24"/>
        </w:rPr>
        <w:t>Kabeberi-Macharia, J. (1998). The legal status of women and poverty in Kenya. Third World Legal Studies, 15(1), Article 3. https://scholar.valpo.edu/twls/vol15/iss1/3</w:t>
      </w:r>
    </w:p>
    <w:p w14:paraId="65FAB5BE">
      <w:pPr>
        <w:tabs>
          <w:tab w:val="left" w:pos="2629"/>
        </w:tabs>
        <w:spacing w:line="0" w:lineRule="atLeast"/>
        <w:ind w:left="929" w:hanging="928" w:hangingChars="387"/>
        <w:rPr>
          <w:sz w:val="24"/>
        </w:rPr>
      </w:pPr>
      <w:r>
        <w:rPr>
          <w:sz w:val="24"/>
        </w:rPr>
        <w:t>Kabeer, N. (2005). Gender equality and women’s empowerment: A critical analysis of the third Millennium Development Goal. Gender &amp; Development, 13(1), 13–24.</w:t>
      </w:r>
    </w:p>
    <w:p w14:paraId="1D9A8305">
      <w:pPr>
        <w:tabs>
          <w:tab w:val="left" w:pos="2629"/>
        </w:tabs>
        <w:spacing w:line="0" w:lineRule="atLeast"/>
        <w:ind w:left="929" w:hanging="928" w:hangingChars="387"/>
        <w:rPr>
          <w:sz w:val="24"/>
        </w:rPr>
      </w:pPr>
      <w:r>
        <w:rPr>
          <w:sz w:val="24"/>
        </w:rPr>
        <w:t>Kabeer, N. (2005). Gender equality and women's empowerment: A critical analysis of the third Millennium Development Goal. Gender &amp; Development, 13(1), 13–24. https://doi.org/10.1080/13552070512331332273</w:t>
      </w:r>
    </w:p>
    <w:p w14:paraId="37E5D6AD">
      <w:pPr>
        <w:tabs>
          <w:tab w:val="left" w:pos="2629"/>
        </w:tabs>
        <w:spacing w:line="0" w:lineRule="atLeast"/>
        <w:ind w:left="929" w:hanging="928" w:hangingChars="387"/>
        <w:rPr>
          <w:sz w:val="24"/>
        </w:rPr>
      </w:pPr>
      <w:r>
        <w:rPr>
          <w:sz w:val="24"/>
        </w:rPr>
        <w:t>Kabira, W. M., &amp; Masinjila, M. (1997). ABC of gender analysis. Nairobi: Forum for African Women Educationalists.</w:t>
      </w:r>
    </w:p>
    <w:p w14:paraId="637D0E39">
      <w:pPr>
        <w:tabs>
          <w:tab w:val="left" w:pos="2629"/>
        </w:tabs>
        <w:spacing w:line="0" w:lineRule="atLeast"/>
        <w:ind w:left="929" w:hanging="928" w:hangingChars="387"/>
        <w:rPr>
          <w:sz w:val="24"/>
        </w:rPr>
      </w:pPr>
      <w:r>
        <w:rPr>
          <w:sz w:val="24"/>
        </w:rPr>
        <w:t>Kabubo-Mariara, J., &amp; Mwabu, D. K. (2007). Determinants of school enrollment and education attainment: Empirical evidence from Kenya. South African Journal of Economics, 75(3), 572–593.</w:t>
      </w:r>
    </w:p>
    <w:p w14:paraId="2E54515B">
      <w:pPr>
        <w:tabs>
          <w:tab w:val="left" w:pos="2629"/>
        </w:tabs>
        <w:spacing w:line="0" w:lineRule="atLeast"/>
        <w:ind w:left="929" w:hanging="928" w:hangingChars="387"/>
        <w:rPr>
          <w:sz w:val="24"/>
        </w:rPr>
      </w:pPr>
      <w:r>
        <w:rPr>
          <w:sz w:val="24"/>
        </w:rPr>
        <w:t>Kameri-Mbote, P. (2004). The impact of cultural norms on women's rights: The case of Kenya. International Environmental Law Research Centre (IELRC) Working Paper.</w:t>
      </w:r>
    </w:p>
    <w:p w14:paraId="16B11A2B">
      <w:pPr>
        <w:tabs>
          <w:tab w:val="left" w:pos="2629"/>
        </w:tabs>
        <w:spacing w:line="0" w:lineRule="atLeast"/>
        <w:ind w:left="929" w:hanging="928" w:hangingChars="387"/>
        <w:rPr>
          <w:sz w:val="24"/>
        </w:rPr>
      </w:pPr>
      <w:r>
        <w:rPr>
          <w:sz w:val="24"/>
        </w:rPr>
        <w:t>Kandiyoti, D. (1988). Bargaining with patriarchy. Gender &amp; Society, 2(3), 274–290. https://doi.org/10.1177/089124388002003004</w:t>
      </w:r>
    </w:p>
    <w:p w14:paraId="599B45AA">
      <w:pPr>
        <w:tabs>
          <w:tab w:val="left" w:pos="2629"/>
        </w:tabs>
        <w:spacing w:line="0" w:lineRule="atLeast"/>
        <w:ind w:left="929" w:hanging="928" w:hangingChars="387"/>
        <w:rPr>
          <w:sz w:val="24"/>
        </w:rPr>
      </w:pPr>
      <w:r>
        <w:rPr>
          <w:sz w:val="24"/>
        </w:rPr>
        <w:t>Kane, E. (2004). Girls’ education in Africa: What do we know about strategies that work? Africa Region Human Development Working Paper Series. World Bank.</w:t>
      </w:r>
    </w:p>
    <w:p w14:paraId="4D67A2FA">
      <w:pPr>
        <w:tabs>
          <w:tab w:val="left" w:pos="2629"/>
        </w:tabs>
        <w:spacing w:line="0" w:lineRule="atLeast"/>
        <w:ind w:left="929" w:hanging="928" w:hangingChars="387"/>
        <w:rPr>
          <w:sz w:val="24"/>
        </w:rPr>
      </w:pPr>
      <w:r>
        <w:rPr>
          <w:sz w:val="24"/>
        </w:rPr>
        <w:t>Kane, E. (2011). Doing your own research. London: Marion Boyars Publishers.</w:t>
      </w:r>
    </w:p>
    <w:p w14:paraId="5CEAB473">
      <w:pPr>
        <w:tabs>
          <w:tab w:val="left" w:pos="2629"/>
        </w:tabs>
        <w:spacing w:line="0" w:lineRule="atLeast"/>
        <w:ind w:left="929" w:hanging="928" w:hangingChars="387"/>
        <w:rPr>
          <w:sz w:val="24"/>
        </w:rPr>
      </w:pPr>
      <w:r>
        <w:rPr>
          <w:sz w:val="24"/>
        </w:rPr>
        <w:t>Kanyinga, K. (2009). The legacy of the white highlands: Land rights, ethnicity and the post-2007 election violence in Kenya. Journal of Contemporary African Studies, 27(3), 325–344.</w:t>
      </w:r>
    </w:p>
    <w:p w14:paraId="7FDAD4F3">
      <w:pPr>
        <w:tabs>
          <w:tab w:val="left" w:pos="2629"/>
        </w:tabs>
        <w:spacing w:line="0" w:lineRule="atLeast"/>
        <w:ind w:left="929" w:hanging="928" w:hangingChars="387"/>
        <w:rPr>
          <w:sz w:val="24"/>
        </w:rPr>
      </w:pPr>
      <w:r>
        <w:rPr>
          <w:sz w:val="24"/>
        </w:rPr>
        <w:t>Kariuki, M. W. (2023). Examining the burden of domestic chores on learners under the CBC in pastoralist communities. Kenya Journal of Curriculum Studies, 4(1), 102–117.</w:t>
      </w:r>
    </w:p>
    <w:p w14:paraId="6CF62806">
      <w:pPr>
        <w:tabs>
          <w:tab w:val="left" w:pos="2629"/>
        </w:tabs>
        <w:spacing w:line="0" w:lineRule="atLeast"/>
        <w:ind w:left="929" w:hanging="928" w:hangingChars="387"/>
        <w:rPr>
          <w:sz w:val="24"/>
        </w:rPr>
      </w:pPr>
      <w:r>
        <w:rPr>
          <w:sz w:val="24"/>
        </w:rPr>
        <w:t>Kattan, R. B., &amp; Burnett, N. (2004). User fees in primary education. World Bank Education Sector: Human Development Network Working Paper Series. Washington, DC: World Bank.</w:t>
      </w:r>
    </w:p>
    <w:p w14:paraId="66C3244A">
      <w:pPr>
        <w:tabs>
          <w:tab w:val="left" w:pos="2629"/>
        </w:tabs>
        <w:spacing w:line="0" w:lineRule="atLeast"/>
        <w:ind w:left="929" w:hanging="928" w:hangingChars="387"/>
        <w:rPr>
          <w:sz w:val="24"/>
        </w:rPr>
      </w:pPr>
      <w:r>
        <w:rPr>
          <w:sz w:val="24"/>
        </w:rPr>
        <w:t>Kibera, L. W., &amp; Kimokoti, A. (2007). Fundamentals of sociology of education with reference to Africa. Nairobi: University of Nairobi Press.</w:t>
      </w:r>
    </w:p>
    <w:p w14:paraId="58F47C1A">
      <w:pPr>
        <w:tabs>
          <w:tab w:val="left" w:pos="2629"/>
        </w:tabs>
        <w:spacing w:line="0" w:lineRule="atLeast"/>
        <w:ind w:left="929" w:hanging="928" w:hangingChars="387"/>
        <w:rPr>
          <w:sz w:val="24"/>
        </w:rPr>
      </w:pPr>
      <w:r>
        <w:rPr>
          <w:sz w:val="24"/>
        </w:rPr>
        <w:t>Kipchumba, S. K. (2020). The impact of household chores on academic achievement of female learners in Turkana County, Kenya. Journal of Education and Practice, 11(15), 45–52.</w:t>
      </w:r>
    </w:p>
    <w:p w14:paraId="1E241286">
      <w:pPr>
        <w:tabs>
          <w:tab w:val="left" w:pos="2629"/>
        </w:tabs>
        <w:spacing w:line="0" w:lineRule="atLeast"/>
        <w:ind w:left="929" w:hanging="928" w:hangingChars="387"/>
        <w:rPr>
          <w:sz w:val="24"/>
        </w:rPr>
      </w:pPr>
      <w:r>
        <w:rPr>
          <w:sz w:val="24"/>
        </w:rPr>
        <w:t>Kiplagat, P. N. (2020). Gender roles and their impact on access to education among pastoralist communities in West Pokot County, Kenya [Master’s thesis, University of Nairobi]. http://erepository.uonbi.ac.ke</w:t>
      </w:r>
    </w:p>
    <w:p w14:paraId="1D959CCB">
      <w:pPr>
        <w:tabs>
          <w:tab w:val="left" w:pos="2629"/>
        </w:tabs>
        <w:spacing w:line="0" w:lineRule="atLeast"/>
        <w:ind w:left="929" w:hanging="928" w:hangingChars="387"/>
        <w:rPr>
          <w:sz w:val="24"/>
        </w:rPr>
      </w:pPr>
      <w:r>
        <w:rPr>
          <w:sz w:val="24"/>
        </w:rPr>
        <w:t>Koskei, R. C. (2019). The influence of cultural practices on dropout rates among girls in secondary schools in Narok County, Kenya. International Journal of Scientific and Research Publications, 9(2), 300–308.</w:t>
      </w:r>
    </w:p>
    <w:p w14:paraId="1A12D21E">
      <w:pPr>
        <w:tabs>
          <w:tab w:val="left" w:pos="2629"/>
        </w:tabs>
        <w:spacing w:line="0" w:lineRule="atLeast"/>
        <w:ind w:left="929" w:hanging="928" w:hangingChars="387"/>
        <w:rPr>
          <w:sz w:val="24"/>
        </w:rPr>
      </w:pPr>
      <w:r>
        <w:rPr>
          <w:sz w:val="24"/>
        </w:rPr>
        <w:t>Kurt Lewin Foundation. (1947). Field Theory in Social Science. New York: Harper &amp; Row.</w:t>
      </w:r>
    </w:p>
    <w:p w14:paraId="3FFD20C2">
      <w:pPr>
        <w:tabs>
          <w:tab w:val="left" w:pos="2629"/>
        </w:tabs>
        <w:spacing w:line="0" w:lineRule="atLeast"/>
        <w:ind w:left="929" w:hanging="928" w:hangingChars="387"/>
        <w:rPr>
          <w:sz w:val="24"/>
        </w:rPr>
      </w:pPr>
      <w:r>
        <w:rPr>
          <w:sz w:val="24"/>
        </w:rPr>
        <w:t>Langat, B. C. (2019). The impact of household chores on academic performance among female learners in rural Kenya. Journal of Educational Policy and Management, 11(3), 201–214.</w:t>
      </w:r>
    </w:p>
    <w:p w14:paraId="7B417997">
      <w:pPr>
        <w:tabs>
          <w:tab w:val="left" w:pos="2629"/>
        </w:tabs>
        <w:spacing w:line="0" w:lineRule="atLeast"/>
        <w:ind w:left="929" w:hanging="928" w:hangingChars="387"/>
        <w:rPr>
          <w:sz w:val="24"/>
        </w:rPr>
      </w:pPr>
      <w:r>
        <w:rPr>
          <w:sz w:val="24"/>
        </w:rPr>
        <w:t>Langat, B. C. (2025). Competency-Based Curriculum and girls’ education in ASAL areas: A critical analysis of gendered impacts. Kenya Education Review, 2(1), 77–92.</w:t>
      </w:r>
    </w:p>
    <w:p w14:paraId="0E52B7A6">
      <w:pPr>
        <w:tabs>
          <w:tab w:val="left" w:pos="2629"/>
        </w:tabs>
        <w:spacing w:line="0" w:lineRule="atLeast"/>
        <w:ind w:left="929" w:hanging="928" w:hangingChars="387"/>
        <w:rPr>
          <w:sz w:val="24"/>
        </w:rPr>
      </w:pPr>
      <w:r>
        <w:rPr>
          <w:sz w:val="24"/>
        </w:rPr>
        <w:t>Leach, F., &amp; Mitchell, C. (2006). Combating gender violence in and around schools. Stoke-on-Trent: Trentham Books.</w:t>
      </w:r>
    </w:p>
    <w:p w14:paraId="793CF2A6">
      <w:pPr>
        <w:tabs>
          <w:tab w:val="left" w:pos="2629"/>
        </w:tabs>
        <w:spacing w:line="0" w:lineRule="atLeast"/>
        <w:ind w:left="929" w:hanging="928" w:hangingChars="387"/>
        <w:rPr>
          <w:sz w:val="24"/>
        </w:rPr>
      </w:pPr>
      <w:r>
        <w:rPr>
          <w:sz w:val="24"/>
        </w:rPr>
        <w:t>Levine, R., Lloyd, C. B., Greene, M., &amp; Grown, C. (2008). Girls Count: A global investment &amp; action agenda. Washington, DC: Center for Global Development.</w:t>
      </w:r>
    </w:p>
    <w:p w14:paraId="14E2153A">
      <w:pPr>
        <w:tabs>
          <w:tab w:val="left" w:pos="2629"/>
        </w:tabs>
        <w:spacing w:line="0" w:lineRule="atLeast"/>
        <w:ind w:left="929" w:hanging="928" w:hangingChars="387"/>
        <w:rPr>
          <w:sz w:val="24"/>
        </w:rPr>
      </w:pPr>
      <w:r>
        <w:rPr>
          <w:sz w:val="24"/>
        </w:rPr>
        <w:t>Levison, D., Moe, K. S., &amp; Knaul, F. M. (2001). Youth education and work in Mexico. World Bank Economic Review, 15(2), 301–319.</w:t>
      </w:r>
    </w:p>
    <w:p w14:paraId="23F5B9D4">
      <w:pPr>
        <w:tabs>
          <w:tab w:val="left" w:pos="2629"/>
        </w:tabs>
        <w:spacing w:line="0" w:lineRule="atLeast"/>
        <w:ind w:left="929" w:hanging="928" w:hangingChars="387"/>
        <w:rPr>
          <w:sz w:val="24"/>
        </w:rPr>
      </w:pPr>
      <w:r>
        <w:rPr>
          <w:sz w:val="24"/>
        </w:rPr>
        <w:t>Lloyd, C. B., Mensch, B. S., &amp; Clark, W. H. (2000). The effects of primary school quality on school dropout among Kenyan girls and boys. Comparative Education Review, 44(2), 113–147. https://doi.org/10.1086/447600</w:t>
      </w:r>
    </w:p>
    <w:p w14:paraId="5F376CDB">
      <w:pPr>
        <w:tabs>
          <w:tab w:val="left" w:pos="2629"/>
        </w:tabs>
        <w:spacing w:line="0" w:lineRule="atLeast"/>
        <w:ind w:left="929" w:hanging="928" w:hangingChars="387"/>
        <w:rPr>
          <w:sz w:val="24"/>
        </w:rPr>
      </w:pPr>
      <w:r>
        <w:rPr>
          <w:sz w:val="24"/>
        </w:rPr>
        <w:t>Lloyd, C. B., Mensch, B. S., &amp; Clark, W. H. (2000). The effects of primary school quality on school dropout among Kenyan girls and boys. Comparative Education Review, 44(2), 113–147.</w:t>
      </w:r>
    </w:p>
    <w:p w14:paraId="34062010">
      <w:pPr>
        <w:tabs>
          <w:tab w:val="left" w:pos="2629"/>
        </w:tabs>
        <w:spacing w:line="0" w:lineRule="atLeast"/>
        <w:ind w:left="929" w:hanging="928" w:hangingChars="387"/>
        <w:rPr>
          <w:sz w:val="24"/>
        </w:rPr>
      </w:pPr>
      <w:r>
        <w:rPr>
          <w:sz w:val="24"/>
        </w:rPr>
        <w:t>Mason, L. R., &amp; Smith, C. E. (2021). Gender, Workload, and School Participation among Marginalized Girls in Kenya. Journal of Education in Emergencies, 7(1), 55–82.</w:t>
      </w:r>
    </w:p>
    <w:p w14:paraId="110900F6">
      <w:pPr>
        <w:tabs>
          <w:tab w:val="left" w:pos="2629"/>
        </w:tabs>
        <w:spacing w:line="0" w:lineRule="atLeast"/>
        <w:ind w:left="929" w:hanging="928" w:hangingChars="387"/>
        <w:rPr>
          <w:sz w:val="24"/>
        </w:rPr>
      </w:pPr>
      <w:r>
        <w:rPr>
          <w:sz w:val="24"/>
        </w:rPr>
        <w:t>Mensch, B. S., Soler-Hampejsek, E., Kelly, C. A., Hewett, P. C., &amp; Grant, M. J. (2019). Challenges in measuring school dropout: The limitations of survey questions. Demographic Research, 41, 61–78. https://doi.org/10.4054/DemRes.2019.41.3</w:t>
      </w:r>
    </w:p>
    <w:p w14:paraId="2473BC7E">
      <w:pPr>
        <w:tabs>
          <w:tab w:val="left" w:pos="2629"/>
        </w:tabs>
        <w:spacing w:line="0" w:lineRule="atLeast"/>
        <w:ind w:left="929" w:hanging="928" w:hangingChars="387"/>
        <w:rPr>
          <w:sz w:val="24"/>
        </w:rPr>
      </w:pPr>
      <w:r>
        <w:rPr>
          <w:sz w:val="24"/>
        </w:rPr>
        <w:t>MoE (Ministry of Education). (2020). Education Sector Report 2019/2020: Enhancing quality and access for all learners. Nairobi: Government Printer.</w:t>
      </w:r>
    </w:p>
    <w:p w14:paraId="5720D372">
      <w:pPr>
        <w:tabs>
          <w:tab w:val="left" w:pos="2629"/>
        </w:tabs>
        <w:spacing w:line="0" w:lineRule="atLeast"/>
        <w:ind w:left="929" w:hanging="928" w:hangingChars="387"/>
        <w:rPr>
          <w:sz w:val="24"/>
        </w:rPr>
      </w:pPr>
      <w:r>
        <w:rPr>
          <w:sz w:val="24"/>
        </w:rPr>
        <w:t>MoEST. (2018). Education Sector Policy on Gender in Education. Nairobi: Ministry of Education, Science and Technology.</w:t>
      </w:r>
    </w:p>
    <w:p w14:paraId="02AD126D">
      <w:pPr>
        <w:tabs>
          <w:tab w:val="left" w:pos="2629"/>
        </w:tabs>
        <w:spacing w:line="0" w:lineRule="atLeast"/>
        <w:ind w:left="929" w:hanging="928" w:hangingChars="387"/>
        <w:rPr>
          <w:sz w:val="24"/>
        </w:rPr>
      </w:pPr>
      <w:r>
        <w:rPr>
          <w:sz w:val="24"/>
        </w:rPr>
        <w:t>Mohammed, F. M., &amp; Yusuf, N. (2017). Gender disparity in education: The case of Somali girls in Kenya. Journal of International Education and Leadership, 7(1), 1–13.</w:t>
      </w:r>
    </w:p>
    <w:p w14:paraId="0FFA1637">
      <w:pPr>
        <w:tabs>
          <w:tab w:val="left" w:pos="2629"/>
        </w:tabs>
        <w:spacing w:line="0" w:lineRule="atLeast"/>
        <w:ind w:left="929" w:hanging="928" w:hangingChars="387"/>
        <w:rPr>
          <w:sz w:val="24"/>
        </w:rPr>
      </w:pPr>
      <w:r>
        <w:rPr>
          <w:sz w:val="24"/>
        </w:rPr>
        <w:t>Mohamud, I. A., &amp; Farah, A. M. (2021). Challenges facing girls' education in pastoralist societies of the Horn of Africa: Evidence from Garissa and Gedo. Journal of Nomadic Studies, 12(3), 55–70.</w:t>
      </w:r>
    </w:p>
    <w:p w14:paraId="4E395983">
      <w:pPr>
        <w:tabs>
          <w:tab w:val="left" w:pos="2629"/>
        </w:tabs>
        <w:spacing w:line="0" w:lineRule="atLeast"/>
        <w:ind w:left="929" w:hanging="928" w:hangingChars="387"/>
        <w:rPr>
          <w:sz w:val="24"/>
        </w:rPr>
      </w:pPr>
      <w:r>
        <w:rPr>
          <w:sz w:val="24"/>
        </w:rPr>
        <w:t>Mugambi, M. M. (2020). Effects of domestic chores on academic performance of female students in public secondary schools in Kajiado County, Kenya [Master’s thesis, Kenyatta University]. https://ir-library.ku.ac.ke</w:t>
      </w:r>
    </w:p>
    <w:p w14:paraId="43A7D69C">
      <w:pPr>
        <w:tabs>
          <w:tab w:val="left" w:pos="2629"/>
        </w:tabs>
        <w:spacing w:line="0" w:lineRule="atLeast"/>
        <w:ind w:left="929" w:hanging="928" w:hangingChars="387"/>
        <w:rPr>
          <w:sz w:val="24"/>
        </w:rPr>
      </w:pPr>
      <w:r>
        <w:rPr>
          <w:sz w:val="24"/>
        </w:rPr>
        <w:t>Mugisha, F. (2006). School enrollment among urban non-slum, slum and rural children in Kenya: Is the urban advantage eroding? International Journal of Educational Development, 26(5), 471–482.</w:t>
      </w:r>
    </w:p>
    <w:p w14:paraId="47CCF9B6">
      <w:pPr>
        <w:tabs>
          <w:tab w:val="left" w:pos="2629"/>
        </w:tabs>
        <w:spacing w:line="0" w:lineRule="atLeast"/>
        <w:ind w:left="929" w:hanging="928" w:hangingChars="387"/>
        <w:rPr>
          <w:sz w:val="24"/>
        </w:rPr>
      </w:pPr>
      <w:r>
        <w:rPr>
          <w:sz w:val="24"/>
        </w:rPr>
        <w:t>Mukudi, E. (2004). Education for all: A framework for addressing the persisting illusion for the Kenyan context. International Journal of Educational Development, 24(3), 231–240.</w:t>
      </w:r>
    </w:p>
    <w:p w14:paraId="5DBEE927">
      <w:pPr>
        <w:tabs>
          <w:tab w:val="left" w:pos="2629"/>
        </w:tabs>
        <w:spacing w:line="0" w:lineRule="atLeast"/>
        <w:ind w:left="929" w:hanging="928" w:hangingChars="387"/>
        <w:rPr>
          <w:sz w:val="24"/>
        </w:rPr>
      </w:pPr>
      <w:r>
        <w:rPr>
          <w:sz w:val="24"/>
        </w:rPr>
        <w:t>Murunga, P. M., &amp; Wanjala, G. N. (2019). Gender and education in rural Kenya: A sociocultural perspective. Journal of African Social Development, 8(2), 91–105.</w:t>
      </w:r>
    </w:p>
    <w:p w14:paraId="59683427">
      <w:pPr>
        <w:tabs>
          <w:tab w:val="left" w:pos="2629"/>
        </w:tabs>
        <w:spacing w:line="0" w:lineRule="atLeast"/>
        <w:ind w:left="929" w:hanging="928" w:hangingChars="387"/>
        <w:rPr>
          <w:sz w:val="24"/>
        </w:rPr>
      </w:pPr>
      <w:r>
        <w:rPr>
          <w:sz w:val="24"/>
        </w:rPr>
        <w:t>Muthoni, D. K. (2013). Factors contributing to girls’ dropout in public secondary schools in Mbeere North District, Kenya [Master’s project, University of Nairobi]. http://erepository.uonbi.ac.ke</w:t>
      </w:r>
    </w:p>
    <w:p w14:paraId="4EBAFA33">
      <w:pPr>
        <w:tabs>
          <w:tab w:val="left" w:pos="2629"/>
        </w:tabs>
        <w:spacing w:line="0" w:lineRule="atLeast"/>
        <w:ind w:left="929" w:hanging="928" w:hangingChars="387"/>
        <w:rPr>
          <w:sz w:val="24"/>
        </w:rPr>
      </w:pPr>
      <w:r>
        <w:rPr>
          <w:sz w:val="24"/>
        </w:rPr>
        <w:t>Mutua, J. &amp; Kirimi, L. (2015). Barriers to primary school education access in arid and semi-arid lands of Kenya. Tegemeo Institute of Agricultural Policy and Development Working Paper 56.</w:t>
      </w:r>
    </w:p>
    <w:p w14:paraId="30262E74">
      <w:pPr>
        <w:tabs>
          <w:tab w:val="left" w:pos="2629"/>
        </w:tabs>
        <w:spacing w:line="0" w:lineRule="atLeast"/>
        <w:ind w:left="929" w:hanging="928" w:hangingChars="387"/>
        <w:rPr>
          <w:sz w:val="24"/>
        </w:rPr>
      </w:pPr>
      <w:r>
        <w:rPr>
          <w:sz w:val="24"/>
        </w:rPr>
        <w:t>Mwangi, C. N., &amp; Wanjiru, G. (2019). Gender roles and domestic responsibilities: Their influence on girls’ education in Northern Kenya. African Journal of Education and Practice, 5(3), 44–55.</w:t>
      </w:r>
    </w:p>
    <w:p w14:paraId="71C79431">
      <w:pPr>
        <w:tabs>
          <w:tab w:val="left" w:pos="2629"/>
        </w:tabs>
        <w:spacing w:line="0" w:lineRule="atLeast"/>
        <w:ind w:left="929" w:hanging="928" w:hangingChars="387"/>
        <w:rPr>
          <w:sz w:val="24"/>
        </w:rPr>
      </w:pPr>
      <w:r>
        <w:rPr>
          <w:sz w:val="24"/>
        </w:rPr>
        <w:t>Mwangi, E. (2012). The impact of school-related gender-based violence on academic performance. Nairobi: African Population and Health Research Center (APHRC).</w:t>
      </w:r>
    </w:p>
    <w:p w14:paraId="6E716642">
      <w:pPr>
        <w:tabs>
          <w:tab w:val="left" w:pos="2629"/>
        </w:tabs>
        <w:spacing w:line="0" w:lineRule="atLeast"/>
        <w:ind w:left="929" w:hanging="928" w:hangingChars="387"/>
        <w:rPr>
          <w:sz w:val="24"/>
        </w:rPr>
      </w:pPr>
      <w:r>
        <w:rPr>
          <w:sz w:val="24"/>
        </w:rPr>
        <w:t>Mwiria, K., &amp; Ngethe, N. (2007). Kenya’s Education Sector: Policy and Strategy for Reform. Nairobi: Government of Kenya Press.</w:t>
      </w:r>
    </w:p>
    <w:p w14:paraId="020E8029">
      <w:pPr>
        <w:tabs>
          <w:tab w:val="left" w:pos="2629"/>
        </w:tabs>
        <w:spacing w:line="0" w:lineRule="atLeast"/>
        <w:ind w:left="929" w:hanging="928" w:hangingChars="387"/>
        <w:rPr>
          <w:sz w:val="24"/>
        </w:rPr>
      </w:pPr>
      <w:r>
        <w:rPr>
          <w:sz w:val="24"/>
        </w:rPr>
        <w:t>Njogu, K., &amp; Mazrui, A. (2007). Gender Inequality in Kenya. Nairobi: UNESCO &amp; African Women Studies Centre.</w:t>
      </w:r>
    </w:p>
    <w:p w14:paraId="5669EFAE">
      <w:pPr>
        <w:tabs>
          <w:tab w:val="left" w:pos="2629"/>
        </w:tabs>
        <w:spacing w:line="0" w:lineRule="atLeast"/>
        <w:ind w:left="929" w:hanging="928" w:hangingChars="387"/>
        <w:rPr>
          <w:sz w:val="24"/>
        </w:rPr>
      </w:pPr>
      <w:r>
        <w:rPr>
          <w:sz w:val="24"/>
        </w:rPr>
        <w:t>Njogu, K., &amp; Orchardson-Mazrui, E. (2006). Gender inequality and women's rights in the Great Lakes: Can culture contribute to women's empowerment? UNESCO. https://unesdoc.unesco.org</w:t>
      </w:r>
    </w:p>
    <w:p w14:paraId="008C4249">
      <w:pPr>
        <w:tabs>
          <w:tab w:val="left" w:pos="2629"/>
        </w:tabs>
        <w:spacing w:line="0" w:lineRule="atLeast"/>
        <w:ind w:left="929" w:hanging="928" w:hangingChars="387"/>
        <w:rPr>
          <w:sz w:val="24"/>
        </w:rPr>
      </w:pPr>
      <w:r>
        <w:rPr>
          <w:sz w:val="24"/>
        </w:rPr>
        <w:t>Nkinyangi, J. A. (1982). Access to primary education in Kenya: The contradictions of public policy. Comparative Education Review, 26(2), 199–217. https://doi.org/10.1086/446297</w:t>
      </w:r>
    </w:p>
    <w:p w14:paraId="12B264FD">
      <w:pPr>
        <w:tabs>
          <w:tab w:val="left" w:pos="2629"/>
        </w:tabs>
        <w:spacing w:line="0" w:lineRule="atLeast"/>
        <w:ind w:left="929" w:hanging="928" w:hangingChars="387"/>
        <w:rPr>
          <w:sz w:val="24"/>
        </w:rPr>
      </w:pPr>
      <w:r>
        <w:rPr>
          <w:sz w:val="24"/>
        </w:rPr>
        <w:t>Nungu, M. A. (2008). Effects of domestic child labour on the academic performance of primary school pupils in Tanzania. Journal of Educational Research and Development, 1(1), 55–65.</w:t>
      </w:r>
    </w:p>
    <w:p w14:paraId="6C8B2F74">
      <w:pPr>
        <w:tabs>
          <w:tab w:val="left" w:pos="2629"/>
        </w:tabs>
        <w:spacing w:line="0" w:lineRule="atLeast"/>
        <w:ind w:left="929" w:hanging="928" w:hangingChars="387"/>
        <w:rPr>
          <w:sz w:val="24"/>
        </w:rPr>
      </w:pPr>
      <w:r>
        <w:rPr>
          <w:sz w:val="24"/>
        </w:rPr>
        <w:t>Nussbaum, M. C. (2000). Women and human development: The capabilities approach. Cambridge University Press.</w:t>
      </w:r>
    </w:p>
    <w:p w14:paraId="22FBDA80">
      <w:pPr>
        <w:tabs>
          <w:tab w:val="left" w:pos="2629"/>
        </w:tabs>
        <w:spacing w:line="0" w:lineRule="atLeast"/>
        <w:ind w:left="929" w:hanging="928" w:hangingChars="387"/>
        <w:rPr>
          <w:sz w:val="24"/>
        </w:rPr>
      </w:pPr>
      <w:r>
        <w:rPr>
          <w:sz w:val="24"/>
        </w:rPr>
        <w:t>Nyabanyaba, T. (2010). Gendered roles and educational outcomes in rural households. In S. Fennell &amp; M. Arnot (Eds.), Gender education and equality in a global context (pp. 143–160). Routledge.</w:t>
      </w:r>
    </w:p>
    <w:p w14:paraId="46D377BC">
      <w:pPr>
        <w:tabs>
          <w:tab w:val="left" w:pos="2629"/>
        </w:tabs>
        <w:spacing w:line="0" w:lineRule="atLeast"/>
        <w:ind w:left="929" w:hanging="928" w:hangingChars="387"/>
        <w:rPr>
          <w:sz w:val="24"/>
        </w:rPr>
      </w:pPr>
      <w:r>
        <w:rPr>
          <w:sz w:val="24"/>
        </w:rPr>
        <w:t>Odaga, A., &amp; Heneveld, W. (1995). Girls and schools in Sub-Saharan Africa: From analysis to action. Washington, DC: World Bank.</w:t>
      </w:r>
    </w:p>
    <w:p w14:paraId="5278621B">
      <w:pPr>
        <w:tabs>
          <w:tab w:val="left" w:pos="2629"/>
        </w:tabs>
        <w:spacing w:line="0" w:lineRule="atLeast"/>
        <w:ind w:left="929" w:hanging="928" w:hangingChars="387"/>
        <w:rPr>
          <w:sz w:val="24"/>
        </w:rPr>
      </w:pPr>
      <w:r>
        <w:rPr>
          <w:sz w:val="24"/>
        </w:rPr>
        <w:t>Oketch, M., &amp; Rolleston, C. (2007). Policies on free primary and secondary education in East Africa: Retrospect and prospect. Review of Research in Education, 31(1), 131–158.</w:t>
      </w:r>
    </w:p>
    <w:p w14:paraId="3DA66AB3">
      <w:pPr>
        <w:tabs>
          <w:tab w:val="left" w:pos="2629"/>
        </w:tabs>
        <w:spacing w:line="0" w:lineRule="atLeast"/>
        <w:ind w:left="929" w:hanging="928" w:hangingChars="387"/>
        <w:rPr>
          <w:sz w:val="24"/>
        </w:rPr>
      </w:pPr>
      <w:r>
        <w:rPr>
          <w:sz w:val="24"/>
        </w:rPr>
        <w:t>Okeyo, T. M. (2019). Influence of home responsibilities on academic achievement of secondary school girls in Migori County, Kenya [Master’s thesis, University of Nairobi]. http://erepository.uonbi.ac.ke</w:t>
      </w:r>
    </w:p>
    <w:p w14:paraId="455C844A">
      <w:pPr>
        <w:tabs>
          <w:tab w:val="left" w:pos="2629"/>
        </w:tabs>
        <w:spacing w:line="0" w:lineRule="atLeast"/>
        <w:ind w:left="929" w:hanging="928" w:hangingChars="387"/>
        <w:rPr>
          <w:sz w:val="24"/>
        </w:rPr>
      </w:pPr>
      <w:r>
        <w:rPr>
          <w:sz w:val="24"/>
        </w:rPr>
        <w:t>Omwami, E. M., &amp; Omwami, R. K. (2010). Public investment and the goal of providing universal access to primary education in Kenya. International Journal of Educational Development, 30(3), 243–253.</w:t>
      </w:r>
    </w:p>
    <w:p w14:paraId="1F19C371">
      <w:pPr>
        <w:tabs>
          <w:tab w:val="left" w:pos="2629"/>
        </w:tabs>
        <w:spacing w:line="0" w:lineRule="atLeast"/>
        <w:ind w:left="929" w:hanging="928" w:hangingChars="387"/>
        <w:rPr>
          <w:sz w:val="24"/>
        </w:rPr>
      </w:pPr>
      <w:r>
        <w:rPr>
          <w:sz w:val="24"/>
        </w:rPr>
        <w:t>Orodho, J. A. (2005). Techniques of writing research proposals and reports in education and social sciences (2nd ed.). Nairobi: Kanezja HP Enterprises.</w:t>
      </w:r>
    </w:p>
    <w:p w14:paraId="312F9FB4">
      <w:pPr>
        <w:tabs>
          <w:tab w:val="left" w:pos="2629"/>
        </w:tabs>
        <w:spacing w:line="0" w:lineRule="atLeast"/>
        <w:ind w:left="929" w:hanging="928" w:hangingChars="387"/>
        <w:rPr>
          <w:sz w:val="24"/>
        </w:rPr>
      </w:pPr>
      <w:r>
        <w:rPr>
          <w:sz w:val="24"/>
        </w:rPr>
        <w:t>Orodho, J. A. (2014). Policies on free primary and secondary education in East Africa: Are Kenya and Tanzania on course to attain Education for All (EFA) goals by 2015? International Organization of Scientific Research Journal of Humanities and Social Science, 19(1), 11–20.</w:t>
      </w:r>
    </w:p>
    <w:p w14:paraId="781E3DD1">
      <w:pPr>
        <w:tabs>
          <w:tab w:val="left" w:pos="2629"/>
        </w:tabs>
        <w:spacing w:line="0" w:lineRule="atLeast"/>
        <w:ind w:left="929" w:hanging="928" w:hangingChars="387"/>
        <w:rPr>
          <w:sz w:val="24"/>
        </w:rPr>
      </w:pPr>
      <w:r>
        <w:rPr>
          <w:sz w:val="24"/>
        </w:rPr>
        <w:t>Orodho, J. A. (2014). Policies on free primary and secondary education in East Africa: Are Kenya and Tanzania on course to attain Education For All (EFA) goals by 2015? International Organization of Scientific Research Journal of Humanities and Social Science, 19(1), 11–20.</w:t>
      </w:r>
    </w:p>
    <w:p w14:paraId="445C18E7">
      <w:pPr>
        <w:tabs>
          <w:tab w:val="left" w:pos="2629"/>
        </w:tabs>
        <w:spacing w:line="0" w:lineRule="atLeast"/>
        <w:ind w:left="929" w:hanging="928" w:hangingChars="387"/>
        <w:rPr>
          <w:sz w:val="24"/>
        </w:rPr>
      </w:pPr>
      <w:r>
        <w:rPr>
          <w:sz w:val="24"/>
        </w:rPr>
        <w:t>Parsons, T. (1951). The Social System. Glencoe, IL: Free Press.</w:t>
      </w:r>
    </w:p>
    <w:p w14:paraId="5AAE8EA5">
      <w:pPr>
        <w:tabs>
          <w:tab w:val="left" w:pos="2629"/>
        </w:tabs>
        <w:spacing w:line="0" w:lineRule="atLeast"/>
        <w:ind w:left="929" w:hanging="928" w:hangingChars="387"/>
        <w:rPr>
          <w:sz w:val="24"/>
        </w:rPr>
      </w:pPr>
      <w:r>
        <w:rPr>
          <w:sz w:val="24"/>
        </w:rPr>
        <w:t>Plan International. (2016). Because I am a girl: The state of the world’s girls 2016 – Learning for life. https://plan-international.org</w:t>
      </w:r>
    </w:p>
    <w:p w14:paraId="770AD5A5">
      <w:pPr>
        <w:tabs>
          <w:tab w:val="left" w:pos="2629"/>
        </w:tabs>
        <w:spacing w:line="0" w:lineRule="atLeast"/>
        <w:ind w:left="929" w:hanging="928" w:hangingChars="387"/>
        <w:rPr>
          <w:sz w:val="24"/>
        </w:rPr>
      </w:pPr>
      <w:r>
        <w:rPr>
          <w:sz w:val="24"/>
        </w:rPr>
        <w:t>Plan International. (2020). Adolescent girls in crisis: Voices from the Sahel. https://plan-international.org</w:t>
      </w:r>
    </w:p>
    <w:p w14:paraId="7B4C3B93">
      <w:pPr>
        <w:tabs>
          <w:tab w:val="left" w:pos="2629"/>
        </w:tabs>
        <w:spacing w:line="0" w:lineRule="atLeast"/>
        <w:ind w:left="929" w:hanging="928" w:hangingChars="387"/>
        <w:rPr>
          <w:sz w:val="24"/>
        </w:rPr>
      </w:pPr>
      <w:r>
        <w:rPr>
          <w:sz w:val="24"/>
        </w:rPr>
        <w:t>References</w:t>
      </w:r>
    </w:p>
    <w:p w14:paraId="3EA72C61">
      <w:pPr>
        <w:tabs>
          <w:tab w:val="left" w:pos="2629"/>
        </w:tabs>
        <w:spacing w:line="0" w:lineRule="atLeast"/>
        <w:ind w:left="929" w:hanging="928" w:hangingChars="387"/>
        <w:rPr>
          <w:sz w:val="24"/>
        </w:rPr>
      </w:pPr>
      <w:r>
        <w:rPr>
          <w:sz w:val="24"/>
        </w:rPr>
        <w:t>Republic of Kenya. (2007). Gender policy in education. Nairobi: Ministry of Education.</w:t>
      </w:r>
    </w:p>
    <w:p w14:paraId="6108271D">
      <w:pPr>
        <w:tabs>
          <w:tab w:val="left" w:pos="2629"/>
        </w:tabs>
        <w:spacing w:line="0" w:lineRule="atLeast"/>
        <w:ind w:left="929" w:hanging="928" w:hangingChars="387"/>
        <w:rPr>
          <w:sz w:val="24"/>
        </w:rPr>
      </w:pPr>
      <w:r>
        <w:rPr>
          <w:sz w:val="24"/>
        </w:rPr>
        <w:t>Republic of Kenya. (2019). Children Act (Revised Edition 2019). Nairobi: National Council for Law Reporting.</w:t>
      </w:r>
    </w:p>
    <w:p w14:paraId="28A18086">
      <w:pPr>
        <w:tabs>
          <w:tab w:val="left" w:pos="2629"/>
        </w:tabs>
        <w:spacing w:line="0" w:lineRule="atLeast"/>
        <w:ind w:left="929" w:hanging="928" w:hangingChars="387"/>
        <w:rPr>
          <w:sz w:val="24"/>
        </w:rPr>
      </w:pPr>
      <w:r>
        <w:rPr>
          <w:sz w:val="24"/>
        </w:rPr>
        <w:t>Republic of Kenya. (2022). Basic Education Statistical Booklet 2022. Nairobi: Ministry of Education.</w:t>
      </w:r>
    </w:p>
    <w:p w14:paraId="25244EBD">
      <w:pPr>
        <w:tabs>
          <w:tab w:val="left" w:pos="2629"/>
        </w:tabs>
        <w:spacing w:line="0" w:lineRule="atLeast"/>
        <w:ind w:left="929" w:hanging="928" w:hangingChars="387"/>
        <w:rPr>
          <w:sz w:val="24"/>
        </w:rPr>
      </w:pPr>
      <w:r>
        <w:rPr>
          <w:sz w:val="24"/>
        </w:rPr>
        <w:t>Rolleston, C. (2011). Educational access and poverty reduction: The case of Ghana 1991–2006. International Journal of Educational Development, 31(4), 338–349.</w:t>
      </w:r>
    </w:p>
    <w:p w14:paraId="0ECE72CD">
      <w:pPr>
        <w:tabs>
          <w:tab w:val="left" w:pos="2629"/>
        </w:tabs>
        <w:spacing w:line="0" w:lineRule="atLeast"/>
        <w:ind w:left="929" w:hanging="928" w:hangingChars="387"/>
        <w:rPr>
          <w:sz w:val="24"/>
        </w:rPr>
      </w:pPr>
      <w:r>
        <w:rPr>
          <w:sz w:val="24"/>
        </w:rPr>
        <w:t>Ruto, S. J. (2009). Sexual abuse of school age children: Evidence from Kenya. Journal of International Cooperation in Education, 12(1), 177–192.</w:t>
      </w:r>
    </w:p>
    <w:p w14:paraId="2E46A773">
      <w:pPr>
        <w:tabs>
          <w:tab w:val="left" w:pos="2629"/>
        </w:tabs>
        <w:spacing w:line="0" w:lineRule="atLeast"/>
        <w:ind w:left="929" w:hanging="928" w:hangingChars="387"/>
        <w:rPr>
          <w:sz w:val="24"/>
        </w:rPr>
      </w:pPr>
      <w:r>
        <w:rPr>
          <w:sz w:val="24"/>
        </w:rPr>
        <w:t>Save the Children. (2018). Out of school: Assessing the barriers to school enrolment for children in Dadaab Refugee Camps, Garissa County. https://www.savethechildren.net</w:t>
      </w:r>
    </w:p>
    <w:p w14:paraId="3B4E538D">
      <w:pPr>
        <w:tabs>
          <w:tab w:val="left" w:pos="2629"/>
        </w:tabs>
        <w:spacing w:line="0" w:lineRule="atLeast"/>
        <w:ind w:left="929" w:hanging="928" w:hangingChars="387"/>
        <w:rPr>
          <w:sz w:val="24"/>
        </w:rPr>
      </w:pPr>
      <w:r>
        <w:rPr>
          <w:sz w:val="24"/>
        </w:rPr>
        <w:t>Sifuna, D. N. (2021). Education in marginalised areas of Kenya: Policy challenges and future prospects. Kenya Education Review, 1(2), 29–44.</w:t>
      </w:r>
    </w:p>
    <w:p w14:paraId="3C0ED31C">
      <w:pPr>
        <w:tabs>
          <w:tab w:val="left" w:pos="2629"/>
        </w:tabs>
        <w:spacing w:line="0" w:lineRule="atLeast"/>
        <w:ind w:left="929" w:hanging="928" w:hangingChars="387"/>
        <w:rPr>
          <w:sz w:val="24"/>
        </w:rPr>
      </w:pPr>
      <w:r>
        <w:rPr>
          <w:sz w:val="24"/>
        </w:rPr>
        <w:t>Somerset, A. (2007). A preliminary note on Kenya primary school enrolment trends over four decades. Working Paper, University of Oxford, Department of International Development.</w:t>
      </w:r>
    </w:p>
    <w:p w14:paraId="76AE1344">
      <w:pPr>
        <w:tabs>
          <w:tab w:val="left" w:pos="2629"/>
        </w:tabs>
        <w:spacing w:line="0" w:lineRule="atLeast"/>
        <w:ind w:left="929" w:hanging="928" w:hangingChars="387"/>
        <w:rPr>
          <w:sz w:val="24"/>
        </w:rPr>
      </w:pPr>
      <w:r>
        <w:rPr>
          <w:sz w:val="24"/>
        </w:rPr>
        <w:t>Sommer, M. (2010). Where the education system and women’s bodies collide: The social and health impact of girls’ experiences of menstruation and schooling in Tanzania. Journal of Adolescence, 33(4), 521–529.</w:t>
      </w:r>
    </w:p>
    <w:p w14:paraId="394B874E">
      <w:pPr>
        <w:tabs>
          <w:tab w:val="left" w:pos="2629"/>
        </w:tabs>
        <w:spacing w:line="0" w:lineRule="atLeast"/>
        <w:ind w:left="929" w:hanging="928" w:hangingChars="387"/>
        <w:rPr>
          <w:sz w:val="24"/>
        </w:rPr>
      </w:pPr>
      <w:r>
        <w:rPr>
          <w:sz w:val="24"/>
        </w:rPr>
        <w:t>Tuwei, D. C., &amp; Chege, F. N. (2022). Gender-responsive strategies for reducing dropout in the CBC era: A study of public day secondary schools in Kenya. International Journal of Curriculum and Instructional Research, 5(1), 67–83.</w:t>
      </w:r>
    </w:p>
    <w:p w14:paraId="1A01E7DD">
      <w:pPr>
        <w:tabs>
          <w:tab w:val="left" w:pos="2629"/>
        </w:tabs>
        <w:spacing w:line="0" w:lineRule="atLeast"/>
        <w:ind w:left="929" w:hanging="928" w:hangingChars="387"/>
        <w:rPr>
          <w:sz w:val="24"/>
        </w:rPr>
      </w:pPr>
      <w:r>
        <w:rPr>
          <w:sz w:val="24"/>
        </w:rPr>
        <w:t>Tuwor, T., &amp; Sossou, M. A. (2008). Gender discrimination and education in West Africa: Strategies for maintaining girls in school. International Journal of Inclusive Education, 12(4), 363–379. https://doi.org/10.1080/13603110601183115</w:t>
      </w:r>
    </w:p>
    <w:p w14:paraId="37779802">
      <w:pPr>
        <w:tabs>
          <w:tab w:val="left" w:pos="2629"/>
        </w:tabs>
        <w:spacing w:line="0" w:lineRule="atLeast"/>
        <w:ind w:left="929" w:hanging="928" w:hangingChars="387"/>
        <w:rPr>
          <w:sz w:val="24"/>
        </w:rPr>
      </w:pPr>
      <w:r>
        <w:rPr>
          <w:sz w:val="24"/>
        </w:rPr>
        <w:t>Tuwor, T., &amp; Sossou, M.-A. (2008). Gender discrimination and education in West Africa: Strategies for maintaining girls in school. International Journal of Inclusive Education, 12(4), 363–379.</w:t>
      </w:r>
    </w:p>
    <w:p w14:paraId="6206CECE">
      <w:pPr>
        <w:tabs>
          <w:tab w:val="left" w:pos="2629"/>
        </w:tabs>
        <w:spacing w:line="0" w:lineRule="atLeast"/>
        <w:ind w:left="929" w:hanging="928" w:hangingChars="387"/>
        <w:rPr>
          <w:sz w:val="24"/>
        </w:rPr>
      </w:pPr>
      <w:r>
        <w:rPr>
          <w:sz w:val="24"/>
        </w:rPr>
        <w:t>UNESCO Institute for Statistics (UIS). (2019). Education and gender equality: SDG 4 Data Digest. https://uis.unesco.org</w:t>
      </w:r>
    </w:p>
    <w:p w14:paraId="1E3AF62D">
      <w:pPr>
        <w:tabs>
          <w:tab w:val="left" w:pos="2629"/>
        </w:tabs>
        <w:spacing w:line="0" w:lineRule="atLeast"/>
        <w:ind w:left="929" w:hanging="928" w:hangingChars="387"/>
        <w:rPr>
          <w:sz w:val="24"/>
        </w:rPr>
      </w:pPr>
      <w:r>
        <w:rPr>
          <w:sz w:val="24"/>
        </w:rPr>
        <w:t>UNESCO Institute for Statistics (UIS). (2019). Education and gender equality: Achieving SDG 4 and 5. Montreal: UIS.</w:t>
      </w:r>
    </w:p>
    <w:p w14:paraId="674D3CB9">
      <w:pPr>
        <w:tabs>
          <w:tab w:val="left" w:pos="2629"/>
        </w:tabs>
        <w:spacing w:line="0" w:lineRule="atLeast"/>
        <w:ind w:left="929" w:hanging="928" w:hangingChars="387"/>
        <w:rPr>
          <w:sz w:val="24"/>
        </w:rPr>
      </w:pPr>
      <w:r>
        <w:rPr>
          <w:sz w:val="24"/>
        </w:rPr>
        <w:t>UNESCO. (2015). A growing number of children and adolescents are out of school as aid fails to meet the mark. Montreal: UNESCO Institute for Statistics (UIS) Fact Sheet No. 22.</w:t>
      </w:r>
    </w:p>
    <w:p w14:paraId="6D113721">
      <w:pPr>
        <w:tabs>
          <w:tab w:val="left" w:pos="2629"/>
        </w:tabs>
        <w:spacing w:line="0" w:lineRule="atLeast"/>
        <w:ind w:left="929" w:hanging="928" w:hangingChars="387"/>
        <w:rPr>
          <w:sz w:val="24"/>
        </w:rPr>
      </w:pPr>
      <w:r>
        <w:rPr>
          <w:sz w:val="24"/>
        </w:rPr>
        <w:t>UNESCO. (2015). Education for All 2000–2015: Achievements and challenges. EFA Global Monitoring Report. https://unesdoc.unesco.org/ark:/48223/pf0000232205</w:t>
      </w:r>
    </w:p>
    <w:p w14:paraId="60DFCE82">
      <w:pPr>
        <w:tabs>
          <w:tab w:val="left" w:pos="2629"/>
        </w:tabs>
        <w:spacing w:line="0" w:lineRule="atLeast"/>
        <w:ind w:left="929" w:hanging="928" w:hangingChars="387"/>
        <w:rPr>
          <w:sz w:val="24"/>
        </w:rPr>
      </w:pPr>
      <w:r>
        <w:rPr>
          <w:sz w:val="24"/>
        </w:rPr>
        <w:t>UNESCO. (2015). Education for All 2000–2015: Achievements and challenges. Paris: United Nations Educational, Scientific and Cultural Organization. https://unesdoc.unesco.org/ark:/48223/pf0000232205</w:t>
      </w:r>
    </w:p>
    <w:p w14:paraId="12DB792B">
      <w:pPr>
        <w:tabs>
          <w:tab w:val="left" w:pos="2629"/>
        </w:tabs>
        <w:spacing w:line="0" w:lineRule="atLeast"/>
        <w:ind w:left="929" w:hanging="928" w:hangingChars="387"/>
        <w:rPr>
          <w:sz w:val="24"/>
        </w:rPr>
      </w:pPr>
      <w:r>
        <w:rPr>
          <w:sz w:val="24"/>
        </w:rPr>
        <w:t>UNESCO. (2020). Global education monitoring report: Inclusion and education – All means all. Paris: UNESCO Publishing.</w:t>
      </w:r>
    </w:p>
    <w:p w14:paraId="00D0884D">
      <w:pPr>
        <w:tabs>
          <w:tab w:val="left" w:pos="2629"/>
        </w:tabs>
        <w:spacing w:line="0" w:lineRule="atLeast"/>
        <w:ind w:left="929" w:hanging="928" w:hangingChars="387"/>
        <w:rPr>
          <w:sz w:val="24"/>
        </w:rPr>
      </w:pPr>
      <w:r>
        <w:rPr>
          <w:sz w:val="24"/>
        </w:rPr>
        <w:t>UNESCO. (2022). Leave no girl behind: Global Education Monitoring Report. https://unesdoc.unesco.org</w:t>
      </w:r>
    </w:p>
    <w:p w14:paraId="66E5BBAB">
      <w:pPr>
        <w:tabs>
          <w:tab w:val="left" w:pos="2629"/>
        </w:tabs>
        <w:spacing w:line="0" w:lineRule="atLeast"/>
        <w:ind w:left="929" w:hanging="928" w:hangingChars="387"/>
        <w:rPr>
          <w:sz w:val="24"/>
        </w:rPr>
      </w:pPr>
      <w:r>
        <w:rPr>
          <w:sz w:val="24"/>
        </w:rPr>
        <w:t>UNESCO. (2024). Education for all: Policy gaps and inclusive practices in East Africa. Paris: UNESCO.</w:t>
      </w:r>
    </w:p>
    <w:p w14:paraId="43519AA8">
      <w:pPr>
        <w:tabs>
          <w:tab w:val="left" w:pos="2629"/>
        </w:tabs>
        <w:spacing w:line="0" w:lineRule="atLeast"/>
        <w:ind w:left="929" w:hanging="928" w:hangingChars="387"/>
        <w:rPr>
          <w:sz w:val="24"/>
        </w:rPr>
      </w:pPr>
      <w:r>
        <w:rPr>
          <w:sz w:val="24"/>
        </w:rPr>
        <w:t>UNGEI (United Nations Girls’ Education Initiative). (2012). Because I am a Girl: The state of the world’s girls 2012 – Learning for life. New York: UNGEI.</w:t>
      </w:r>
    </w:p>
    <w:p w14:paraId="11D66AB2">
      <w:pPr>
        <w:tabs>
          <w:tab w:val="left" w:pos="2629"/>
        </w:tabs>
        <w:spacing w:line="0" w:lineRule="atLeast"/>
        <w:ind w:left="929" w:hanging="928" w:hangingChars="387"/>
        <w:rPr>
          <w:sz w:val="24"/>
        </w:rPr>
      </w:pPr>
      <w:r>
        <w:rPr>
          <w:sz w:val="24"/>
        </w:rPr>
        <w:t>UNICEF Kenya. (2020). Understanding dropout and improving retention: A situational analysis of school dropout among adolescents in Kenya. https://www.unicef.org/kenya</w:t>
      </w:r>
    </w:p>
    <w:p w14:paraId="3040AE72">
      <w:pPr>
        <w:tabs>
          <w:tab w:val="left" w:pos="2629"/>
        </w:tabs>
        <w:spacing w:line="0" w:lineRule="atLeast"/>
        <w:ind w:left="929" w:hanging="928" w:hangingChars="387"/>
        <w:rPr>
          <w:sz w:val="24"/>
        </w:rPr>
      </w:pPr>
      <w:r>
        <w:rPr>
          <w:sz w:val="24"/>
        </w:rPr>
        <w:t>UNICEF. (2020). Child labour and the youth decent work deficit in Africa: A statistical profile. https://www.unicef.org</w:t>
      </w:r>
    </w:p>
    <w:p w14:paraId="7BF7C971">
      <w:pPr>
        <w:tabs>
          <w:tab w:val="left" w:pos="2629"/>
        </w:tabs>
        <w:spacing w:line="0" w:lineRule="atLeast"/>
        <w:ind w:left="929" w:hanging="928" w:hangingChars="387"/>
        <w:rPr>
          <w:sz w:val="24"/>
        </w:rPr>
      </w:pPr>
      <w:r>
        <w:rPr>
          <w:sz w:val="24"/>
        </w:rPr>
        <w:t>UNICEF. (2021). Education and gender equality: Girls' education and gender equity in Africa. https://www.unicef.org</w:t>
      </w:r>
    </w:p>
    <w:p w14:paraId="06BE242B">
      <w:pPr>
        <w:tabs>
          <w:tab w:val="left" w:pos="2629"/>
        </w:tabs>
        <w:spacing w:line="0" w:lineRule="atLeast"/>
        <w:ind w:left="929" w:hanging="928" w:hangingChars="387"/>
        <w:rPr>
          <w:sz w:val="24"/>
        </w:rPr>
      </w:pPr>
      <w:r>
        <w:rPr>
          <w:sz w:val="24"/>
        </w:rPr>
        <w:t>UNICEF. (2021). Girls’ education and gender equality. https://www.unicef.org/education/girls-education</w:t>
      </w:r>
    </w:p>
    <w:p w14:paraId="4F2CE7BD">
      <w:pPr>
        <w:tabs>
          <w:tab w:val="left" w:pos="2629"/>
        </w:tabs>
        <w:spacing w:line="0" w:lineRule="atLeast"/>
        <w:ind w:left="929" w:hanging="928" w:hangingChars="387"/>
        <w:rPr>
          <w:sz w:val="24"/>
        </w:rPr>
      </w:pPr>
      <w:r>
        <w:rPr>
          <w:sz w:val="24"/>
        </w:rPr>
        <w:t>UNICEF. (2021). Girls’ education and gender equality: Key barriers and solutions in East Africa. Nairobi: UNICEF Regional Office.</w:t>
      </w:r>
    </w:p>
    <w:p w14:paraId="06516A4D">
      <w:pPr>
        <w:tabs>
          <w:tab w:val="left" w:pos="2629"/>
        </w:tabs>
        <w:spacing w:line="0" w:lineRule="atLeast"/>
        <w:ind w:left="929" w:hanging="928" w:hangingChars="387"/>
        <w:rPr>
          <w:sz w:val="24"/>
        </w:rPr>
      </w:pPr>
      <w:r>
        <w:rPr>
          <w:sz w:val="24"/>
        </w:rPr>
        <w:t>UNICEF. (2023). State of girls' education in Kenya’s arid lands: Data and policy insights. Nairobi: UNICEF Kenya Office.</w:t>
      </w:r>
    </w:p>
    <w:p w14:paraId="1DB33A64">
      <w:pPr>
        <w:tabs>
          <w:tab w:val="left" w:pos="2629"/>
        </w:tabs>
        <w:spacing w:line="0" w:lineRule="atLeast"/>
        <w:ind w:left="929" w:hanging="928" w:hangingChars="387"/>
        <w:rPr>
          <w:sz w:val="24"/>
        </w:rPr>
      </w:pPr>
      <w:r>
        <w:rPr>
          <w:sz w:val="24"/>
        </w:rPr>
        <w:t>United Nations. (1989). Convention on the Rights of the Child. https://www.ohchr.org</w:t>
      </w:r>
    </w:p>
    <w:p w14:paraId="72D7F50E">
      <w:pPr>
        <w:tabs>
          <w:tab w:val="left" w:pos="2629"/>
        </w:tabs>
        <w:spacing w:line="0" w:lineRule="atLeast"/>
        <w:ind w:left="929" w:hanging="928" w:hangingChars="387"/>
        <w:rPr>
          <w:sz w:val="24"/>
        </w:rPr>
      </w:pPr>
      <w:r>
        <w:rPr>
          <w:sz w:val="24"/>
        </w:rPr>
        <w:t>United Nations. (2020). The World's Women 2020: Trends and Statistics. New York: UN Department of Economic and Social Affairs. https://unstats.un.org</w:t>
      </w:r>
    </w:p>
    <w:p w14:paraId="737020E8">
      <w:pPr>
        <w:tabs>
          <w:tab w:val="left" w:pos="2629"/>
        </w:tabs>
        <w:spacing w:line="0" w:lineRule="atLeast"/>
        <w:ind w:left="929" w:hanging="928" w:hangingChars="387"/>
        <w:rPr>
          <w:sz w:val="24"/>
        </w:rPr>
      </w:pPr>
      <w:r>
        <w:rPr>
          <w:sz w:val="24"/>
        </w:rPr>
        <w:t>Unterhalter, E. (2005). Global inequality, capabilities, social justice: The millennium development goal for gender equality in education. International Journal of Educational Development, 25(2), 111–122.</w:t>
      </w:r>
    </w:p>
    <w:p w14:paraId="3306535F">
      <w:pPr>
        <w:tabs>
          <w:tab w:val="left" w:pos="2629"/>
        </w:tabs>
        <w:spacing w:line="0" w:lineRule="atLeast"/>
        <w:ind w:left="929" w:hanging="928" w:hangingChars="387"/>
        <w:rPr>
          <w:sz w:val="24"/>
        </w:rPr>
      </w:pPr>
      <w:r>
        <w:rPr>
          <w:sz w:val="24"/>
        </w:rPr>
        <w:t>Unterhalter, E. (2007). Gender, schooling and global social justice. London: Routledge.</w:t>
      </w:r>
    </w:p>
    <w:p w14:paraId="172805F8">
      <w:pPr>
        <w:tabs>
          <w:tab w:val="left" w:pos="2629"/>
        </w:tabs>
        <w:spacing w:line="0" w:lineRule="atLeast"/>
        <w:ind w:left="929" w:hanging="928" w:hangingChars="387"/>
        <w:rPr>
          <w:sz w:val="24"/>
        </w:rPr>
      </w:pPr>
      <w:r>
        <w:rPr>
          <w:sz w:val="24"/>
        </w:rPr>
        <w:t>Wainaina, P. W., &amp; Wambugu, P. W. (2017). Challenges facing education of the girl child in pastoralist communities in Kenya. International Journal of Education and Research, 5(7), 231–244.</w:t>
      </w:r>
    </w:p>
    <w:p w14:paraId="6424E6B2">
      <w:pPr>
        <w:tabs>
          <w:tab w:val="left" w:pos="2629"/>
        </w:tabs>
        <w:spacing w:line="0" w:lineRule="atLeast"/>
        <w:ind w:left="929" w:hanging="928" w:hangingChars="387"/>
        <w:rPr>
          <w:sz w:val="24"/>
        </w:rPr>
      </w:pPr>
      <w:r>
        <w:rPr>
          <w:sz w:val="24"/>
        </w:rPr>
        <w:t>Wamahiu, S. P. (1999). The education of girls and women in Africa. Nairobi: Forum for African Women Educationalists (FAWE).</w:t>
      </w:r>
    </w:p>
    <w:p w14:paraId="290FCF58">
      <w:pPr>
        <w:tabs>
          <w:tab w:val="left" w:pos="2629"/>
        </w:tabs>
        <w:spacing w:line="0" w:lineRule="atLeast"/>
        <w:ind w:left="929" w:hanging="928" w:hangingChars="387"/>
        <w:rPr>
          <w:sz w:val="24"/>
        </w:rPr>
      </w:pPr>
      <w:r>
        <w:rPr>
          <w:sz w:val="24"/>
        </w:rPr>
        <w:t>Wamahiu, S. P. (2017). Engendering education: Policy and practice in Eastern Africa. In E. Unterhalter &amp; M. Walker (Eds.), Measuring the unmeasurable in education (pp. 95–110). Routledge.</w:t>
      </w:r>
    </w:p>
    <w:p w14:paraId="4B115F75">
      <w:pPr>
        <w:tabs>
          <w:tab w:val="left" w:pos="2629"/>
        </w:tabs>
        <w:spacing w:line="0" w:lineRule="atLeast"/>
        <w:ind w:left="929" w:hanging="928" w:hangingChars="387"/>
        <w:rPr>
          <w:sz w:val="24"/>
        </w:rPr>
      </w:pPr>
      <w:r>
        <w:rPr>
          <w:sz w:val="24"/>
        </w:rPr>
        <w:t>Wambua, L. M., &amp; Mwangi, A. W. (2020). Domestic responsibilities and academic performance of female students in Kenyan rural day schools. Journal of Gender and Education in Africa, 5(1), 59–73.</w:t>
      </w:r>
    </w:p>
    <w:p w14:paraId="1B7F545E">
      <w:pPr>
        <w:tabs>
          <w:tab w:val="left" w:pos="2629"/>
        </w:tabs>
        <w:spacing w:line="0" w:lineRule="atLeast"/>
        <w:ind w:left="929" w:hanging="928" w:hangingChars="387"/>
        <w:rPr>
          <w:sz w:val="24"/>
        </w:rPr>
      </w:pPr>
      <w:r>
        <w:rPr>
          <w:sz w:val="24"/>
        </w:rPr>
        <w:t>Watkins, K. (2000). The Oxfam Education Report. Oxford: Oxfam Publishing.</w:t>
      </w:r>
    </w:p>
    <w:p w14:paraId="4EFA39BA">
      <w:pPr>
        <w:tabs>
          <w:tab w:val="left" w:pos="2629"/>
        </w:tabs>
        <w:spacing w:line="0" w:lineRule="atLeast"/>
        <w:ind w:left="929" w:hanging="928" w:hangingChars="387"/>
        <w:rPr>
          <w:sz w:val="24"/>
        </w:rPr>
      </w:pPr>
      <w:r>
        <w:rPr>
          <w:sz w:val="24"/>
        </w:rPr>
        <w:t>Woldehanna, T., Jones, N., &amp; Tefera, B. (2008). The invisibility of children's paid and unpaid work: Implications for Ethiopia’s National Child Labour Policy. Young Lives Working Paper 34, Oxford: University of Oxford.</w:t>
      </w:r>
    </w:p>
    <w:p w14:paraId="0EE0AD83">
      <w:pPr>
        <w:tabs>
          <w:tab w:val="left" w:pos="2629"/>
        </w:tabs>
        <w:spacing w:line="0" w:lineRule="atLeast"/>
        <w:ind w:left="929" w:hanging="928" w:hangingChars="387"/>
        <w:rPr>
          <w:sz w:val="24"/>
        </w:rPr>
      </w:pPr>
      <w:r>
        <w:rPr>
          <w:sz w:val="24"/>
        </w:rPr>
        <w:t>World Bank. (2006). World development report 2006: Equity and development. Washington, DC: World Bank.</w:t>
      </w:r>
    </w:p>
    <w:p w14:paraId="0010ECFB">
      <w:pPr>
        <w:tabs>
          <w:tab w:val="left" w:pos="2629"/>
        </w:tabs>
        <w:spacing w:line="0" w:lineRule="atLeast"/>
        <w:ind w:left="929" w:hanging="928" w:hangingChars="387"/>
        <w:rPr>
          <w:sz w:val="24"/>
        </w:rPr>
      </w:pPr>
      <w:r>
        <w:rPr>
          <w:sz w:val="24"/>
        </w:rPr>
        <w:t>World Bank. (2018). Facing forward: Schooling for learning in Africa. Washington, DC: World Bank Publications.</w:t>
      </w:r>
    </w:p>
    <w:p w14:paraId="2A0010CC">
      <w:pPr>
        <w:tabs>
          <w:tab w:val="left" w:pos="2629"/>
        </w:tabs>
        <w:spacing w:line="0" w:lineRule="atLeast"/>
        <w:ind w:left="929" w:hanging="928" w:hangingChars="387"/>
        <w:rPr>
          <w:sz w:val="24"/>
        </w:rPr>
      </w:pPr>
      <w:r>
        <w:rPr>
          <w:sz w:val="24"/>
        </w:rPr>
        <w:t>World Bank. (2018). Missed Opportunities: The High Cost of Not Educating Girls. Washington, DC: World Bank Group. https://www.worldbank.org/en/topic/education/publication/missed-opportunities-the-high-cost-of-not-educating-girls</w:t>
      </w:r>
    </w:p>
    <w:p w14:paraId="12529656">
      <w:pPr>
        <w:tabs>
          <w:tab w:val="left" w:pos="2629"/>
        </w:tabs>
        <w:spacing w:line="0" w:lineRule="atLeast"/>
        <w:ind w:left="929" w:hanging="928" w:hangingChars="387"/>
        <w:rPr>
          <w:sz w:val="24"/>
        </w:rPr>
      </w:pPr>
      <w:r>
        <w:rPr>
          <w:sz w:val="24"/>
        </w:rPr>
        <w:t>World Bank. (2020). Girls’ education: Global priorities and local solutions. https://www.worldbank.org</w:t>
      </w:r>
    </w:p>
    <w:p w14:paraId="39984461">
      <w:pPr>
        <w:tabs>
          <w:tab w:val="left" w:pos="2629"/>
        </w:tabs>
        <w:spacing w:line="0" w:lineRule="atLeast"/>
        <w:ind w:left="929" w:hanging="928" w:hangingChars="387"/>
        <w:rPr>
          <w:sz w:val="24"/>
        </w:rPr>
      </w:pPr>
      <w:r>
        <w:rPr>
          <w:sz w:val="24"/>
        </w:rPr>
        <w:t>World Vision Kenya. (2014). Eliminating barriers to girls’ education. Nairobi: WVK Publications.</w:t>
      </w:r>
    </w:p>
    <w:p w14:paraId="225770F6">
      <w:pPr>
        <w:tabs>
          <w:tab w:val="left" w:pos="2629"/>
        </w:tabs>
        <w:spacing w:line="0" w:lineRule="atLeast"/>
        <w:ind w:left="929" w:hanging="928" w:hangingChars="387"/>
        <w:rPr>
          <w:sz w:val="24"/>
        </w:rPr>
      </w:pPr>
      <w:r>
        <w:rPr>
          <w:sz w:val="24"/>
        </w:rPr>
        <w:t>World Vision Kenya. (2018). Empowering pastoralist girls through education: Challenges and success stories from Northern Kenya. World Vision Field Reports.</w:t>
      </w:r>
    </w:p>
    <w:p w14:paraId="19EF6383">
      <w:pPr>
        <w:tabs>
          <w:tab w:val="left" w:pos="2629"/>
        </w:tabs>
        <w:spacing w:line="0" w:lineRule="atLeast"/>
        <w:ind w:left="929" w:hanging="928" w:hangingChars="387"/>
        <w:rPr>
          <w:sz w:val="24"/>
        </w:rPr>
      </w:pPr>
      <w:r>
        <w:rPr>
          <w:sz w:val="24"/>
        </w:rPr>
        <w:t>Yamano, T., &amp; Jayne, T. S. (2005). The impact of working-age adult mortality on child schooling in Kenya. Economic Development and Cultural Change, 53(3), 619–653.</w:t>
      </w:r>
    </w:p>
    <w:p w14:paraId="4D38007E">
      <w:pPr>
        <w:tabs>
          <w:tab w:val="left" w:pos="2629"/>
        </w:tabs>
        <w:spacing w:line="0" w:lineRule="atLeast"/>
        <w:ind w:left="929" w:hanging="928" w:hangingChars="387"/>
        <w:rPr>
          <w:sz w:val="24"/>
        </w:rPr>
      </w:pPr>
      <w:r>
        <w:rPr>
          <w:sz w:val="24"/>
        </w:rPr>
        <w:t>Yieke, F. A. (2006). Gender, culture and development: The role of the African universities. CODESRIA Bulletin, 1(1–2), 26–30.</w:t>
      </w:r>
    </w:p>
    <w:p w14:paraId="7DCE1E0C">
      <w:pPr>
        <w:tabs>
          <w:tab w:val="left" w:pos="2629"/>
        </w:tabs>
        <w:spacing w:line="0" w:lineRule="atLeast"/>
        <w:ind w:left="929" w:hanging="928" w:hangingChars="387"/>
        <w:rPr>
          <w:sz w:val="24"/>
        </w:rPr>
      </w:pPr>
      <w:r>
        <w:rPr>
          <w:sz w:val="24"/>
        </w:rPr>
        <w:t>Yusuf, A. A., &amp; Mohamed, H. S. (2022). Influence of pastoralist cultural practices on girls’ access and retention in secondary schools in Garissa County. African Journal of Pastoralism and Education, 3(2), 121–138.</w:t>
      </w:r>
    </w:p>
    <w:p w14:paraId="23B2FDE7">
      <w:pPr>
        <w:tabs>
          <w:tab w:val="left" w:pos="2629"/>
        </w:tabs>
        <w:spacing w:line="0" w:lineRule="atLeast"/>
        <w:ind w:left="929" w:hanging="928" w:hangingChars="387"/>
        <w:rPr>
          <w:sz w:val="24"/>
        </w:rPr>
      </w:pPr>
      <w:r>
        <w:rPr>
          <w:sz w:val="24"/>
        </w:rPr>
        <w:t>Zuilkowski, S. S., &amp; Jukes, M. C. H. (2012). Schooling and child labor in Ethiopia. World Development, 40(4), 645–655. https://doi.org/10.1016/j.worlddev.2011.07.015</w:t>
      </w:r>
    </w:p>
    <w:p w14:paraId="308391EC">
      <w:pPr>
        <w:tabs>
          <w:tab w:val="left" w:pos="2629"/>
        </w:tabs>
        <w:rPr>
          <w:sz w:val="24"/>
        </w:rPr>
      </w:pPr>
    </w:p>
    <w:p w14:paraId="60011455">
      <w:pPr>
        <w:tabs>
          <w:tab w:val="left" w:pos="2629"/>
        </w:tabs>
        <w:rPr>
          <w:sz w:val="24"/>
        </w:rPr>
      </w:pPr>
    </w:p>
    <w:p w14:paraId="7C4F04A6">
      <w:pPr>
        <w:tabs>
          <w:tab w:val="left" w:pos="2629"/>
        </w:tabs>
        <w:rPr>
          <w:b/>
          <w:sz w:val="24"/>
        </w:rPr>
      </w:pPr>
      <w:r>
        <w:rPr>
          <w:b/>
          <w:sz w:val="24"/>
        </w:rPr>
        <w:t xml:space="preserve">APPENDICES </w:t>
      </w:r>
    </w:p>
    <w:p w14:paraId="6993655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Appendix I: Questionnaire for Class Teachers</w:t>
      </w:r>
    </w:p>
    <w:p w14:paraId="71D924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Instructions: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This questionnaire is intended to collect information on the influence of domestic chores on girls’ dropout rates in public day </w:t>
      </w:r>
      <w:r>
        <w:rPr>
          <w:rFonts w:ascii="Times New Roman" w:hAnsi="Times New Roman" w:eastAsia="Times New Roman" w:cs="Times New Roman"/>
          <w:sz w:val="24"/>
          <w:szCs w:val="24"/>
          <w:lang w:val="en-US"/>
        </w:rPr>
        <w:t>junior schools</w:t>
      </w:r>
      <w:r>
        <w:rPr>
          <w:rFonts w:ascii="Times New Roman" w:hAnsi="Times New Roman" w:eastAsia="Times New Roman" w:cs="Times New Roman"/>
          <w:sz w:val="24"/>
          <w:szCs w:val="24"/>
        </w:rPr>
        <w:t>. Your responses will be kept confidential and used solely for academic purposes. Kindly respond to all items honestly. Do not write your name on this form.</w:t>
      </w:r>
    </w:p>
    <w:p w14:paraId="48B85D4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58FEC12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Section A: Background Information</w:t>
      </w:r>
    </w:p>
    <w:p w14:paraId="0A2190CF">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 of School: __________________________</w:t>
      </w:r>
    </w:p>
    <w:p w14:paraId="4F62BA68">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Gender: [ ] Male  [ ] Female</w:t>
      </w:r>
    </w:p>
    <w:p w14:paraId="6ABE2A22">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Grade you are teaching (tick):</w:t>
      </w:r>
    </w:p>
    <w:p w14:paraId="29BA28E6">
      <w:pPr>
        <w:numPr>
          <w:ilvl w:val="1"/>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26" o:spt="201" alt="" type="#_x0000_t201" style="height:18.75pt;width:20.25pt;" o:ole="t" filled="f" o:preferrelative="t" stroked="f" coordsize="21600,21600">
            <v:path/>
            <v:fill on="f" focussize="0,0"/>
            <v:stroke on="f"/>
            <v:imagedata r:id="rId7" o:title=""/>
            <o:lock v:ext="edit" aspectratio="t"/>
            <w10:wrap type="none"/>
            <w10:anchorlock/>
          </v:shape>
          <w:control r:id="rId6" w:name="Control 2" w:shapeid="_x0000_i1026"/>
        </w:object>
      </w:r>
      <w:r>
        <w:rPr>
          <w:rFonts w:ascii="Times New Roman" w:hAnsi="Times New Roman" w:eastAsia="Times New Roman" w:cs="Times New Roman"/>
          <w:sz w:val="24"/>
          <w:szCs w:val="24"/>
        </w:rPr>
        <w:t>Grade 7 [ ] Grade 8 [ ] Grade 9</w:t>
      </w:r>
    </w:p>
    <w:p w14:paraId="516C604A">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years in teaching profession: _______</w:t>
      </w:r>
    </w:p>
    <w:p w14:paraId="569A2DC3">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years teaching in this school: _______</w:t>
      </w:r>
    </w:p>
    <w:p w14:paraId="64A5E39F">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Approximate number of girls in your class: _______</w:t>
      </w:r>
    </w:p>
    <w:p w14:paraId="76804F0A">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girls who dropped out last year: _______</w:t>
      </w:r>
    </w:p>
    <w:p w14:paraId="27AABDD0">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girls currently at risk of dropping out: _______</w:t>
      </w:r>
    </w:p>
    <w:p w14:paraId="4FBA776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54BE487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Section B: Questionnaire Items</w:t>
      </w:r>
    </w:p>
    <w:p w14:paraId="7A79A70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Please tick or write where appropriate.</w:t>
      </w:r>
    </w:p>
    <w:p w14:paraId="11A06C06">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you observed girls being absent from school regularly?</w:t>
      </w:r>
    </w:p>
    <w:p w14:paraId="59F9F878">
      <w:pPr>
        <w:numPr>
          <w:ilvl w:val="1"/>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28" o:spt="201" alt="" type="#_x0000_t201" style="height:18.75pt;width:20.25pt;" o:ole="t" filled="f" o:preferrelative="t" stroked="f" coordsize="21600,21600">
            <v:path/>
            <v:fill on="f" focussize="0,0"/>
            <v:stroke on="f"/>
            <v:imagedata r:id="rId7" o:title=""/>
            <o:lock v:ext="edit" aspectratio="t"/>
            <w10:wrap type="none"/>
            <w10:anchorlock/>
          </v:shape>
          <w:control r:id="rId8" w:name="Control 4" w:shapeid="_x0000_i1028"/>
        </w:object>
      </w:r>
      <w:r>
        <w:rPr>
          <w:rFonts w:ascii="Times New Roman" w:hAnsi="Times New Roman" w:eastAsia="Times New Roman" w:cs="Times New Roman"/>
          <w:sz w:val="24"/>
          <w:szCs w:val="24"/>
        </w:rPr>
        <w:t>Yes [ ] No</w:t>
      </w:r>
    </w:p>
    <w:p w14:paraId="37C4A69D">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yes, what are the common reasons given for their absence? (tick all that apply):</w:t>
      </w:r>
    </w:p>
    <w:p w14:paraId="00618802">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29" o:spt="201" alt="" type="#_x0000_t201" style="height:18.75pt;width:20.25pt;" o:ole="t" filled="f" o:preferrelative="t" stroked="f" coordsize="21600,21600">
            <v:path/>
            <v:fill on="f" focussize="0,0"/>
            <v:stroke on="f"/>
            <v:imagedata r:id="rId7" o:title=""/>
            <o:lock v:ext="edit" aspectratio="t"/>
            <w10:wrap type="none"/>
            <w10:anchorlock/>
          </v:shape>
          <w:control r:id="rId9" w:name="Control 5" w:shapeid="_x0000_i1029"/>
        </w:object>
      </w:r>
      <w:r>
        <w:rPr>
          <w:rFonts w:ascii="Times New Roman" w:hAnsi="Times New Roman" w:eastAsia="Times New Roman" w:cs="Times New Roman"/>
          <w:sz w:val="24"/>
          <w:szCs w:val="24"/>
        </w:rPr>
        <w:t>Illness</w:t>
      </w:r>
    </w:p>
    <w:p w14:paraId="6A32EE1B">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0" o:spt="201" alt="" type="#_x0000_t201" style="height:18.75pt;width:20.25pt;" o:ole="t" filled="f" o:preferrelative="t" stroked="f" coordsize="21600,21600">
            <v:path/>
            <v:fill on="f" focussize="0,0"/>
            <v:stroke on="f"/>
            <v:imagedata r:id="rId7" o:title=""/>
            <o:lock v:ext="edit" aspectratio="t"/>
            <w10:wrap type="none"/>
            <w10:anchorlock/>
          </v:shape>
          <w:control r:id="rId10" w:name="Control 6" w:shapeid="_x0000_i1030"/>
        </w:object>
      </w:r>
      <w:r>
        <w:rPr>
          <w:rFonts w:ascii="Times New Roman" w:hAnsi="Times New Roman" w:eastAsia="Times New Roman" w:cs="Times New Roman"/>
          <w:sz w:val="24"/>
          <w:szCs w:val="24"/>
        </w:rPr>
        <w:t>Domestic chores</w:t>
      </w:r>
    </w:p>
    <w:p w14:paraId="2BAF5C2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1" o:spt="201" alt="" type="#_x0000_t201" style="height:18.75pt;width:20.25pt;" o:ole="t" filled="f" o:preferrelative="t" stroked="f" coordsize="21600,21600">
            <v:path/>
            <v:fill on="f" focussize="0,0"/>
            <v:stroke on="f"/>
            <v:imagedata r:id="rId7" o:title=""/>
            <o:lock v:ext="edit" aspectratio="t"/>
            <w10:wrap type="none"/>
            <w10:anchorlock/>
          </v:shape>
          <w:control r:id="rId11" w:name="Control 7" w:shapeid="_x0000_i1031"/>
        </w:object>
      </w:r>
      <w:r>
        <w:rPr>
          <w:rFonts w:ascii="Times New Roman" w:hAnsi="Times New Roman" w:eastAsia="Times New Roman" w:cs="Times New Roman"/>
          <w:sz w:val="24"/>
          <w:szCs w:val="24"/>
        </w:rPr>
        <w:t>Family issues</w:t>
      </w:r>
    </w:p>
    <w:p w14:paraId="6A4F55B2">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2" o:spt="201" alt="" type="#_x0000_t201" style="height:18.75pt;width:20.25pt;" o:ole="t" filled="f" o:preferrelative="t" stroked="f" coordsize="21600,21600">
            <v:path/>
            <v:fill on="f" focussize="0,0"/>
            <v:stroke on="f"/>
            <v:imagedata r:id="rId7" o:title=""/>
            <o:lock v:ext="edit" aspectratio="t"/>
            <w10:wrap type="none"/>
            <w10:anchorlock/>
          </v:shape>
          <w:control r:id="rId12" w:name="Control 8" w:shapeid="_x0000_i1032"/>
        </w:object>
      </w:r>
      <w:r>
        <w:rPr>
          <w:rFonts w:ascii="Times New Roman" w:hAnsi="Times New Roman" w:eastAsia="Times New Roman" w:cs="Times New Roman"/>
          <w:sz w:val="24"/>
          <w:szCs w:val="24"/>
        </w:rPr>
        <w:t>Early marriages</w:t>
      </w:r>
    </w:p>
    <w:p w14:paraId="1754A12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3" o:spt="201" alt="" type="#_x0000_t201" style="height:18.75pt;width:20.25pt;" o:ole="t" filled="f" o:preferrelative="t" stroked="f" coordsize="21600,21600">
            <v:path/>
            <v:fill on="f" focussize="0,0"/>
            <v:stroke on="f"/>
            <v:imagedata r:id="rId7" o:title=""/>
            <o:lock v:ext="edit" aspectratio="t"/>
            <w10:wrap type="none"/>
            <w10:anchorlock/>
          </v:shape>
          <w:control r:id="rId13" w:name="Control 9" w:shapeid="_x0000_i1033"/>
        </w:object>
      </w:r>
      <w:r>
        <w:rPr>
          <w:rFonts w:ascii="Times New Roman" w:hAnsi="Times New Roman" w:eastAsia="Times New Roman" w:cs="Times New Roman"/>
          <w:sz w:val="24"/>
          <w:szCs w:val="24"/>
        </w:rPr>
        <w:t>Lack of school fees</w:t>
      </w:r>
    </w:p>
    <w:p w14:paraId="265861E3">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4" o:spt="201" alt="" type="#_x0000_t201" style="height:18.75pt;width:20.25pt;" o:ole="t" filled="f" o:preferrelative="t" stroked="f" coordsize="21600,21600">
            <v:path/>
            <v:fill on="f" focussize="0,0"/>
            <v:stroke on="f"/>
            <v:imagedata r:id="rId7" o:title=""/>
            <o:lock v:ext="edit" aspectratio="t"/>
            <w10:wrap type="none"/>
            <w10:anchorlock/>
          </v:shape>
          <w:control r:id="rId14" w:name="Control 10" w:shapeid="_x0000_i1034"/>
        </w:object>
      </w:r>
      <w:r>
        <w:rPr>
          <w:rFonts w:ascii="Times New Roman" w:hAnsi="Times New Roman" w:eastAsia="Times New Roman" w:cs="Times New Roman"/>
          <w:sz w:val="24"/>
          <w:szCs w:val="24"/>
        </w:rPr>
        <w:t>Others: ___________</w:t>
      </w:r>
    </w:p>
    <w:p w14:paraId="7C74D89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Which type of domestic chores are most frequently mentioned by girls as affecting school attendance?</w:t>
      </w:r>
    </w:p>
    <w:p w14:paraId="6913592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217AE03F">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which days do girls commonly miss school due to chores?</w:t>
      </w:r>
    </w:p>
    <w:p w14:paraId="7E673533">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6" o:spt="201" alt="" type="#_x0000_t201" style="height:18.75pt;width:20.25pt;" o:ole="t" filled="f" o:preferrelative="t" stroked="f" coordsize="21600,21600">
            <v:path/>
            <v:fill on="f" focussize="0,0"/>
            <v:stroke on="f"/>
            <v:imagedata r:id="rId7" o:title=""/>
            <o:lock v:ext="edit" aspectratio="t"/>
            <w10:wrap type="none"/>
            <w10:anchorlock/>
          </v:shape>
          <w:control r:id="rId15" w:name="Control 12" w:shapeid="_x0000_i1036"/>
        </w:object>
      </w:r>
      <w:r>
        <w:rPr>
          <w:rFonts w:ascii="Times New Roman" w:hAnsi="Times New Roman" w:eastAsia="Times New Roman" w:cs="Times New Roman"/>
          <w:sz w:val="24"/>
          <w:szCs w:val="24"/>
        </w:rPr>
        <w:t>Monday [ ] Tuesday [ ] Wednesday [ ] Thursday [ ] Friday</w:t>
      </w:r>
    </w:p>
    <w:p w14:paraId="2D250159">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you think girls are given more domestic chores than boys?</w:t>
      </w:r>
    </w:p>
    <w:p w14:paraId="2F562E76">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7" o:spt="201" alt="" type="#_x0000_t201" style="height:18.75pt;width:20.25pt;" o:ole="t" filled="f" o:preferrelative="t" stroked="f" coordsize="21600,21600">
            <v:path/>
            <v:fill on="f" focussize="0,0"/>
            <v:stroke on="f"/>
            <v:imagedata r:id="rId7" o:title=""/>
            <o:lock v:ext="edit" aspectratio="t"/>
            <w10:wrap type="none"/>
            <w10:anchorlock/>
          </v:shape>
          <w:control r:id="rId16" w:name="Control 13" w:shapeid="_x0000_i1037"/>
        </w:object>
      </w:r>
      <w:r>
        <w:rPr>
          <w:rFonts w:ascii="Times New Roman" w:hAnsi="Times New Roman" w:eastAsia="Times New Roman" w:cs="Times New Roman"/>
          <w:sz w:val="24"/>
          <w:szCs w:val="24"/>
        </w:rPr>
        <w:t>Yes [ ] No [ ] Not sure</w:t>
      </w:r>
    </w:p>
    <w:p w14:paraId="1E430162">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you seen any pattern in absenteeism related to specific seasons (e.g., harvesting, rainy season)?</w:t>
      </w:r>
    </w:p>
    <w:p w14:paraId="66756487">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8" o:spt="201" alt="" type="#_x0000_t201" style="height:18.75pt;width:20.25pt;" o:ole="t" filled="f" o:preferrelative="t" stroked="f" coordsize="21600,21600">
            <v:path/>
            <v:fill on="f" focussize="0,0"/>
            <v:stroke on="f"/>
            <v:imagedata r:id="rId7" o:title=""/>
            <o:lock v:ext="edit" aspectratio="t"/>
            <w10:wrap type="none"/>
            <w10:anchorlock/>
          </v:shape>
          <w:control r:id="rId17" w:name="Control 14" w:shapeid="_x0000_i1038"/>
        </w:object>
      </w:r>
      <w:r>
        <w:rPr>
          <w:rFonts w:ascii="Times New Roman" w:hAnsi="Times New Roman" w:eastAsia="Times New Roman" w:cs="Times New Roman"/>
          <w:sz w:val="24"/>
          <w:szCs w:val="24"/>
        </w:rPr>
        <w:t>Yes [ ] No If yes, please explain: _______________</w:t>
      </w:r>
    </w:p>
    <w:p w14:paraId="6C7EAE5B">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is the average number of days girls are absent per term due to home responsibilities?</w:t>
      </w:r>
    </w:p>
    <w:p w14:paraId="76E083D0">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9" o:spt="201" alt="" type="#_x0000_t201" style="height:18.75pt;width:20.25pt;" o:ole="t" filled="f" o:preferrelative="t" stroked="f" coordsize="21600,21600">
            <v:path/>
            <v:fill on="f" focussize="0,0"/>
            <v:stroke on="f"/>
            <v:imagedata r:id="rId7" o:title=""/>
            <o:lock v:ext="edit" aspectratio="t"/>
            <w10:wrap type="none"/>
            <w10:anchorlock/>
          </v:shape>
          <w:control r:id="rId18" w:name="Control 15" w:shapeid="_x0000_i1039"/>
        </w:object>
      </w:r>
      <w:r>
        <w:rPr>
          <w:rFonts w:ascii="Times New Roman" w:hAnsi="Times New Roman" w:eastAsia="Times New Roman" w:cs="Times New Roman"/>
          <w:sz w:val="24"/>
          <w:szCs w:val="24"/>
        </w:rPr>
        <w:t>1–2 days [ ] 3–5 days [ ] More than 5 days</w:t>
      </w:r>
    </w:p>
    <w:p w14:paraId="7B55F4EF">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parents inform the school when their daughters are absent due to chores?</w:t>
      </w:r>
    </w:p>
    <w:p w14:paraId="6841E132">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40" o:spt="201" alt="" type="#_x0000_t201" style="height:18.75pt;width:20.25pt;" o:ole="t" filled="f" o:preferrelative="t" stroked="f" coordsize="21600,21600">
            <v:path/>
            <v:fill on="f" focussize="0,0"/>
            <v:stroke on="f"/>
            <v:imagedata r:id="rId7" o:title=""/>
            <o:lock v:ext="edit" aspectratio="t"/>
            <w10:wrap type="none"/>
            <w10:anchorlock/>
          </v:shape>
          <w:control r:id="rId19" w:name="Control 16" w:shapeid="_x0000_i1040"/>
        </w:object>
      </w:r>
      <w:r>
        <w:rPr>
          <w:rFonts w:ascii="Times New Roman" w:hAnsi="Times New Roman" w:eastAsia="Times New Roman" w:cs="Times New Roman"/>
          <w:sz w:val="24"/>
          <w:szCs w:val="24"/>
        </w:rPr>
        <w:t>Often [ ] Sometimes [ ] Rarely [ ] Never</w:t>
      </w:r>
    </w:p>
    <w:p w14:paraId="7F9E6B06">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girls return to school after long absences?</w:t>
      </w:r>
    </w:p>
    <w:p w14:paraId="75215576">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41" o:spt="201" alt="" type="#_x0000_t201" style="height:18.75pt;width:20.25pt;" o:ole="t" filled="f" o:preferrelative="t" stroked="f" coordsize="21600,21600">
            <v:path/>
            <v:fill on="f" focussize="0,0"/>
            <v:stroke on="f"/>
            <v:imagedata r:id="rId7" o:title=""/>
            <o:lock v:ext="edit" aspectratio="t"/>
            <w10:wrap type="none"/>
            <w10:anchorlock/>
          </v:shape>
          <w:control r:id="rId20" w:name="Control 17" w:shapeid="_x0000_i1041"/>
        </w:object>
      </w:r>
      <w:r>
        <w:rPr>
          <w:rFonts w:ascii="Times New Roman" w:hAnsi="Times New Roman" w:eastAsia="Times New Roman" w:cs="Times New Roman"/>
          <w:sz w:val="24"/>
          <w:szCs w:val="24"/>
        </w:rPr>
        <w:t>Always [ ] Sometimes [ ] Rarely [ ] Never</w:t>
      </w:r>
    </w:p>
    <w:p w14:paraId="1A82ECAE">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you had to follow up on girls who were frequently absent or dropped out?</w:t>
      </w:r>
    </w:p>
    <w:p w14:paraId="39F2D817">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42" o:spt="201" alt="" type="#_x0000_t201" style="height:18.75pt;width:20.25pt;" o:ole="t" filled="f" o:preferrelative="t" stroked="f" coordsize="21600,21600">
            <v:path/>
            <v:fill on="f" focussize="0,0"/>
            <v:stroke on="f"/>
            <v:imagedata r:id="rId7" o:title=""/>
            <o:lock v:ext="edit" aspectratio="t"/>
            <w10:wrap type="none"/>
            <w10:anchorlock/>
          </v:shape>
          <w:control r:id="rId21" w:name="Control 18" w:shapeid="_x0000_i1042"/>
        </w:object>
      </w:r>
      <w:r>
        <w:rPr>
          <w:rFonts w:ascii="Times New Roman" w:hAnsi="Times New Roman" w:eastAsia="Times New Roman" w:cs="Times New Roman"/>
          <w:sz w:val="24"/>
          <w:szCs w:val="24"/>
        </w:rPr>
        <w:t>Yes [ ] No</w:t>
      </w:r>
    </w:p>
    <w:p w14:paraId="4A3425AB">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Are there cases where girls take on adult responsibilities at home (e.g., caregiving, farming, vending)?</w:t>
      </w:r>
    </w:p>
    <w:p w14:paraId="199BCFA1">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43" o:spt="201" alt="" type="#_x0000_t201" style="height:18.75pt;width:20.25pt;" o:ole="t" filled="f" o:preferrelative="t" stroked="f" coordsize="21600,21600">
            <v:path/>
            <v:fill on="f" focussize="0,0"/>
            <v:stroke on="f"/>
            <v:imagedata r:id="rId7" o:title=""/>
            <o:lock v:ext="edit" aspectratio="t"/>
            <w10:wrap type="none"/>
            <w10:anchorlock/>
          </v:shape>
          <w:control r:id="rId22" w:name="Control 19" w:shapeid="_x0000_i1043"/>
        </w:object>
      </w:r>
      <w:r>
        <w:rPr>
          <w:rFonts w:ascii="Times New Roman" w:hAnsi="Times New Roman" w:eastAsia="Times New Roman" w:cs="Times New Roman"/>
          <w:sz w:val="24"/>
          <w:szCs w:val="24"/>
        </w:rPr>
        <w:t>Yes [ ] No If yes, give examples: _______________</w:t>
      </w:r>
    </w:p>
    <w:p w14:paraId="7FBB31B4">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Are domestic chores a major reason for poor academic performance among girls in your class?</w:t>
      </w:r>
    </w:p>
    <w:p w14:paraId="2DC6B5DC">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44" o:spt="201" alt="" type="#_x0000_t201" style="height:18.75pt;width:20.25pt;" o:ole="t" filled="f" o:preferrelative="t" stroked="f" coordsize="21600,21600">
            <v:path/>
            <v:fill on="f" focussize="0,0"/>
            <v:stroke on="f"/>
            <v:imagedata r:id="rId7" o:title=""/>
            <o:lock v:ext="edit" aspectratio="t"/>
            <w10:wrap type="none"/>
            <w10:anchorlock/>
          </v:shape>
          <w:control r:id="rId23" w:name="Control 20" w:shapeid="_x0000_i1044"/>
        </w:object>
      </w:r>
      <w:r>
        <w:rPr>
          <w:rFonts w:ascii="Times New Roman" w:hAnsi="Times New Roman" w:eastAsia="Times New Roman" w:cs="Times New Roman"/>
          <w:sz w:val="24"/>
          <w:szCs w:val="24"/>
        </w:rPr>
        <w:t>Strongly Agree [ ] Agree [ ] Disagree [ ] Strongly Disagree</w:t>
      </w:r>
    </w:p>
    <w:p w14:paraId="6A738C75">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you attempted to talk with parents/guardians about the impact of chores on their daughters’ education?</w:t>
      </w:r>
    </w:p>
    <w:p w14:paraId="07F1F476">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45" o:spt="201" alt="" type="#_x0000_t201" style="height:18.75pt;width:20.25pt;" o:ole="t" filled="f" o:preferrelative="t" stroked="f" coordsize="21600,21600">
            <v:path/>
            <v:fill on="f" focussize="0,0"/>
            <v:stroke on="f"/>
            <v:imagedata r:id="rId7" o:title=""/>
            <o:lock v:ext="edit" aspectratio="t"/>
            <w10:wrap type="none"/>
            <w10:anchorlock/>
          </v:shape>
          <w:control r:id="rId24" w:name="Control 21" w:shapeid="_x0000_i1045"/>
        </w:object>
      </w:r>
      <w:r>
        <w:rPr>
          <w:rFonts w:ascii="Times New Roman" w:hAnsi="Times New Roman" w:eastAsia="Times New Roman" w:cs="Times New Roman"/>
          <w:sz w:val="24"/>
          <w:szCs w:val="24"/>
        </w:rPr>
        <w:t>Yes [ ] No If yes, what was their response? ___________</w:t>
      </w:r>
    </w:p>
    <w:p w14:paraId="3D1F855E">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Does your school have a system to monitor attendance and follow up on absenteeism?</w:t>
      </w:r>
    </w:p>
    <w:p w14:paraId="673EB241">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46" o:spt="201" alt="" type="#_x0000_t201" style="height:18.75pt;width:20.25pt;" o:ole="t" filled="f" o:preferrelative="t" stroked="f" coordsize="21600,21600">
            <v:path/>
            <v:fill on="f" focussize="0,0"/>
            <v:stroke on="f"/>
            <v:imagedata r:id="rId7" o:title=""/>
            <o:lock v:ext="edit" aspectratio="t"/>
            <w10:wrap type="none"/>
            <w10:anchorlock/>
          </v:shape>
          <w:control r:id="rId25" w:name="Control 22" w:shapeid="_x0000_i1046"/>
        </w:object>
      </w:r>
      <w:r>
        <w:rPr>
          <w:rFonts w:ascii="Times New Roman" w:hAnsi="Times New Roman" w:eastAsia="Times New Roman" w:cs="Times New Roman"/>
          <w:sz w:val="24"/>
          <w:szCs w:val="24"/>
        </w:rPr>
        <w:t>Yes [ ] No [ ] Not Sure</w:t>
      </w:r>
    </w:p>
    <w:p w14:paraId="561D1D61">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you think community beliefs and practices affect how girls are treated in terms of household roles?</w:t>
      </w:r>
    </w:p>
    <w:p w14:paraId="2D9C1C06">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47" o:spt="201" alt="" type="#_x0000_t201" style="height:18.75pt;width:20.25pt;" o:ole="t" filled="f" o:preferrelative="t" stroked="f" coordsize="21600,21600">
            <v:path/>
            <v:fill on="f" focussize="0,0"/>
            <v:stroke on="f"/>
            <v:imagedata r:id="rId7" o:title=""/>
            <o:lock v:ext="edit" aspectratio="t"/>
            <w10:wrap type="none"/>
            <w10:anchorlock/>
          </v:shape>
          <w:control r:id="rId26" w:name="Control 23" w:shapeid="_x0000_i1047"/>
        </w:object>
      </w:r>
      <w:r>
        <w:rPr>
          <w:rFonts w:ascii="Times New Roman" w:hAnsi="Times New Roman" w:eastAsia="Times New Roman" w:cs="Times New Roman"/>
          <w:sz w:val="24"/>
          <w:szCs w:val="24"/>
        </w:rPr>
        <w:t>Strongly Agree [ ] Agree [ ] Disagree [ ] Strongly Disagree</w:t>
      </w:r>
    </w:p>
    <w:p w14:paraId="75308131">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interventions has your school implemented to support girls facing challenges with domestic chores?</w:t>
      </w:r>
    </w:p>
    <w:p w14:paraId="632A013E">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27E9640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your opinion, what can be done to reduce the negative impact of domestic chores on girls’ education?</w:t>
      </w:r>
    </w:p>
    <w:p w14:paraId="51DE5E45">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5EB7DD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14:paraId="4F0E054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Let me know if you’d like:</w:t>
      </w:r>
    </w:p>
    <w:p w14:paraId="4F2BCCBD">
      <w:pPr>
        <w:tabs>
          <w:tab w:val="left" w:pos="2629"/>
        </w:tabs>
        <w:rPr>
          <w:sz w:val="24"/>
        </w:rPr>
      </w:pPr>
    </w:p>
    <w:p w14:paraId="435B7147">
      <w:pPr>
        <w:tabs>
          <w:tab w:val="left" w:pos="2629"/>
        </w:tabs>
        <w:rPr>
          <w:b/>
          <w:sz w:val="24"/>
        </w:rPr>
      </w:pPr>
      <w:r>
        <w:rPr>
          <w:b/>
          <w:sz w:val="24"/>
        </w:rPr>
        <w:t>Appendix I: Questionnaire for Students</w:t>
      </w:r>
    </w:p>
    <w:p w14:paraId="093B94FC">
      <w:pPr>
        <w:tabs>
          <w:tab w:val="left" w:pos="2629"/>
        </w:tabs>
        <w:rPr>
          <w:b/>
          <w:sz w:val="24"/>
        </w:rPr>
      </w:pPr>
      <w:r>
        <w:rPr>
          <w:b/>
          <w:sz w:val="24"/>
        </w:rPr>
        <w:t>Instructions:</w:t>
      </w:r>
    </w:p>
    <w:p w14:paraId="2347B17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Section A: Background Information</w:t>
      </w:r>
    </w:p>
    <w:p w14:paraId="7FCE7022">
      <w:pPr>
        <w:numPr>
          <w:ilvl w:val="0"/>
          <w:numId w:val="39"/>
        </w:numPr>
        <w:spacing w:before="100" w:beforeAutospacing="1" w:after="100" w:afterAutospacing="1" w:line="240" w:lineRule="auto"/>
        <w:rPr>
          <w:rFonts w:ascii="Calibri" w:hAnsi="Calibri" w:eastAsia="Times New Roman" w:cs="Calibri"/>
          <w:sz w:val="24"/>
          <w:szCs w:val="24"/>
        </w:rPr>
      </w:pPr>
      <w:r>
        <w:rPr>
          <w:rFonts w:ascii="Calibri" w:hAnsi="Calibri" w:eastAsia="Times New Roman" w:cs="Calibri"/>
          <w:sz w:val="24"/>
          <w:szCs w:val="24"/>
        </w:rPr>
        <w:t>Age: _______</w:t>
      </w:r>
    </w:p>
    <w:p w14:paraId="3709BDCD">
      <w:pPr>
        <w:numPr>
          <w:ilvl w:val="0"/>
          <w:numId w:val="39"/>
        </w:numPr>
        <w:spacing w:before="100" w:beforeAutospacing="1" w:after="100" w:afterAutospacing="1" w:line="240" w:lineRule="auto"/>
        <w:rPr>
          <w:rFonts w:ascii="Calibri" w:hAnsi="Calibri" w:eastAsia="Times New Roman" w:cs="Calibri"/>
          <w:sz w:val="24"/>
          <w:szCs w:val="24"/>
        </w:rPr>
      </w:pPr>
      <w:r>
        <w:rPr>
          <w:rFonts w:ascii="Calibri" w:hAnsi="Calibri" w:eastAsia="Times New Roman" w:cs="Calibri"/>
          <w:sz w:val="24"/>
          <w:szCs w:val="24"/>
        </w:rPr>
        <w:t>Grade: _______</w:t>
      </w:r>
    </w:p>
    <w:p w14:paraId="2D2CBA0A">
      <w:pPr>
        <w:numPr>
          <w:ilvl w:val="0"/>
          <w:numId w:val="39"/>
        </w:numPr>
        <w:spacing w:before="100" w:beforeAutospacing="1" w:after="100" w:afterAutospacing="1" w:line="240" w:lineRule="auto"/>
        <w:rPr>
          <w:rFonts w:ascii="Calibri" w:hAnsi="Calibri" w:eastAsia="Times New Roman" w:cs="Calibri"/>
          <w:sz w:val="24"/>
          <w:szCs w:val="24"/>
        </w:rPr>
      </w:pPr>
      <w:r>
        <w:rPr>
          <w:rFonts w:ascii="Calibri" w:hAnsi="Calibri" w:eastAsia="Times New Roman" w:cs="Calibri"/>
          <w:sz w:val="24"/>
          <w:szCs w:val="24"/>
        </w:rPr>
        <w:t>Name of School: __________________________</w:t>
      </w:r>
    </w:p>
    <w:p w14:paraId="457CF3A7">
      <w:pPr>
        <w:numPr>
          <w:ilvl w:val="0"/>
          <w:numId w:val="39"/>
        </w:numPr>
        <w:spacing w:before="100" w:beforeAutospacing="1" w:after="100" w:afterAutospacing="1" w:line="240" w:lineRule="auto"/>
        <w:rPr>
          <w:rFonts w:ascii="Calibri" w:hAnsi="Calibri" w:eastAsia="Times New Roman" w:cs="Calibri"/>
          <w:sz w:val="24"/>
          <w:szCs w:val="24"/>
        </w:rPr>
      </w:pPr>
      <w:r>
        <w:rPr>
          <w:rFonts w:ascii="Calibri" w:hAnsi="Calibri" w:cs="Calibri"/>
          <w:sz w:val="24"/>
          <w:szCs w:val="24"/>
        </w:rPr>
        <w:t>At which school did you sit your KPSEA examination?</w:t>
      </w:r>
    </w:p>
    <w:p w14:paraId="6C5FC111">
      <w:pPr>
        <w:numPr>
          <w:ilvl w:val="1"/>
          <w:numId w:val="39"/>
        </w:numPr>
        <w:spacing w:before="100" w:beforeAutospacing="1" w:after="100" w:afterAutospacing="1" w:line="240" w:lineRule="auto"/>
        <w:rPr>
          <w:rFonts w:ascii="Calibri" w:hAnsi="Calibri" w:eastAsia="Times New Roman" w:cs="Calibri"/>
          <w:sz w:val="24"/>
          <w:szCs w:val="24"/>
        </w:rPr>
      </w:pPr>
      <w:r>
        <w:rPr>
          <w:rFonts w:ascii="Calibri" w:hAnsi="Calibri" w:eastAsia="Times New Roman" w:cs="Calibri"/>
          <w:sz w:val="24"/>
          <w:szCs w:val="24"/>
        </w:rPr>
        <w:object>
          <v:shape id="_x0000_i1051" o:spt="201" alt="" type="#_x0000_t201" style="height:18.75pt;width:20.25pt;" o:ole="t" filled="f" o:preferrelative="t" stroked="f" coordsize="21600,21600">
            <v:path/>
            <v:fill on="f" focussize="0,0"/>
            <v:stroke on="f"/>
            <v:imagedata r:id="rId7" o:title=""/>
            <o:lock v:ext="edit" aspectratio="t"/>
            <w10:wrap type="none"/>
            <w10:anchorlock/>
          </v:shape>
          <w:control r:id="rId27" w:name="Control 27" w:shapeid="_x0000_i1051"/>
        </w:object>
      </w:r>
      <w:r>
        <w:rPr>
          <w:rFonts w:ascii="Calibri" w:hAnsi="Calibri" w:eastAsia="Times New Roman" w:cs="Calibri"/>
          <w:sz w:val="24"/>
          <w:szCs w:val="24"/>
        </w:rPr>
        <w:t>This school</w:t>
      </w:r>
    </w:p>
    <w:p w14:paraId="4198049A">
      <w:pPr>
        <w:numPr>
          <w:ilvl w:val="1"/>
          <w:numId w:val="39"/>
        </w:numPr>
        <w:spacing w:before="100" w:beforeAutospacing="1" w:after="100" w:afterAutospacing="1" w:line="240" w:lineRule="auto"/>
        <w:rPr>
          <w:rFonts w:ascii="Calibri" w:hAnsi="Calibri" w:eastAsia="Times New Roman" w:cs="Calibri"/>
          <w:sz w:val="24"/>
          <w:szCs w:val="24"/>
        </w:rPr>
      </w:pPr>
      <w:r>
        <w:rPr>
          <w:rFonts w:ascii="Calibri" w:hAnsi="Calibri" w:eastAsia="Times New Roman" w:cs="Calibri"/>
          <w:sz w:val="24"/>
          <w:szCs w:val="24"/>
        </w:rPr>
        <w:object>
          <v:shape id="_x0000_i1052" o:spt="201" alt="" type="#_x0000_t201" style="height:18.75pt;width:20.25pt;" o:ole="t" filled="f" o:preferrelative="t" stroked="f" coordsize="21600,21600">
            <v:path/>
            <v:fill on="f" focussize="0,0"/>
            <v:stroke on="f"/>
            <v:imagedata r:id="rId7" o:title=""/>
            <o:lock v:ext="edit" aspectratio="t"/>
            <w10:wrap type="none"/>
            <w10:anchorlock/>
          </v:shape>
          <w:control r:id="rId28" w:name="Control 28" w:shapeid="_x0000_i1052"/>
        </w:object>
      </w:r>
      <w:r>
        <w:rPr>
          <w:rFonts w:ascii="Calibri" w:hAnsi="Calibri" w:eastAsia="Times New Roman" w:cs="Calibri"/>
          <w:sz w:val="24"/>
          <w:szCs w:val="24"/>
        </w:rPr>
        <w:t>Another school</w:t>
      </w:r>
    </w:p>
    <w:p w14:paraId="173A72D2">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siblings: _______</w:t>
      </w:r>
    </w:p>
    <w:p w14:paraId="43E78786">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Who do you live with?</w:t>
      </w:r>
    </w:p>
    <w:p w14:paraId="18E5E531">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53" o:spt="201" alt="" type="#_x0000_t201" style="height:18.75pt;width:20.25pt;" o:ole="t" filled="f" o:preferrelative="t" stroked="f" coordsize="21600,21600">
            <v:path/>
            <v:fill on="f" focussize="0,0"/>
            <v:stroke on="f"/>
            <v:imagedata r:id="rId7" o:title=""/>
            <o:lock v:ext="edit" aspectratio="t"/>
            <w10:wrap type="none"/>
            <w10:anchorlock/>
          </v:shape>
          <w:control r:id="rId29" w:name="Control 29" w:shapeid="_x0000_i1053"/>
        </w:object>
      </w:r>
      <w:r>
        <w:rPr>
          <w:rFonts w:ascii="Times New Roman" w:hAnsi="Times New Roman" w:eastAsia="Times New Roman" w:cs="Times New Roman"/>
          <w:sz w:val="24"/>
          <w:szCs w:val="24"/>
        </w:rPr>
        <w:t>Both parents</w:t>
      </w:r>
    </w:p>
    <w:p w14:paraId="614D2920">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54" o:spt="201" alt="" type="#_x0000_t201" style="height:18.75pt;width:20.25pt;" o:ole="t" filled="f" o:preferrelative="t" stroked="f" coordsize="21600,21600">
            <v:path/>
            <v:fill on="f" focussize="0,0"/>
            <v:stroke on="f"/>
            <v:imagedata r:id="rId7" o:title=""/>
            <o:lock v:ext="edit" aspectratio="t"/>
            <w10:wrap type="none"/>
            <w10:anchorlock/>
          </v:shape>
          <w:control r:id="rId30" w:name="Control 30" w:shapeid="_x0000_i1054"/>
        </w:object>
      </w:r>
      <w:r>
        <w:rPr>
          <w:rFonts w:ascii="Times New Roman" w:hAnsi="Times New Roman" w:eastAsia="Times New Roman" w:cs="Times New Roman"/>
          <w:sz w:val="24"/>
          <w:szCs w:val="24"/>
        </w:rPr>
        <w:t>Mother only</w:t>
      </w:r>
    </w:p>
    <w:p w14:paraId="67BEE222">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55" o:spt="201" alt="" type="#_x0000_t201" style="height:18.75pt;width:20.25pt;" o:ole="t" filled="f" o:preferrelative="t" stroked="f" coordsize="21600,21600">
            <v:path/>
            <v:fill on="f" focussize="0,0"/>
            <v:stroke on="f"/>
            <v:imagedata r:id="rId7" o:title=""/>
            <o:lock v:ext="edit" aspectratio="t"/>
            <w10:wrap type="none"/>
            <w10:anchorlock/>
          </v:shape>
          <w:control r:id="rId31" w:name="Control 31" w:shapeid="_x0000_i1055"/>
        </w:object>
      </w:r>
      <w:r>
        <w:rPr>
          <w:rFonts w:ascii="Times New Roman" w:hAnsi="Times New Roman" w:eastAsia="Times New Roman" w:cs="Times New Roman"/>
          <w:sz w:val="24"/>
          <w:szCs w:val="24"/>
        </w:rPr>
        <w:t>Father only</w:t>
      </w:r>
    </w:p>
    <w:p w14:paraId="0E584802">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56" o:spt="201" alt="" type="#_x0000_t201" style="height:18.75pt;width:20.25pt;" o:ole="t" filled="f" o:preferrelative="t" stroked="f" coordsize="21600,21600">
            <v:path/>
            <v:fill on="f" focussize="0,0"/>
            <v:stroke on="f"/>
            <v:imagedata r:id="rId7" o:title=""/>
            <o:lock v:ext="edit" aspectratio="t"/>
            <w10:wrap type="none"/>
            <w10:anchorlock/>
          </v:shape>
          <w:control r:id="rId32" w:name="Control 32" w:shapeid="_x0000_i1056"/>
        </w:object>
      </w:r>
      <w:r>
        <w:rPr>
          <w:rFonts w:ascii="Times New Roman" w:hAnsi="Times New Roman" w:eastAsia="Times New Roman" w:cs="Times New Roman"/>
          <w:sz w:val="24"/>
          <w:szCs w:val="24"/>
        </w:rPr>
        <w:t>Guardian/Relative</w:t>
      </w:r>
    </w:p>
    <w:p w14:paraId="53127E27">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Who is the main breadwinner in your household?</w:t>
      </w:r>
    </w:p>
    <w:p w14:paraId="7511CF05">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57" o:spt="201" alt="" type="#_x0000_t201" style="height:18.75pt;width:20.25pt;" o:ole="t" filled="f" o:preferrelative="t" stroked="f" coordsize="21600,21600">
            <v:path/>
            <v:fill on="f" focussize="0,0"/>
            <v:stroke on="f"/>
            <v:imagedata r:id="rId7" o:title=""/>
            <o:lock v:ext="edit" aspectratio="t"/>
            <w10:wrap type="none"/>
            <w10:anchorlock/>
          </v:shape>
          <w:control r:id="rId33" w:name="Control 33" w:shapeid="_x0000_i1057"/>
        </w:object>
      </w:r>
      <w:r>
        <w:rPr>
          <w:rFonts w:ascii="Times New Roman" w:hAnsi="Times New Roman" w:eastAsia="Times New Roman" w:cs="Times New Roman"/>
          <w:sz w:val="24"/>
          <w:szCs w:val="24"/>
        </w:rPr>
        <w:t>Mother</w:t>
      </w:r>
    </w:p>
    <w:p w14:paraId="1AF62975">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58" o:spt="201" alt="" type="#_x0000_t201" style="height:18.75pt;width:20.25pt;" o:ole="t" filled="f" o:preferrelative="t" stroked="f" coordsize="21600,21600">
            <v:path/>
            <v:fill on="f" focussize="0,0"/>
            <v:stroke on="f"/>
            <v:imagedata r:id="rId7" o:title=""/>
            <o:lock v:ext="edit" aspectratio="t"/>
            <w10:wrap type="none"/>
            <w10:anchorlock/>
          </v:shape>
          <w:control r:id="rId34" w:name="Control 34" w:shapeid="_x0000_i1058"/>
        </w:object>
      </w:r>
      <w:r>
        <w:rPr>
          <w:rFonts w:ascii="Times New Roman" w:hAnsi="Times New Roman" w:eastAsia="Times New Roman" w:cs="Times New Roman"/>
          <w:sz w:val="24"/>
          <w:szCs w:val="24"/>
        </w:rPr>
        <w:t>Father</w:t>
      </w:r>
    </w:p>
    <w:p w14:paraId="1F961C38">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59" o:spt="201" alt="" type="#_x0000_t201" style="height:18.75pt;width:20.25pt;" o:ole="t" filled="f" o:preferrelative="t" stroked="f" coordsize="21600,21600">
            <v:path/>
            <v:fill on="f" focussize="0,0"/>
            <v:stroke on="f"/>
            <v:imagedata r:id="rId7" o:title=""/>
            <o:lock v:ext="edit" aspectratio="t"/>
            <w10:wrap type="none"/>
            <w10:anchorlock/>
          </v:shape>
          <w:control r:id="rId35" w:name="Control 35" w:shapeid="_x0000_i1059"/>
        </w:object>
      </w:r>
      <w:r>
        <w:rPr>
          <w:rFonts w:ascii="Times New Roman" w:hAnsi="Times New Roman" w:eastAsia="Times New Roman" w:cs="Times New Roman"/>
          <w:sz w:val="24"/>
          <w:szCs w:val="24"/>
        </w:rPr>
        <w:t>Both parents</w:t>
      </w:r>
    </w:p>
    <w:p w14:paraId="03E13948">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0" o:spt="201" alt="" type="#_x0000_t201" style="height:18.75pt;width:20.25pt;" o:ole="t" filled="f" o:preferrelative="t" stroked="f" coordsize="21600,21600">
            <v:path/>
            <v:fill on="f" focussize="0,0"/>
            <v:stroke on="f"/>
            <v:imagedata r:id="rId7" o:title=""/>
            <o:lock v:ext="edit" aspectratio="t"/>
            <w10:wrap type="none"/>
            <w10:anchorlock/>
          </v:shape>
          <w:control r:id="rId36" w:name="Control 36" w:shapeid="_x0000_i1060"/>
        </w:object>
      </w:r>
      <w:r>
        <w:rPr>
          <w:rFonts w:ascii="Times New Roman" w:hAnsi="Times New Roman" w:eastAsia="Times New Roman" w:cs="Times New Roman"/>
          <w:sz w:val="24"/>
          <w:szCs w:val="24"/>
        </w:rPr>
        <w:t>Guardian/Relative</w:t>
      </w:r>
    </w:p>
    <w:p w14:paraId="086DB41F">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far is your home from school (in walking distance)?</w:t>
      </w:r>
    </w:p>
    <w:p w14:paraId="641D91A7">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1" o:spt="201" alt="" type="#_x0000_t201" style="height:18.75pt;width:20.25pt;" o:ole="t" filled="f" o:preferrelative="t" stroked="f" coordsize="21600,21600">
            <v:path/>
            <v:fill on="f" focussize="0,0"/>
            <v:stroke on="f"/>
            <v:imagedata r:id="rId7" o:title=""/>
            <o:lock v:ext="edit" aspectratio="t"/>
            <w10:wrap type="none"/>
            <w10:anchorlock/>
          </v:shape>
          <w:control r:id="rId37" w:name="Control 37" w:shapeid="_x0000_i1061"/>
        </w:object>
      </w:r>
      <w:r>
        <w:rPr>
          <w:rFonts w:ascii="Times New Roman" w:hAnsi="Times New Roman" w:eastAsia="Times New Roman" w:cs="Times New Roman"/>
          <w:sz w:val="24"/>
          <w:szCs w:val="24"/>
        </w:rPr>
        <w:t>Less than 1 km</w:t>
      </w:r>
    </w:p>
    <w:p w14:paraId="6FA71904">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2" o:spt="201" alt="" type="#_x0000_t201" style="height:18.75pt;width:20.25pt;" o:ole="t" filled="f" o:preferrelative="t" stroked="f" coordsize="21600,21600">
            <v:path/>
            <v:fill on="f" focussize="0,0"/>
            <v:stroke on="f"/>
            <v:imagedata r:id="rId7" o:title=""/>
            <o:lock v:ext="edit" aspectratio="t"/>
            <w10:wrap type="none"/>
            <w10:anchorlock/>
          </v:shape>
          <w:control r:id="rId38" w:name="Control 38" w:shapeid="_x0000_i1062"/>
        </w:object>
      </w:r>
      <w:r>
        <w:rPr>
          <w:rFonts w:ascii="Times New Roman" w:hAnsi="Times New Roman" w:eastAsia="Times New Roman" w:cs="Times New Roman"/>
          <w:sz w:val="24"/>
          <w:szCs w:val="24"/>
        </w:rPr>
        <w:t>1–3 km</w:t>
      </w:r>
    </w:p>
    <w:p w14:paraId="6046CA41">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3" o:spt="201" alt="" type="#_x0000_t201" style="height:18.75pt;width:20.25pt;" o:ole="t" filled="f" o:preferrelative="t" stroked="f" coordsize="21600,21600">
            <v:path/>
            <v:fill on="f" focussize="0,0"/>
            <v:stroke on="f"/>
            <v:imagedata r:id="rId7" o:title=""/>
            <o:lock v:ext="edit" aspectratio="t"/>
            <w10:wrap type="none"/>
            <w10:anchorlock/>
          </v:shape>
          <w:control r:id="rId39" w:name="Control 39" w:shapeid="_x0000_i1063"/>
        </w:object>
      </w:r>
      <w:r>
        <w:rPr>
          <w:rFonts w:ascii="Times New Roman" w:hAnsi="Times New Roman" w:eastAsia="Times New Roman" w:cs="Times New Roman"/>
          <w:sz w:val="24"/>
          <w:szCs w:val="24"/>
        </w:rPr>
        <w:t>4–6 km</w:t>
      </w:r>
    </w:p>
    <w:p w14:paraId="16625BAC">
      <w:pPr>
        <w:numPr>
          <w:ilvl w:val="1"/>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4" o:spt="201" alt="" type="#_x0000_t201" style="height:18.75pt;width:20.25pt;" o:ole="t" filled="f" o:preferrelative="t" stroked="f" coordsize="21600,21600">
            <v:path/>
            <v:fill on="f" focussize="0,0"/>
            <v:stroke on="f"/>
            <v:imagedata r:id="rId7" o:title=""/>
            <o:lock v:ext="edit" aspectratio="t"/>
            <w10:wrap type="none"/>
            <w10:anchorlock/>
          </v:shape>
          <w:control r:id="rId40" w:name="Control 40" w:shapeid="_x0000_i1064"/>
        </w:object>
      </w:r>
      <w:r>
        <w:rPr>
          <w:rFonts w:ascii="Times New Roman" w:hAnsi="Times New Roman" w:eastAsia="Times New Roman" w:cs="Times New Roman"/>
          <w:sz w:val="24"/>
          <w:szCs w:val="24"/>
        </w:rPr>
        <w:t>More than 6 km</w:t>
      </w:r>
    </w:p>
    <w:p w14:paraId="5A07AF9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Section B: Domestic Chores</w:t>
      </w:r>
    </w:p>
    <w:p w14:paraId="58131DB0">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you perform domestic chores at home?</w:t>
      </w:r>
    </w:p>
    <w:p w14:paraId="3A3CF4CC">
      <w:pPr>
        <w:numPr>
          <w:ilvl w:val="1"/>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5" o:spt="201" alt="" type="#_x0000_t201" style="height:18.75pt;width:20.25pt;" o:ole="t" filled="f" o:preferrelative="t" stroked="f" coordsize="21600,21600">
            <v:path/>
            <v:fill on="f" focussize="0,0"/>
            <v:stroke on="f"/>
            <v:imagedata r:id="rId7" o:title=""/>
            <o:lock v:ext="edit" aspectratio="t"/>
            <w10:wrap type="none"/>
            <w10:anchorlock/>
          </v:shape>
          <w:control r:id="rId41" w:name="Control 41" w:shapeid="_x0000_i1065"/>
        </w:object>
      </w:r>
      <w:r>
        <w:rPr>
          <w:rFonts w:ascii="Times New Roman" w:hAnsi="Times New Roman" w:eastAsia="Times New Roman" w:cs="Times New Roman"/>
          <w:sz w:val="24"/>
          <w:szCs w:val="24"/>
        </w:rPr>
        <w:t>Yes</w:t>
      </w:r>
    </w:p>
    <w:p w14:paraId="71DEFF75">
      <w:pPr>
        <w:numPr>
          <w:ilvl w:val="1"/>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6" o:spt="201" alt="" type="#_x0000_t201" style="height:18.75pt;width:20.25pt;" o:ole="t" filled="f" o:preferrelative="t" stroked="f" coordsize="21600,21600">
            <v:path/>
            <v:fill on="f" focussize="0,0"/>
            <v:stroke on="f"/>
            <v:imagedata r:id="rId7" o:title=""/>
            <o:lock v:ext="edit" aspectratio="t"/>
            <w10:wrap type="none"/>
            <w10:anchorlock/>
          </v:shape>
          <w:control r:id="rId42" w:name="Control 42" w:shapeid="_x0000_i1066"/>
        </w:object>
      </w:r>
      <w:r>
        <w:rPr>
          <w:rFonts w:ascii="Times New Roman" w:hAnsi="Times New Roman" w:eastAsia="Times New Roman" w:cs="Times New Roman"/>
          <w:sz w:val="24"/>
          <w:szCs w:val="24"/>
        </w:rPr>
        <w:t>No</w:t>
      </w:r>
    </w:p>
    <w:p w14:paraId="0C22990C">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If yes, which of the following chores do you perform regularly? </w:t>
      </w:r>
      <w:r>
        <w:rPr>
          <w:rFonts w:ascii="Times New Roman" w:hAnsi="Times New Roman" w:eastAsia="Times New Roman" w:cs="Times New Roman"/>
          <w:i/>
          <w:iCs/>
          <w:sz w:val="24"/>
          <w:szCs w:val="24"/>
        </w:rPr>
        <w:t>(Tick all that apply)</w:t>
      </w:r>
    </w:p>
    <w:p w14:paraId="18A2E8E2">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7" o:spt="201" alt="" type="#_x0000_t201" style="height:18.75pt;width:20.25pt;" o:ole="t" filled="f" o:preferrelative="t" stroked="f" coordsize="21600,21600">
            <v:path/>
            <v:fill on="f" focussize="0,0"/>
            <v:stroke on="f"/>
            <v:imagedata r:id="rId7" o:title=""/>
            <o:lock v:ext="edit" aspectratio="t"/>
            <w10:wrap type="none"/>
            <w10:anchorlock/>
          </v:shape>
          <w:control r:id="rId43" w:name="Control 43" w:shapeid="_x0000_i1067"/>
        </w:object>
      </w:r>
      <w:r>
        <w:rPr>
          <w:rFonts w:ascii="Times New Roman" w:hAnsi="Times New Roman" w:eastAsia="Times New Roman" w:cs="Times New Roman"/>
          <w:sz w:val="24"/>
          <w:szCs w:val="24"/>
        </w:rPr>
        <w:t>Cooking</w:t>
      </w:r>
    </w:p>
    <w:p w14:paraId="75870A87">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8" o:spt="201" alt="" type="#_x0000_t201" style="height:18.75pt;width:20.25pt;" o:ole="t" filled="f" o:preferrelative="t" stroked="f" coordsize="21600,21600">
            <v:path/>
            <v:fill on="f" focussize="0,0"/>
            <v:stroke on="f"/>
            <v:imagedata r:id="rId7" o:title=""/>
            <o:lock v:ext="edit" aspectratio="t"/>
            <w10:wrap type="none"/>
            <w10:anchorlock/>
          </v:shape>
          <w:control r:id="rId44" w:name="Control 44" w:shapeid="_x0000_i1068"/>
        </w:object>
      </w:r>
      <w:r>
        <w:rPr>
          <w:rFonts w:ascii="Times New Roman" w:hAnsi="Times New Roman" w:eastAsia="Times New Roman" w:cs="Times New Roman"/>
          <w:sz w:val="24"/>
          <w:szCs w:val="24"/>
        </w:rPr>
        <w:t>Cleaning the house</w:t>
      </w:r>
    </w:p>
    <w:p w14:paraId="7DFE8B1B">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69" o:spt="201" alt="" type="#_x0000_t201" style="height:18.75pt;width:20.25pt;" o:ole="t" filled="f" o:preferrelative="t" stroked="f" coordsize="21600,21600">
            <v:path/>
            <v:fill on="f" focussize="0,0"/>
            <v:stroke on="f"/>
            <v:imagedata r:id="rId7" o:title=""/>
            <o:lock v:ext="edit" aspectratio="t"/>
            <w10:wrap type="none"/>
            <w10:anchorlock/>
          </v:shape>
          <w:control r:id="rId45" w:name="Control 45" w:shapeid="_x0000_i1069"/>
        </w:object>
      </w:r>
      <w:r>
        <w:rPr>
          <w:rFonts w:ascii="Times New Roman" w:hAnsi="Times New Roman" w:eastAsia="Times New Roman" w:cs="Times New Roman"/>
          <w:sz w:val="24"/>
          <w:szCs w:val="24"/>
        </w:rPr>
        <w:t>Fetching water</w:t>
      </w:r>
    </w:p>
    <w:p w14:paraId="441BFB84">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0" o:spt="201" alt="" type="#_x0000_t201" style="height:18.75pt;width:20.25pt;" o:ole="t" filled="f" o:preferrelative="t" stroked="f" coordsize="21600,21600">
            <v:path/>
            <v:fill on="f" focussize="0,0"/>
            <v:stroke on="f"/>
            <v:imagedata r:id="rId7" o:title=""/>
            <o:lock v:ext="edit" aspectratio="t"/>
            <w10:wrap type="none"/>
            <w10:anchorlock/>
          </v:shape>
          <w:control r:id="rId46" w:name="Control 46" w:shapeid="_x0000_i1070"/>
        </w:object>
      </w:r>
      <w:r>
        <w:rPr>
          <w:rFonts w:ascii="Times New Roman" w:hAnsi="Times New Roman" w:eastAsia="Times New Roman" w:cs="Times New Roman"/>
          <w:sz w:val="24"/>
          <w:szCs w:val="24"/>
        </w:rPr>
        <w:t>Taking care of siblings</w:t>
      </w:r>
    </w:p>
    <w:p w14:paraId="477AF331">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1" o:spt="201" alt="" type="#_x0000_t201" style="height:18.75pt;width:20.25pt;" o:ole="t" filled="f" o:preferrelative="t" stroked="f" coordsize="21600,21600">
            <v:path/>
            <v:fill on="f" focussize="0,0"/>
            <v:stroke on="f"/>
            <v:imagedata r:id="rId7" o:title=""/>
            <o:lock v:ext="edit" aspectratio="t"/>
            <w10:wrap type="none"/>
            <w10:anchorlock/>
          </v:shape>
          <w:control r:id="rId47" w:name="Control 47" w:shapeid="_x0000_i1071"/>
        </w:object>
      </w:r>
      <w:r>
        <w:rPr>
          <w:rFonts w:ascii="Times New Roman" w:hAnsi="Times New Roman" w:eastAsia="Times New Roman" w:cs="Times New Roman"/>
          <w:sz w:val="24"/>
          <w:szCs w:val="24"/>
        </w:rPr>
        <w:t>Washing clothes</w:t>
      </w:r>
    </w:p>
    <w:p w14:paraId="75367774">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2" o:spt="201" alt="" type="#_x0000_t201" style="height:18.75pt;width:20.25pt;" o:ole="t" filled="f" o:preferrelative="t" stroked="f" coordsize="21600,21600">
            <v:path/>
            <v:fill on="f" focussize="0,0"/>
            <v:stroke on="f"/>
            <v:imagedata r:id="rId7" o:title=""/>
            <o:lock v:ext="edit" aspectratio="t"/>
            <w10:wrap type="none"/>
            <w10:anchorlock/>
          </v:shape>
          <w:control r:id="rId48" w:name="Control 48" w:shapeid="_x0000_i1072"/>
        </w:object>
      </w:r>
      <w:r>
        <w:rPr>
          <w:rFonts w:ascii="Times New Roman" w:hAnsi="Times New Roman" w:eastAsia="Times New Roman" w:cs="Times New Roman"/>
          <w:sz w:val="24"/>
          <w:szCs w:val="24"/>
        </w:rPr>
        <w:t>Herding animals</w:t>
      </w:r>
    </w:p>
    <w:p w14:paraId="6A5ECCFC">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3" o:spt="201" alt="" type="#_x0000_t201" style="height:18.75pt;width:20.25pt;" o:ole="t" filled="f" o:preferrelative="t" stroked="f" coordsize="21600,21600">
            <v:path/>
            <v:fill on="f" focussize="0,0"/>
            <v:stroke on="f"/>
            <v:imagedata r:id="rId7" o:title=""/>
            <o:lock v:ext="edit" aspectratio="t"/>
            <w10:wrap type="none"/>
            <w10:anchorlock/>
          </v:shape>
          <w:control r:id="rId49" w:name="Control 49" w:shapeid="_x0000_i1073"/>
        </w:object>
      </w:r>
      <w:r>
        <w:rPr>
          <w:rFonts w:ascii="Times New Roman" w:hAnsi="Times New Roman" w:eastAsia="Times New Roman" w:cs="Times New Roman"/>
          <w:sz w:val="24"/>
          <w:szCs w:val="24"/>
        </w:rPr>
        <w:t>Farming</w:t>
      </w:r>
    </w:p>
    <w:p w14:paraId="6A48B163">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4" o:spt="201" alt="" type="#_x0000_t201" style="height:18.75pt;width:20.25pt;" o:ole="t" filled="f" o:preferrelative="t" stroked="f" coordsize="21600,21600">
            <v:path/>
            <v:fill on="f" focussize="0,0"/>
            <v:stroke on="f"/>
            <v:imagedata r:id="rId7" o:title=""/>
            <o:lock v:ext="edit" aspectratio="t"/>
            <w10:wrap type="none"/>
            <w10:anchorlock/>
          </v:shape>
          <w:control r:id="rId50" w:name="Control 50" w:shapeid="_x0000_i1074"/>
        </w:object>
      </w:r>
      <w:r>
        <w:rPr>
          <w:rFonts w:ascii="Times New Roman" w:hAnsi="Times New Roman" w:eastAsia="Times New Roman" w:cs="Times New Roman"/>
          <w:sz w:val="24"/>
          <w:szCs w:val="24"/>
        </w:rPr>
        <w:t>Other (please specify): _______________</w:t>
      </w:r>
    </w:p>
    <w:p w14:paraId="25DDC000">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 average, how many hours per day do you spend on domestic chores?</w:t>
      </w:r>
    </w:p>
    <w:p w14:paraId="339E87A5">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5" o:spt="201" alt="" type="#_x0000_t201" style="height:18.75pt;width:20.25pt;" o:ole="t" filled="f" o:preferrelative="t" stroked="f" coordsize="21600,21600">
            <v:path/>
            <v:fill on="f" focussize="0,0"/>
            <v:stroke on="f"/>
            <v:imagedata r:id="rId7" o:title=""/>
            <o:lock v:ext="edit" aspectratio="t"/>
            <w10:wrap type="none"/>
            <w10:anchorlock/>
          </v:shape>
          <w:control r:id="rId51" w:name="Control 51" w:shapeid="_x0000_i1075"/>
        </w:object>
      </w:r>
      <w:r>
        <w:rPr>
          <w:rFonts w:ascii="Times New Roman" w:hAnsi="Times New Roman" w:eastAsia="Times New Roman" w:cs="Times New Roman"/>
          <w:sz w:val="24"/>
          <w:szCs w:val="24"/>
        </w:rPr>
        <w:t>Less than 1 hour</w:t>
      </w:r>
    </w:p>
    <w:p w14:paraId="522856C2">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6" o:spt="201" alt="" type="#_x0000_t201" style="height:18.75pt;width:20.25pt;" o:ole="t" filled="f" o:preferrelative="t" stroked="f" coordsize="21600,21600">
            <v:path/>
            <v:fill on="f" focussize="0,0"/>
            <v:stroke on="f"/>
            <v:imagedata r:id="rId7" o:title=""/>
            <o:lock v:ext="edit" aspectratio="t"/>
            <w10:wrap type="none"/>
            <w10:anchorlock/>
          </v:shape>
          <w:control r:id="rId52" w:name="Control 52" w:shapeid="_x0000_i1076"/>
        </w:object>
      </w:r>
      <w:r>
        <w:rPr>
          <w:rFonts w:ascii="Times New Roman" w:hAnsi="Times New Roman" w:eastAsia="Times New Roman" w:cs="Times New Roman"/>
          <w:sz w:val="24"/>
          <w:szCs w:val="24"/>
        </w:rPr>
        <w:t>1–2 hours</w:t>
      </w:r>
    </w:p>
    <w:p w14:paraId="39381D61">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7" o:spt="201" alt="" type="#_x0000_t201" style="height:18.75pt;width:20.25pt;" o:ole="t" filled="f" o:preferrelative="t" stroked="f" coordsize="21600,21600">
            <v:path/>
            <v:fill on="f" focussize="0,0"/>
            <v:stroke on="f"/>
            <v:imagedata r:id="rId7" o:title=""/>
            <o:lock v:ext="edit" aspectratio="t"/>
            <w10:wrap type="none"/>
            <w10:anchorlock/>
          </v:shape>
          <w:control r:id="rId53" w:name="Control 53" w:shapeid="_x0000_i1077"/>
        </w:object>
      </w:r>
      <w:r>
        <w:rPr>
          <w:rFonts w:ascii="Times New Roman" w:hAnsi="Times New Roman" w:eastAsia="Times New Roman" w:cs="Times New Roman"/>
          <w:sz w:val="24"/>
          <w:szCs w:val="24"/>
        </w:rPr>
        <w:t>3–4 hours</w:t>
      </w:r>
    </w:p>
    <w:p w14:paraId="37D6CB62">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8" o:spt="201" alt="" type="#_x0000_t201" style="height:18.75pt;width:20.25pt;" o:ole="t" filled="f" o:preferrelative="t" stroked="f" coordsize="21600,21600">
            <v:path/>
            <v:fill on="f" focussize="0,0"/>
            <v:stroke on="f"/>
            <v:imagedata r:id="rId7" o:title=""/>
            <o:lock v:ext="edit" aspectratio="t"/>
            <w10:wrap type="none"/>
            <w10:anchorlock/>
          </v:shape>
          <w:control r:id="rId54" w:name="Control 54" w:shapeid="_x0000_i1078"/>
        </w:object>
      </w:r>
      <w:r>
        <w:rPr>
          <w:rFonts w:ascii="Times New Roman" w:hAnsi="Times New Roman" w:eastAsia="Times New Roman" w:cs="Times New Roman"/>
          <w:sz w:val="24"/>
          <w:szCs w:val="24"/>
        </w:rPr>
        <w:t>More than 4 hours</w:t>
      </w:r>
    </w:p>
    <w:p w14:paraId="37B6598A">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 what time of day do you mostly do these chores?</w:t>
      </w:r>
    </w:p>
    <w:p w14:paraId="3D4ADB2F">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79" o:spt="201" alt="" type="#_x0000_t201" style="height:18.75pt;width:20.25pt;" o:ole="t" filled="f" o:preferrelative="t" stroked="f" coordsize="21600,21600">
            <v:path/>
            <v:fill on="f" focussize="0,0"/>
            <v:stroke on="f"/>
            <v:imagedata r:id="rId7" o:title=""/>
            <o:lock v:ext="edit" aspectratio="t"/>
            <w10:wrap type="none"/>
            <w10:anchorlock/>
          </v:shape>
          <w:control r:id="rId55" w:name="Control 55" w:shapeid="_x0000_i1079"/>
        </w:object>
      </w:r>
      <w:r>
        <w:rPr>
          <w:rFonts w:ascii="Times New Roman" w:hAnsi="Times New Roman" w:eastAsia="Times New Roman" w:cs="Times New Roman"/>
          <w:sz w:val="24"/>
          <w:szCs w:val="24"/>
        </w:rPr>
        <w:t>Morning before school</w:t>
      </w:r>
    </w:p>
    <w:p w14:paraId="192CECFF">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0" o:spt="201" alt="" type="#_x0000_t201" style="height:18.75pt;width:20.25pt;" o:ole="t" filled="f" o:preferrelative="t" stroked="f" coordsize="21600,21600">
            <v:path/>
            <v:fill on="f" focussize="0,0"/>
            <v:stroke on="f"/>
            <v:imagedata r:id="rId7" o:title=""/>
            <o:lock v:ext="edit" aspectratio="t"/>
            <w10:wrap type="none"/>
            <w10:anchorlock/>
          </v:shape>
          <w:control r:id="rId56" w:name="Control 56" w:shapeid="_x0000_i1080"/>
        </w:object>
      </w:r>
      <w:r>
        <w:rPr>
          <w:rFonts w:ascii="Times New Roman" w:hAnsi="Times New Roman" w:eastAsia="Times New Roman" w:cs="Times New Roman"/>
          <w:sz w:val="24"/>
          <w:szCs w:val="24"/>
        </w:rPr>
        <w:t>After school</w:t>
      </w:r>
    </w:p>
    <w:p w14:paraId="08753DCF">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1" o:spt="201" alt="" type="#_x0000_t201" style="height:18.75pt;width:20.25pt;" o:ole="t" filled="f" o:preferrelative="t" stroked="f" coordsize="21600,21600">
            <v:path/>
            <v:fill on="f" focussize="0,0"/>
            <v:stroke on="f"/>
            <v:imagedata r:id="rId7" o:title=""/>
            <o:lock v:ext="edit" aspectratio="t"/>
            <w10:wrap type="none"/>
            <w10:anchorlock/>
          </v:shape>
          <w:control r:id="rId57" w:name="Control 57" w:shapeid="_x0000_i1081"/>
        </w:object>
      </w:r>
      <w:r>
        <w:rPr>
          <w:rFonts w:ascii="Times New Roman" w:hAnsi="Times New Roman" w:eastAsia="Times New Roman" w:cs="Times New Roman"/>
          <w:sz w:val="24"/>
          <w:szCs w:val="24"/>
        </w:rPr>
        <w:t>Evening</w:t>
      </w:r>
    </w:p>
    <w:p w14:paraId="2767D54F">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2" o:spt="201" alt="" type="#_x0000_t201" style="height:18.75pt;width:20.25pt;" o:ole="t" filled="f" o:preferrelative="t" stroked="f" coordsize="21600,21600">
            <v:path/>
            <v:fill on="f" focussize="0,0"/>
            <v:stroke on="f"/>
            <v:imagedata r:id="rId7" o:title=""/>
            <o:lock v:ext="edit" aspectratio="t"/>
            <w10:wrap type="none"/>
            <w10:anchorlock/>
          </v:shape>
          <w:control r:id="rId58" w:name="Control 58" w:shapeid="_x0000_i1082"/>
        </w:object>
      </w:r>
      <w:r>
        <w:rPr>
          <w:rFonts w:ascii="Times New Roman" w:hAnsi="Times New Roman" w:eastAsia="Times New Roman" w:cs="Times New Roman"/>
          <w:sz w:val="24"/>
          <w:szCs w:val="24"/>
        </w:rPr>
        <w:t>Weekends only</w:t>
      </w:r>
    </w:p>
    <w:p w14:paraId="6B1D86B6">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domestic chores affect your school attendance?</w:t>
      </w:r>
    </w:p>
    <w:p w14:paraId="06C7EABC">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3" o:spt="201" alt="" type="#_x0000_t201" style="height:18.75pt;width:20.25pt;" o:ole="t" filled="f" o:preferrelative="t" stroked="f" coordsize="21600,21600">
            <v:path/>
            <v:fill on="f" focussize="0,0"/>
            <v:stroke on="f"/>
            <v:imagedata r:id="rId7" o:title=""/>
            <o:lock v:ext="edit" aspectratio="t"/>
            <w10:wrap type="none"/>
            <w10:anchorlock/>
          </v:shape>
          <w:control r:id="rId59" w:name="Control 59" w:shapeid="_x0000_i1083"/>
        </w:object>
      </w:r>
      <w:r>
        <w:rPr>
          <w:rFonts w:ascii="Times New Roman" w:hAnsi="Times New Roman" w:eastAsia="Times New Roman" w:cs="Times New Roman"/>
          <w:sz w:val="24"/>
          <w:szCs w:val="24"/>
        </w:rPr>
        <w:t>Yes</w:t>
      </w:r>
    </w:p>
    <w:p w14:paraId="6BAF14DA">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4" o:spt="201" alt="" type="#_x0000_t201" style="height:18.75pt;width:20.25pt;" o:ole="t" filled="f" o:preferrelative="t" stroked="f" coordsize="21600,21600">
            <v:path/>
            <v:fill on="f" focussize="0,0"/>
            <v:stroke on="f"/>
            <v:imagedata r:id="rId7" o:title=""/>
            <o:lock v:ext="edit" aspectratio="t"/>
            <w10:wrap type="none"/>
            <w10:anchorlock/>
          </v:shape>
          <w:control r:id="rId60" w:name="Control 60" w:shapeid="_x0000_i1084"/>
        </w:object>
      </w:r>
      <w:r>
        <w:rPr>
          <w:rFonts w:ascii="Times New Roman" w:hAnsi="Times New Roman" w:eastAsia="Times New Roman" w:cs="Times New Roman"/>
          <w:sz w:val="24"/>
          <w:szCs w:val="24"/>
        </w:rPr>
        <w:t>No</w:t>
      </w:r>
    </w:p>
    <w:p w14:paraId="386784BE">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yes, how? ____________________________</w:t>
      </w:r>
    </w:p>
    <w:p w14:paraId="31965EC9">
      <w:pPr>
        <w:spacing w:after="0" w:line="240" w:lineRule="auto"/>
        <w:rPr>
          <w:rFonts w:ascii="Times New Roman" w:hAnsi="Times New Roman" w:eastAsia="Times New Roman" w:cs="Times New Roman"/>
          <w:sz w:val="24"/>
          <w:szCs w:val="24"/>
        </w:rPr>
      </w:pPr>
    </w:p>
    <w:p w14:paraId="4479ABD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Section C: School Attendance and Performance</w:t>
      </w:r>
    </w:p>
    <w:p w14:paraId="7B42D8EB">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often do you miss school because of domestic chores?</w:t>
      </w:r>
    </w:p>
    <w:p w14:paraId="3CBF9995">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5" o:spt="201" alt="" type="#_x0000_t201" style="height:18.75pt;width:20.25pt;" o:ole="t" filled="f" o:preferrelative="t" stroked="f" coordsize="21600,21600">
            <v:path/>
            <v:fill on="f" focussize="0,0"/>
            <v:stroke on="f"/>
            <v:imagedata r:id="rId7" o:title=""/>
            <o:lock v:ext="edit" aspectratio="t"/>
            <w10:wrap type="none"/>
            <w10:anchorlock/>
          </v:shape>
          <w:control r:id="rId61" w:name="Control 61" w:shapeid="_x0000_i1085"/>
        </w:object>
      </w:r>
      <w:r>
        <w:rPr>
          <w:rFonts w:ascii="Times New Roman" w:hAnsi="Times New Roman" w:eastAsia="Times New Roman" w:cs="Times New Roman"/>
          <w:sz w:val="24"/>
          <w:szCs w:val="24"/>
        </w:rPr>
        <w:t>Never</w:t>
      </w:r>
    </w:p>
    <w:p w14:paraId="055836D8">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6" o:spt="201" alt="" type="#_x0000_t201" style="height:18.75pt;width:20.25pt;" o:ole="t" filled="f" o:preferrelative="t" stroked="f" coordsize="21600,21600">
            <v:path/>
            <v:fill on="f" focussize="0,0"/>
            <v:stroke on="f"/>
            <v:imagedata r:id="rId7" o:title=""/>
            <o:lock v:ext="edit" aspectratio="t"/>
            <w10:wrap type="none"/>
            <w10:anchorlock/>
          </v:shape>
          <w:control r:id="rId62" w:name="Control 62" w:shapeid="_x0000_i1086"/>
        </w:object>
      </w:r>
      <w:r>
        <w:rPr>
          <w:rFonts w:ascii="Times New Roman" w:hAnsi="Times New Roman" w:eastAsia="Times New Roman" w:cs="Times New Roman"/>
          <w:sz w:val="24"/>
          <w:szCs w:val="24"/>
        </w:rPr>
        <w:t>Rarely</w:t>
      </w:r>
    </w:p>
    <w:p w14:paraId="430828ED">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7" o:spt="201" alt="" type="#_x0000_t201" style="height:18.75pt;width:20.25pt;" o:ole="t" filled="f" o:preferrelative="t" stroked="f" coordsize="21600,21600">
            <v:path/>
            <v:fill on="f" focussize="0,0"/>
            <v:stroke on="f"/>
            <v:imagedata r:id="rId7" o:title=""/>
            <o:lock v:ext="edit" aspectratio="t"/>
            <w10:wrap type="none"/>
            <w10:anchorlock/>
          </v:shape>
          <w:control r:id="rId63" w:name="Control 63" w:shapeid="_x0000_i1087"/>
        </w:object>
      </w:r>
      <w:r>
        <w:rPr>
          <w:rFonts w:ascii="Times New Roman" w:hAnsi="Times New Roman" w:eastAsia="Times New Roman" w:cs="Times New Roman"/>
          <w:sz w:val="24"/>
          <w:szCs w:val="24"/>
        </w:rPr>
        <w:t>Sometimes</w:t>
      </w:r>
    </w:p>
    <w:p w14:paraId="78981EC8">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8" o:spt="201" alt="" type="#_x0000_t201" style="height:18.75pt;width:20.25pt;" o:ole="t" filled="f" o:preferrelative="t" stroked="f" coordsize="21600,21600">
            <v:path/>
            <v:fill on="f" focussize="0,0"/>
            <v:stroke on="f"/>
            <v:imagedata r:id="rId7" o:title=""/>
            <o:lock v:ext="edit" aspectratio="t"/>
            <w10:wrap type="none"/>
            <w10:anchorlock/>
          </v:shape>
          <w:control r:id="rId64" w:name="Control 64" w:shapeid="_x0000_i1088"/>
        </w:object>
      </w:r>
      <w:r>
        <w:rPr>
          <w:rFonts w:ascii="Times New Roman" w:hAnsi="Times New Roman" w:eastAsia="Times New Roman" w:cs="Times New Roman"/>
          <w:sz w:val="24"/>
          <w:szCs w:val="24"/>
        </w:rPr>
        <w:t>Often</w:t>
      </w:r>
    </w:p>
    <w:p w14:paraId="0C7D7D1C">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you ever considered dropping out of school due to home responsibilities?</w:t>
      </w:r>
    </w:p>
    <w:p w14:paraId="3D78EE62">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89" o:spt="201" alt="" type="#_x0000_t201" style="height:18.75pt;width:20.25pt;" o:ole="t" filled="f" o:preferrelative="t" stroked="f" coordsize="21600,21600">
            <v:path/>
            <v:fill on="f" focussize="0,0"/>
            <v:stroke on="f"/>
            <v:imagedata r:id="rId7" o:title=""/>
            <o:lock v:ext="edit" aspectratio="t"/>
            <w10:wrap type="none"/>
            <w10:anchorlock/>
          </v:shape>
          <w:control r:id="rId65" w:name="Control 65" w:shapeid="_x0000_i1089"/>
        </w:object>
      </w:r>
      <w:r>
        <w:rPr>
          <w:rFonts w:ascii="Times New Roman" w:hAnsi="Times New Roman" w:eastAsia="Times New Roman" w:cs="Times New Roman"/>
          <w:sz w:val="24"/>
          <w:szCs w:val="24"/>
        </w:rPr>
        <w:t>Yes</w:t>
      </w:r>
    </w:p>
    <w:p w14:paraId="324E3DF6">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90" o:spt="201" alt="" type="#_x0000_t201" style="height:18.75pt;width:20.25pt;" o:ole="t" filled="f" o:preferrelative="t" stroked="f" coordsize="21600,21600">
            <v:path/>
            <v:fill on="f" focussize="0,0"/>
            <v:stroke on="f"/>
            <v:imagedata r:id="rId7" o:title=""/>
            <o:lock v:ext="edit" aspectratio="t"/>
            <w10:wrap type="none"/>
            <w10:anchorlock/>
          </v:shape>
          <w:control r:id="rId66" w:name="Control 66" w:shapeid="_x0000_i1090"/>
        </w:object>
      </w:r>
      <w:r>
        <w:rPr>
          <w:rFonts w:ascii="Times New Roman" w:hAnsi="Times New Roman" w:eastAsia="Times New Roman" w:cs="Times New Roman"/>
          <w:sz w:val="24"/>
          <w:szCs w:val="24"/>
        </w:rPr>
        <w:t>No</w:t>
      </w:r>
    </w:p>
    <w:p w14:paraId="58F3E027">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yes, why? ____________________________</w:t>
      </w:r>
    </w:p>
    <w:p w14:paraId="1CE1C34A">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your parents/guardians support your education?</w:t>
      </w:r>
    </w:p>
    <w:p w14:paraId="43D6C04B">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91" o:spt="201" alt="" type="#_x0000_t201" style="height:18.75pt;width:20.25pt;" o:ole="t" filled="f" o:preferrelative="t" stroked="f" coordsize="21600,21600">
            <v:path/>
            <v:fill on="f" focussize="0,0"/>
            <v:stroke on="f"/>
            <v:imagedata r:id="rId7" o:title=""/>
            <o:lock v:ext="edit" aspectratio="t"/>
            <w10:wrap type="none"/>
            <w10:anchorlock/>
          </v:shape>
          <w:control r:id="rId67" w:name="Control 67" w:shapeid="_x0000_i1091"/>
        </w:object>
      </w:r>
      <w:r>
        <w:rPr>
          <w:rFonts w:ascii="Times New Roman" w:hAnsi="Times New Roman" w:eastAsia="Times New Roman" w:cs="Times New Roman"/>
          <w:sz w:val="24"/>
          <w:szCs w:val="24"/>
        </w:rPr>
        <w:t>Yes</w:t>
      </w:r>
    </w:p>
    <w:p w14:paraId="054A5BD1">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92" o:spt="201" alt="" type="#_x0000_t201" style="height:18.75pt;width:20.25pt;" o:ole="t" filled="f" o:preferrelative="t" stroked="f" coordsize="21600,21600">
            <v:path/>
            <v:fill on="f" focussize="0,0"/>
            <v:stroke on="f"/>
            <v:imagedata r:id="rId7" o:title=""/>
            <o:lock v:ext="edit" aspectratio="t"/>
            <w10:wrap type="none"/>
            <w10:anchorlock/>
          </v:shape>
          <w:control r:id="rId68" w:name="Control 68" w:shapeid="_x0000_i1092"/>
        </w:object>
      </w:r>
      <w:r>
        <w:rPr>
          <w:rFonts w:ascii="Times New Roman" w:hAnsi="Times New Roman" w:eastAsia="Times New Roman" w:cs="Times New Roman"/>
          <w:sz w:val="24"/>
          <w:szCs w:val="24"/>
        </w:rPr>
        <w:t>No</w:t>
      </w:r>
    </w:p>
    <w:p w14:paraId="3B13344A">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93" o:spt="201" alt="" type="#_x0000_t201" style="height:18.75pt;width:20.25pt;" o:ole="t" filled="f" o:preferrelative="t" stroked="f" coordsize="21600,21600">
            <v:path/>
            <v:fill on="f" focussize="0,0"/>
            <v:stroke on="f"/>
            <v:imagedata r:id="rId7" o:title=""/>
            <o:lock v:ext="edit" aspectratio="t"/>
            <w10:wrap type="none"/>
            <w10:anchorlock/>
          </v:shape>
          <w:control r:id="rId69" w:name="Control 69" w:shapeid="_x0000_i1093"/>
        </w:object>
      </w:r>
      <w:r>
        <w:rPr>
          <w:rFonts w:ascii="Times New Roman" w:hAnsi="Times New Roman" w:eastAsia="Times New Roman" w:cs="Times New Roman"/>
          <w:sz w:val="24"/>
          <w:szCs w:val="24"/>
        </w:rPr>
        <w:t>Sometimes</w:t>
      </w:r>
    </w:p>
    <w:p w14:paraId="6C87DF1F">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do domestic chores affect your school performance?</w:t>
      </w:r>
    </w:p>
    <w:p w14:paraId="72E4A6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4" o:spt="1" style="height:1.5pt;width:0pt;" fillcolor="#A0A0A0" filled="t" stroked="f" coordsize="21600,21600" o:hr="t" o:hrstd="t" o:hralign="center">
            <v:path/>
            <v:fill on="t" focussize="0,0"/>
            <v:stroke on="f"/>
            <v:imagedata o:title=""/>
            <o:lock v:ext="edit"/>
            <w10:wrap type="none"/>
            <w10:anchorlock/>
          </v:rect>
        </w:pict>
      </w:r>
    </w:p>
    <w:p w14:paraId="0878E1B4">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challenges do you face in balancing school and home responsibilities?</w:t>
      </w:r>
    </w:p>
    <w:p w14:paraId="030644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5" o:spt="1" style="height:1.5pt;width:0pt;" fillcolor="#A0A0A0" filled="t" stroked="f" coordsize="21600,21600" o:hr="t" o:hrstd="t" o:hralign="center">
            <v:path/>
            <v:fill on="t" focussize="0,0"/>
            <v:stroke on="f"/>
            <v:imagedata o:title=""/>
            <o:lock v:ext="edit"/>
            <w10:wrap type="none"/>
            <w10:anchorlock/>
          </v:rect>
        </w:pict>
      </w:r>
    </w:p>
    <w:p w14:paraId="7DF7A5A3">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motivates you to continue attending school despite your home responsibilities?</w:t>
      </w:r>
    </w:p>
    <w:p w14:paraId="4BD8E1B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6" o:spt="1" style="height:1.5pt;width:0pt;" fillcolor="#A0A0A0" filled="t" stroked="f" coordsize="21600,21600" o:hr="t" o:hrstd="t" o:hralign="center">
            <v:path/>
            <v:fill on="t" focussize="0,0"/>
            <v:stroke on="f"/>
            <v:imagedata o:title=""/>
            <o:lock v:ext="edit"/>
            <w10:wrap type="none"/>
            <w10:anchorlock/>
          </v:rect>
        </w:pict>
      </w:r>
    </w:p>
    <w:p w14:paraId="6C07E338">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suggestions do you have to help girls stay in school despite domestic chores?</w:t>
      </w:r>
    </w:p>
    <w:p w14:paraId="2F23B2B4">
      <w:pPr>
        <w:spacing w:before="100" w:beforeAutospacing="1" w:after="100" w:afterAutospacing="1" w:line="240" w:lineRule="auto"/>
        <w:ind w:left="720"/>
        <w:rPr>
          <w:rFonts w:ascii="Times New Roman" w:hAnsi="Times New Roman" w:eastAsia="Times New Roman" w:cs="Times New Roman"/>
          <w:b/>
          <w:sz w:val="24"/>
          <w:szCs w:val="24"/>
        </w:rPr>
      </w:pPr>
      <w:r>
        <w:rPr>
          <w:rFonts w:ascii="Times New Roman" w:hAnsi="Times New Roman" w:eastAsia="Times New Roman" w:cs="Times New Roman"/>
          <w:b/>
          <w:sz w:val="24"/>
          <w:szCs w:val="24"/>
        </w:rPr>
        <w:t>Appendix II: Interview Schedule for Head Teachers</w:t>
      </w:r>
    </w:p>
    <w:p w14:paraId="1DFCAB24">
      <w:pPr>
        <w:spacing w:before="100" w:beforeAutospacing="1" w:after="100" w:afterAutospacing="1" w:line="240" w:lineRule="auto"/>
        <w:ind w:left="720"/>
        <w:rPr>
          <w:rFonts w:ascii="Times New Roman" w:hAnsi="Times New Roman" w:eastAsia="Times New Roman" w:cs="Times New Roman"/>
          <w:b/>
          <w:sz w:val="24"/>
          <w:szCs w:val="24"/>
        </w:rPr>
      </w:pPr>
      <w:r>
        <w:rPr>
          <w:rFonts w:ascii="Times New Roman" w:hAnsi="Times New Roman" w:eastAsia="Times New Roman" w:cs="Times New Roman"/>
          <w:b/>
          <w:sz w:val="24"/>
          <w:szCs w:val="24"/>
        </w:rPr>
        <w:t>Instructions:</w:t>
      </w:r>
    </w:p>
    <w:p w14:paraId="33A39ADB">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interview is intended to collect information on the influence of domestic chores on girls’ dropout rates in public day </w:t>
      </w:r>
      <w:r>
        <w:rPr>
          <w:rFonts w:ascii="Times New Roman" w:hAnsi="Times New Roman" w:eastAsia="Times New Roman" w:cs="Times New Roman"/>
          <w:sz w:val="24"/>
          <w:szCs w:val="24"/>
          <w:lang w:val="en-US"/>
        </w:rPr>
        <w:t>junior schools</w:t>
      </w:r>
      <w:r>
        <w:rPr>
          <w:rFonts w:ascii="Times New Roman" w:hAnsi="Times New Roman" w:eastAsia="Times New Roman" w:cs="Times New Roman"/>
          <w:sz w:val="24"/>
          <w:szCs w:val="24"/>
        </w:rPr>
        <w:t>. Your responses will be kept confidential and used solely for academic purposes.</w:t>
      </w:r>
    </w:p>
    <w:p w14:paraId="1383D43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Section A: Background Information</w:t>
      </w:r>
    </w:p>
    <w:p w14:paraId="43499C0E">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 of School: __________________________</w:t>
      </w:r>
    </w:p>
    <w:p w14:paraId="0A3888F7">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Gender: [ ] Male  [ ] Female</w:t>
      </w:r>
    </w:p>
    <w:p w14:paraId="1FBFE92B">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years as a head teacher: _______</w:t>
      </w:r>
    </w:p>
    <w:p w14:paraId="6CD8A5B0">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Total student enrollment by grade and year:</w:t>
      </w:r>
    </w:p>
    <w:p w14:paraId="0E6943C6">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Grade 6 (Last 3 years):</w:t>
      </w:r>
    </w:p>
    <w:p w14:paraId="31448B90">
      <w:pPr>
        <w:numPr>
          <w:ilvl w:val="2"/>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Year ________: Enrollment ________</w:t>
      </w:r>
    </w:p>
    <w:p w14:paraId="1F15F076">
      <w:pPr>
        <w:numPr>
          <w:ilvl w:val="2"/>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Year ________: Enrollment ________</w:t>
      </w:r>
    </w:p>
    <w:p w14:paraId="66C5A3A7">
      <w:pPr>
        <w:numPr>
          <w:ilvl w:val="2"/>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Year ________: Enrollment ________</w:t>
      </w:r>
    </w:p>
    <w:p w14:paraId="70C20CD9">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Grade 7 (Last 2 years):</w:t>
      </w:r>
    </w:p>
    <w:p w14:paraId="28E8A37A">
      <w:pPr>
        <w:numPr>
          <w:ilvl w:val="2"/>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Year ________: Enrollment ________</w:t>
      </w:r>
    </w:p>
    <w:p w14:paraId="6CDFD8D8">
      <w:pPr>
        <w:numPr>
          <w:ilvl w:val="2"/>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Year ________: Enrollment ________</w:t>
      </w:r>
    </w:p>
    <w:p w14:paraId="45741D79">
      <w:pPr>
        <w:numPr>
          <w:ilvl w:val="2"/>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Current enrollment: ________</w:t>
      </w:r>
    </w:p>
    <w:p w14:paraId="01A57A25">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Grade 8 (Last year):</w:t>
      </w:r>
    </w:p>
    <w:p w14:paraId="6796D35D">
      <w:pPr>
        <w:numPr>
          <w:ilvl w:val="2"/>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Year ________: Enrollment ________</w:t>
      </w:r>
    </w:p>
    <w:p w14:paraId="369B6BC7">
      <w:pPr>
        <w:numPr>
          <w:ilvl w:val="2"/>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Current enrollment: ________</w:t>
      </w:r>
    </w:p>
    <w:p w14:paraId="3A0D8406">
      <w:pPr>
        <w:numPr>
          <w:ilvl w:val="1"/>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Grade 9:</w:t>
      </w:r>
    </w:p>
    <w:p w14:paraId="7FA9B9D6">
      <w:pPr>
        <w:numPr>
          <w:ilvl w:val="2"/>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Current enrollment: ________</w:t>
      </w:r>
    </w:p>
    <w:p w14:paraId="2AF6C38F">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Approximate number of girls enrolled from other schools: _______</w:t>
      </w:r>
    </w:p>
    <w:p w14:paraId="47FFDF36">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Number of girls who dropped out in the past academic year: _______</w:t>
      </w:r>
    </w:p>
    <w:p w14:paraId="674A5B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7" o:spt="1" style="height:1.5pt;width:0pt;" fillcolor="#A0A0A0" filled="t" stroked="f" coordsize="21600,21600" o:hr="t" o:hrstd="t" o:hralign="center">
            <v:path/>
            <v:fill on="t" focussize="0,0"/>
            <v:stroke on="f"/>
            <v:imagedata o:title=""/>
            <o:lock v:ext="edit"/>
            <w10:wrap type="none"/>
            <w10:anchorlock/>
          </v:rect>
        </w:pict>
      </w:r>
    </w:p>
    <w:p w14:paraId="3FE1BA5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Section B: Interview Questions</w:t>
      </w:r>
    </w:p>
    <w:p w14:paraId="79E8AC9C">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are the most common reasons for girls dropping out of school in your institution?</w:t>
      </w:r>
    </w:p>
    <w:p w14:paraId="723B2B73">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what extent do domestic chores influence absenteeism or dropout among girls?</w:t>
      </w:r>
    </w:p>
    <w:p w14:paraId="3FFD2358">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Which domestic responsibilities are most frequently mentioned by affected girls?</w:t>
      </w:r>
    </w:p>
    <w:p w14:paraId="5B33BD24">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Are these responsibilities seasonal or consistent throughout the year?</w:t>
      </w:r>
    </w:p>
    <w:p w14:paraId="3DE85BE7">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Have you noticed patterns in dropout rates tied to specific age groups or grade levels?</w:t>
      </w:r>
    </w:p>
    <w:p w14:paraId="170B4AF2">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dropout trends differ between urban and rural areas of your catchment zone?</w:t>
      </w:r>
    </w:p>
    <w:p w14:paraId="4D1E45EA">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do parents or guardians generally react when their daughters miss school due to chores?</w:t>
      </w:r>
    </w:p>
    <w:p w14:paraId="29067E0F">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some parents support domestic work more than education for girls? Explain.</w:t>
      </w:r>
    </w:p>
    <w:p w14:paraId="495C26A9">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Are there cases where boys are assigned fewer or different chores than girls?</w:t>
      </w:r>
    </w:p>
    <w:p w14:paraId="0146913B">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school-based interventions are in place to help girls who frequently miss classes due to chores?</w:t>
      </w:r>
    </w:p>
    <w:p w14:paraId="668443F6">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Are any NGOs or community programs supporting girls’ education in your area?</w:t>
      </w:r>
    </w:p>
    <w:p w14:paraId="05FB077B">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role does the Board of Management (BoM) play in addressing dropout issues?</w:t>
      </w:r>
    </w:p>
    <w:p w14:paraId="247C31C7">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Are there cultural or religious beliefs in your community that promote assigning more chores to girls?</w:t>
      </w:r>
    </w:p>
    <w:p w14:paraId="0356D158">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your view, what policy changes could help reduce girls’ dropout rates in your school or region?</w:t>
      </w:r>
    </w:p>
    <w:p w14:paraId="78BC1D7B">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Do you have counseling services or mentorship programs to support vulnerable girls?</w:t>
      </w:r>
    </w:p>
    <w:p w14:paraId="18077EA9">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do teachers respond to absenteeism caused by domestic chores?</w:t>
      </w:r>
    </w:p>
    <w:p w14:paraId="156A865B">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 there a school tracking system for identifying at-risk girls before they drop out?</w:t>
      </w:r>
    </w:p>
    <w:p w14:paraId="4C27F40A">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What role does school leadership (you and your staff) play in retaining girls in school?</w:t>
      </w:r>
    </w:p>
    <w:p w14:paraId="61AFA878">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additional comments, suggestions, or success stories related to preventing girls' dropouts?</w:t>
      </w:r>
    </w:p>
    <w:p w14:paraId="778E0DFC">
      <w:pPr>
        <w:spacing w:before="100" w:beforeAutospacing="1" w:after="100" w:afterAutospacing="1" w:line="240" w:lineRule="auto"/>
        <w:ind w:left="720"/>
        <w:rPr>
          <w:rFonts w:ascii="Times New Roman" w:hAnsi="Times New Roman" w:eastAsia="Times New Roman" w:cs="Times New Roman"/>
          <w:sz w:val="24"/>
          <w:szCs w:val="24"/>
        </w:rPr>
      </w:pPr>
    </w:p>
    <w:sectPr>
      <w:pgSz w:w="12240" w:h="15840"/>
      <w:pgMar w:top="1440" w:right="1440" w:bottom="1440" w:left="1440"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docs-Robot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53D9A"/>
    <w:multiLevelType w:val="multilevel"/>
    <w:tmpl w:val="01F53D9A"/>
    <w:lvl w:ilvl="0" w:tentative="0">
      <w:start w:val="1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5A35BF3"/>
    <w:multiLevelType w:val="multilevel"/>
    <w:tmpl w:val="05A35BF3"/>
    <w:lvl w:ilvl="0" w:tentative="0">
      <w:start w:val="1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6580601"/>
    <w:multiLevelType w:val="multilevel"/>
    <w:tmpl w:val="065806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600711"/>
    <w:multiLevelType w:val="multilevel"/>
    <w:tmpl w:val="0B600711"/>
    <w:lvl w:ilvl="0" w:tentative="0">
      <w:start w:val="9"/>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BDD56B8"/>
    <w:multiLevelType w:val="multilevel"/>
    <w:tmpl w:val="0BDD56B8"/>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1D4224A"/>
    <w:multiLevelType w:val="multilevel"/>
    <w:tmpl w:val="11D422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22837B0"/>
    <w:multiLevelType w:val="multilevel"/>
    <w:tmpl w:val="122837B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2724D5C"/>
    <w:multiLevelType w:val="multilevel"/>
    <w:tmpl w:val="12724D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4AC4517"/>
    <w:multiLevelType w:val="multilevel"/>
    <w:tmpl w:val="14AC4517"/>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85D6553"/>
    <w:multiLevelType w:val="multilevel"/>
    <w:tmpl w:val="185D6553"/>
    <w:lvl w:ilvl="0" w:tentative="0">
      <w:start w:val="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B0555D0"/>
    <w:multiLevelType w:val="multilevel"/>
    <w:tmpl w:val="1B0555D0"/>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BAA0CA4"/>
    <w:multiLevelType w:val="multilevel"/>
    <w:tmpl w:val="1BAA0CA4"/>
    <w:lvl w:ilvl="0" w:tentative="0">
      <w:start w:val="1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CCE457A"/>
    <w:multiLevelType w:val="multilevel"/>
    <w:tmpl w:val="1CCE45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DE5115F"/>
    <w:multiLevelType w:val="multilevel"/>
    <w:tmpl w:val="1DE511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E2D6E54"/>
    <w:multiLevelType w:val="multilevel"/>
    <w:tmpl w:val="1E2D6E54"/>
    <w:lvl w:ilvl="0" w:tentative="0">
      <w:start w:val="2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0BE59D4"/>
    <w:multiLevelType w:val="multilevel"/>
    <w:tmpl w:val="20BE59D4"/>
    <w:lvl w:ilvl="0" w:tentative="0">
      <w:start w:val="1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22EE3C31"/>
    <w:multiLevelType w:val="multilevel"/>
    <w:tmpl w:val="22EE3C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A2055D5"/>
    <w:multiLevelType w:val="multilevel"/>
    <w:tmpl w:val="2A2055D5"/>
    <w:lvl w:ilvl="0" w:tentative="0">
      <w:start w:val="1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B882A6D"/>
    <w:multiLevelType w:val="multilevel"/>
    <w:tmpl w:val="2B882A6D"/>
    <w:lvl w:ilvl="0" w:tentative="0">
      <w:start w:val="1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C2B1804"/>
    <w:multiLevelType w:val="multilevel"/>
    <w:tmpl w:val="2C2B18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FE1079B"/>
    <w:multiLevelType w:val="multilevel"/>
    <w:tmpl w:val="2FE1079B"/>
    <w:lvl w:ilvl="0" w:tentative="0">
      <w:start w:val="2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3523318A"/>
    <w:multiLevelType w:val="multilevel"/>
    <w:tmpl w:val="3523318A"/>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5861424"/>
    <w:multiLevelType w:val="multilevel"/>
    <w:tmpl w:val="358614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67146A5"/>
    <w:multiLevelType w:val="multilevel"/>
    <w:tmpl w:val="367146A5"/>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3A88227B"/>
    <w:multiLevelType w:val="multilevel"/>
    <w:tmpl w:val="3A88227B"/>
    <w:lvl w:ilvl="0" w:tentative="0">
      <w:start w:val="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AB45D89"/>
    <w:multiLevelType w:val="multilevel"/>
    <w:tmpl w:val="3AB45D8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3D7B5489"/>
    <w:multiLevelType w:val="multilevel"/>
    <w:tmpl w:val="3D7B54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D802B13"/>
    <w:multiLevelType w:val="multilevel"/>
    <w:tmpl w:val="3D802B13"/>
    <w:lvl w:ilvl="0" w:tentative="0">
      <w:start w:val="2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76377B2"/>
    <w:multiLevelType w:val="multilevel"/>
    <w:tmpl w:val="476377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8FA6F04"/>
    <w:multiLevelType w:val="multilevel"/>
    <w:tmpl w:val="48FA6F04"/>
    <w:lvl w:ilvl="0" w:tentative="0">
      <w:start w:val="2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494C3E1D"/>
    <w:multiLevelType w:val="multilevel"/>
    <w:tmpl w:val="494C3E1D"/>
    <w:lvl w:ilvl="0" w:tentative="0">
      <w:start w:val="1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4CA9370F"/>
    <w:multiLevelType w:val="multilevel"/>
    <w:tmpl w:val="4CA937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E054AEA"/>
    <w:multiLevelType w:val="multilevel"/>
    <w:tmpl w:val="4E054AE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4E4F771C"/>
    <w:multiLevelType w:val="multilevel"/>
    <w:tmpl w:val="4E4F771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4EA00C59"/>
    <w:multiLevelType w:val="multilevel"/>
    <w:tmpl w:val="4EA00C5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4ECC26AB"/>
    <w:multiLevelType w:val="multilevel"/>
    <w:tmpl w:val="4ECC26AB"/>
    <w:lvl w:ilvl="0" w:tentative="0">
      <w:start w:val="1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4F331B28"/>
    <w:multiLevelType w:val="multilevel"/>
    <w:tmpl w:val="4F331B2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560E1D6C"/>
    <w:multiLevelType w:val="multilevel"/>
    <w:tmpl w:val="560E1D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6106258"/>
    <w:multiLevelType w:val="multilevel"/>
    <w:tmpl w:val="56106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567A4345"/>
    <w:multiLevelType w:val="multilevel"/>
    <w:tmpl w:val="567A4345"/>
    <w:lvl w:ilvl="0" w:tentative="0">
      <w:start w:val="9"/>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59A300D1"/>
    <w:multiLevelType w:val="multilevel"/>
    <w:tmpl w:val="59A300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5F1C0669"/>
    <w:multiLevelType w:val="multilevel"/>
    <w:tmpl w:val="5F1C0669"/>
    <w:lvl w:ilvl="0" w:tentative="0">
      <w:start w:val="1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64002FB9"/>
    <w:multiLevelType w:val="multilevel"/>
    <w:tmpl w:val="64002F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64473D65"/>
    <w:multiLevelType w:val="multilevel"/>
    <w:tmpl w:val="64473D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67E10026"/>
    <w:multiLevelType w:val="multilevel"/>
    <w:tmpl w:val="67E1002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5">
    <w:nsid w:val="6A771710"/>
    <w:multiLevelType w:val="multilevel"/>
    <w:tmpl w:val="6A771710"/>
    <w:lvl w:ilvl="0" w:tentative="0">
      <w:start w:val="2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6BED2FDF"/>
    <w:multiLevelType w:val="multilevel"/>
    <w:tmpl w:val="6BED2FD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6E03376A"/>
    <w:multiLevelType w:val="multilevel"/>
    <w:tmpl w:val="6E033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E5747BF"/>
    <w:multiLevelType w:val="multilevel"/>
    <w:tmpl w:val="6E5747BF"/>
    <w:lvl w:ilvl="0" w:tentative="0">
      <w:start w:val="1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6E9C2B7B"/>
    <w:multiLevelType w:val="multilevel"/>
    <w:tmpl w:val="6E9C2B7B"/>
    <w:lvl w:ilvl="0" w:tentative="0">
      <w:start w:val="1"/>
      <w:numFmt w:val="lowerRoman"/>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0">
    <w:nsid w:val="6F851647"/>
    <w:multiLevelType w:val="multilevel"/>
    <w:tmpl w:val="6F8516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6FF66ECD"/>
    <w:multiLevelType w:val="multilevel"/>
    <w:tmpl w:val="6FF66ECD"/>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736415C3"/>
    <w:multiLevelType w:val="multilevel"/>
    <w:tmpl w:val="736415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75A45984"/>
    <w:multiLevelType w:val="multilevel"/>
    <w:tmpl w:val="75A459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763C3F86"/>
    <w:multiLevelType w:val="multilevel"/>
    <w:tmpl w:val="763C3F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764D2FF5"/>
    <w:multiLevelType w:val="multilevel"/>
    <w:tmpl w:val="764D2FF5"/>
    <w:lvl w:ilvl="0" w:tentative="0">
      <w:start w:val="1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79950E24"/>
    <w:multiLevelType w:val="multilevel"/>
    <w:tmpl w:val="79950E24"/>
    <w:lvl w:ilvl="0" w:tentative="0">
      <w:start w:val="2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799F10D6"/>
    <w:multiLevelType w:val="multilevel"/>
    <w:tmpl w:val="799F10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7FE845A5"/>
    <w:multiLevelType w:val="multilevel"/>
    <w:tmpl w:val="7FE845A5"/>
    <w:lvl w:ilvl="0" w:tentative="0">
      <w:start w:val="1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9"/>
  </w:num>
  <w:num w:numId="2">
    <w:abstractNumId w:val="34"/>
  </w:num>
  <w:num w:numId="3">
    <w:abstractNumId w:val="33"/>
  </w:num>
  <w:num w:numId="4">
    <w:abstractNumId w:val="32"/>
  </w:num>
  <w:num w:numId="5">
    <w:abstractNumId w:val="44"/>
  </w:num>
  <w:num w:numId="6">
    <w:abstractNumId w:val="36"/>
  </w:num>
  <w:num w:numId="7">
    <w:abstractNumId w:val="39"/>
  </w:num>
  <w:num w:numId="8">
    <w:abstractNumId w:val="19"/>
  </w:num>
  <w:num w:numId="9">
    <w:abstractNumId w:val="51"/>
  </w:num>
  <w:num w:numId="10">
    <w:abstractNumId w:val="28"/>
  </w:num>
  <w:num w:numId="11">
    <w:abstractNumId w:val="9"/>
  </w:num>
  <w:num w:numId="12">
    <w:abstractNumId w:val="53"/>
  </w:num>
  <w:num w:numId="13">
    <w:abstractNumId w:val="48"/>
  </w:num>
  <w:num w:numId="14">
    <w:abstractNumId w:val="42"/>
  </w:num>
  <w:num w:numId="15">
    <w:abstractNumId w:val="35"/>
  </w:num>
  <w:num w:numId="16">
    <w:abstractNumId w:val="50"/>
  </w:num>
  <w:num w:numId="17">
    <w:abstractNumId w:val="1"/>
  </w:num>
  <w:num w:numId="18">
    <w:abstractNumId w:val="52"/>
  </w:num>
  <w:num w:numId="19">
    <w:abstractNumId w:val="23"/>
  </w:num>
  <w:num w:numId="20">
    <w:abstractNumId w:val="37"/>
  </w:num>
  <w:num w:numId="21">
    <w:abstractNumId w:val="30"/>
  </w:num>
  <w:num w:numId="22">
    <w:abstractNumId w:val="47"/>
  </w:num>
  <w:num w:numId="23">
    <w:abstractNumId w:val="15"/>
  </w:num>
  <w:num w:numId="24">
    <w:abstractNumId w:val="22"/>
  </w:num>
  <w:num w:numId="25">
    <w:abstractNumId w:val="11"/>
  </w:num>
  <w:num w:numId="26">
    <w:abstractNumId w:val="43"/>
  </w:num>
  <w:num w:numId="27">
    <w:abstractNumId w:val="14"/>
  </w:num>
  <w:num w:numId="28">
    <w:abstractNumId w:val="40"/>
  </w:num>
  <w:num w:numId="29">
    <w:abstractNumId w:val="10"/>
  </w:num>
  <w:num w:numId="30">
    <w:abstractNumId w:val="2"/>
  </w:num>
  <w:num w:numId="31">
    <w:abstractNumId w:val="45"/>
  </w:num>
  <w:num w:numId="32">
    <w:abstractNumId w:val="31"/>
  </w:num>
  <w:num w:numId="33">
    <w:abstractNumId w:val="27"/>
  </w:num>
  <w:num w:numId="34">
    <w:abstractNumId w:val="7"/>
  </w:num>
  <w:num w:numId="35">
    <w:abstractNumId w:val="56"/>
  </w:num>
  <w:num w:numId="36">
    <w:abstractNumId w:val="12"/>
  </w:num>
  <w:num w:numId="37">
    <w:abstractNumId w:val="20"/>
  </w:num>
  <w:num w:numId="38">
    <w:abstractNumId w:val="54"/>
  </w:num>
  <w:num w:numId="39">
    <w:abstractNumId w:val="46"/>
  </w:num>
  <w:num w:numId="40">
    <w:abstractNumId w:val="3"/>
  </w:num>
  <w:num w:numId="41">
    <w:abstractNumId w:val="6"/>
  </w:num>
  <w:num w:numId="42">
    <w:abstractNumId w:val="21"/>
  </w:num>
  <w:num w:numId="43">
    <w:abstractNumId w:val="13"/>
  </w:num>
  <w:num w:numId="44">
    <w:abstractNumId w:val="24"/>
  </w:num>
  <w:num w:numId="45">
    <w:abstractNumId w:val="5"/>
  </w:num>
  <w:num w:numId="46">
    <w:abstractNumId w:val="58"/>
  </w:num>
  <w:num w:numId="47">
    <w:abstractNumId w:val="16"/>
  </w:num>
  <w:num w:numId="48">
    <w:abstractNumId w:val="41"/>
  </w:num>
  <w:num w:numId="49">
    <w:abstractNumId w:val="38"/>
  </w:num>
  <w:num w:numId="50">
    <w:abstractNumId w:val="18"/>
  </w:num>
  <w:num w:numId="51">
    <w:abstractNumId w:val="57"/>
  </w:num>
  <w:num w:numId="52">
    <w:abstractNumId w:val="8"/>
  </w:num>
  <w:num w:numId="53">
    <w:abstractNumId w:val="26"/>
  </w:num>
  <w:num w:numId="54">
    <w:abstractNumId w:val="0"/>
  </w:num>
  <w:num w:numId="55">
    <w:abstractNumId w:val="17"/>
  </w:num>
  <w:num w:numId="56">
    <w:abstractNumId w:val="55"/>
  </w:num>
  <w:num w:numId="57">
    <w:abstractNumId w:val="29"/>
  </w:num>
  <w:num w:numId="58">
    <w:abstractNumId w:val="25"/>
  </w:num>
  <w:num w:numId="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30BC"/>
    <w:rsid w:val="001A70C9"/>
    <w:rsid w:val="0023042C"/>
    <w:rsid w:val="00261845"/>
    <w:rsid w:val="00313A6B"/>
    <w:rsid w:val="003B1A5F"/>
    <w:rsid w:val="00522BCC"/>
    <w:rsid w:val="006B7516"/>
    <w:rsid w:val="00960110"/>
    <w:rsid w:val="0097622A"/>
    <w:rsid w:val="009A54C5"/>
    <w:rsid w:val="00D006A9"/>
    <w:rsid w:val="00D15806"/>
    <w:rsid w:val="00E211A4"/>
    <w:rsid w:val="00E3429A"/>
    <w:rsid w:val="00E46101"/>
    <w:rsid w:val="00E77711"/>
    <w:rsid w:val="00EF30BC"/>
    <w:rsid w:val="00F562ED"/>
    <w:rsid w:val="00FC2C2E"/>
    <w:rsid w:val="187C5BB4"/>
    <w:rsid w:val="192B4D1C"/>
    <w:rsid w:val="1FF7701C"/>
    <w:rsid w:val="22B8452B"/>
    <w:rsid w:val="2D8E7315"/>
    <w:rsid w:val="48EF604A"/>
    <w:rsid w:val="49313A3E"/>
    <w:rsid w:val="4C26073F"/>
    <w:rsid w:val="4CF95FCE"/>
    <w:rsid w:val="52D97B30"/>
    <w:rsid w:val="6FFD7432"/>
    <w:rsid w:val="7F9A6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8"/>
    <w:semiHidden/>
    <w:unhideWhenUsed/>
    <w:qFormat/>
    <w:uiPriority w:val="99"/>
    <w:pPr>
      <w:spacing w:after="0" w:line="240" w:lineRule="auto"/>
    </w:pPr>
    <w:rPr>
      <w:rFonts w:ascii="Tahoma" w:hAnsi="Tahoma" w:cs="Tahoma"/>
      <w:sz w:val="16"/>
      <w:szCs w:val="16"/>
    </w:rPr>
  </w:style>
  <w:style w:type="paragraph" w:styleId="6">
    <w:name w:val="No Spacing"/>
    <w:link w:val="7"/>
    <w:qFormat/>
    <w:uiPriority w:val="1"/>
    <w:pPr>
      <w:spacing w:after="0" w:line="240" w:lineRule="auto"/>
    </w:pPr>
    <w:rPr>
      <w:rFonts w:asciiTheme="minorHAnsi" w:hAnsiTheme="minorHAnsi" w:eastAsiaTheme="minorEastAsia" w:cstheme="minorBidi"/>
      <w:sz w:val="22"/>
      <w:szCs w:val="22"/>
      <w:lang w:val="en-US" w:eastAsia="ja-JP" w:bidi="ar-SA"/>
    </w:rPr>
  </w:style>
  <w:style w:type="character" w:customStyle="1" w:styleId="7">
    <w:name w:val="No Spacing Char"/>
    <w:basedOn w:val="3"/>
    <w:link w:val="6"/>
    <w:qFormat/>
    <w:uiPriority w:val="1"/>
    <w:rPr>
      <w:rFonts w:eastAsiaTheme="minorEastAsia"/>
      <w:lang w:eastAsia="ja-JP"/>
    </w:rPr>
  </w:style>
  <w:style w:type="character" w:customStyle="1" w:styleId="8">
    <w:name w:val="Balloon Text Char"/>
    <w:basedOn w:val="3"/>
    <w:link w:val="5"/>
    <w:semiHidden/>
    <w:qFormat/>
    <w:uiPriority w:val="99"/>
    <w:rPr>
      <w:rFonts w:ascii="Tahoma" w:hAnsi="Tahoma" w:cs="Tahoma"/>
      <w:sz w:val="16"/>
      <w:szCs w:val="16"/>
    </w:rPr>
  </w:style>
  <w:style w:type="character" w:customStyle="1" w:styleId="9">
    <w:name w:val="Heading 1 Char"/>
    <w:basedOn w:val="3"/>
    <w:link w:val="2"/>
    <w:qFormat/>
    <w:uiPriority w:val="9"/>
    <w:rPr>
      <w:rFonts w:asciiTheme="majorHAnsi" w:hAnsiTheme="majorHAnsi" w:eastAsiaTheme="majorEastAsia" w:cstheme="majorBidi"/>
      <w:b/>
      <w:bCs/>
      <w:color w:val="376092" w:themeColor="accent1" w:themeShade="BF"/>
      <w:sz w:val="28"/>
      <w:szCs w:val="28"/>
    </w:rPr>
  </w:style>
  <w:style w:type="paragraph" w:customStyle="1" w:styleId="10">
    <w:name w:val="TOC Heading"/>
    <w:basedOn w:val="2"/>
    <w:next w:val="1"/>
    <w:semiHidden/>
    <w:unhideWhenUsed/>
    <w:qFormat/>
    <w:uiPriority w:val="39"/>
    <w:pPr>
      <w:outlineLvl w:val="9"/>
    </w:pPr>
    <w:rPr>
      <w:lang w:eastAsia="ja-JP"/>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ontrol" Target="activeX/activeX3.xml"/><Relationship Id="rId8" Type="http://schemas.openxmlformats.org/officeDocument/2006/relationships/control" Target="activeX/activeX2.xml"/><Relationship Id="rId73" Type="http://schemas.openxmlformats.org/officeDocument/2006/relationships/fontTable" Target="fontTable.xml"/><Relationship Id="rId72" Type="http://schemas.openxmlformats.org/officeDocument/2006/relationships/customXml" Target="../customXml/item2.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image" Target="media/image1.wmf"/><Relationship Id="rId69" Type="http://schemas.openxmlformats.org/officeDocument/2006/relationships/control" Target="activeX/activeX63.xml"/><Relationship Id="rId68" Type="http://schemas.openxmlformats.org/officeDocument/2006/relationships/control" Target="activeX/activeX62.xml"/><Relationship Id="rId67" Type="http://schemas.openxmlformats.org/officeDocument/2006/relationships/control" Target="activeX/activeX61.xml"/><Relationship Id="rId66" Type="http://schemas.openxmlformats.org/officeDocument/2006/relationships/control" Target="activeX/activeX60.xml"/><Relationship Id="rId65" Type="http://schemas.openxmlformats.org/officeDocument/2006/relationships/control" Target="activeX/activeX59.xml"/><Relationship Id="rId64" Type="http://schemas.openxmlformats.org/officeDocument/2006/relationships/control" Target="activeX/activeX58.xml"/><Relationship Id="rId63" Type="http://schemas.openxmlformats.org/officeDocument/2006/relationships/control" Target="activeX/activeX57.xml"/><Relationship Id="rId62" Type="http://schemas.openxmlformats.org/officeDocument/2006/relationships/control" Target="activeX/activeX56.xml"/><Relationship Id="rId61" Type="http://schemas.openxmlformats.org/officeDocument/2006/relationships/control" Target="activeX/activeX55.xml"/><Relationship Id="rId60" Type="http://schemas.openxmlformats.org/officeDocument/2006/relationships/control" Target="activeX/activeX54.xml"/><Relationship Id="rId6" Type="http://schemas.openxmlformats.org/officeDocument/2006/relationships/control" Target="activeX/activeX1.xml"/><Relationship Id="rId59" Type="http://schemas.openxmlformats.org/officeDocument/2006/relationships/control" Target="activeX/activeX53.xml"/><Relationship Id="rId58" Type="http://schemas.openxmlformats.org/officeDocument/2006/relationships/control" Target="activeX/activeX52.xml"/><Relationship Id="rId57" Type="http://schemas.openxmlformats.org/officeDocument/2006/relationships/control" Target="activeX/activeX51.xml"/><Relationship Id="rId56" Type="http://schemas.openxmlformats.org/officeDocument/2006/relationships/control" Target="activeX/activeX50.xml"/><Relationship Id="rId55" Type="http://schemas.openxmlformats.org/officeDocument/2006/relationships/control" Target="activeX/activeX49.xml"/><Relationship Id="rId54" Type="http://schemas.openxmlformats.org/officeDocument/2006/relationships/control" Target="activeX/activeX48.xml"/><Relationship Id="rId53" Type="http://schemas.openxmlformats.org/officeDocument/2006/relationships/control" Target="activeX/activeX47.xml"/><Relationship Id="rId52" Type="http://schemas.openxmlformats.org/officeDocument/2006/relationships/control" Target="activeX/activeX46.xml"/><Relationship Id="rId51" Type="http://schemas.openxmlformats.org/officeDocument/2006/relationships/control" Target="activeX/activeX45.xml"/><Relationship Id="rId50" Type="http://schemas.openxmlformats.org/officeDocument/2006/relationships/control" Target="activeX/activeX44.xml"/><Relationship Id="rId5" Type="http://schemas.openxmlformats.org/officeDocument/2006/relationships/theme" Target="theme/theme1.xml"/><Relationship Id="rId49" Type="http://schemas.openxmlformats.org/officeDocument/2006/relationships/control" Target="activeX/activeX43.xml"/><Relationship Id="rId48" Type="http://schemas.openxmlformats.org/officeDocument/2006/relationships/control" Target="activeX/activeX42.xml"/><Relationship Id="rId47" Type="http://schemas.openxmlformats.org/officeDocument/2006/relationships/control" Target="activeX/activeX41.xml"/><Relationship Id="rId46" Type="http://schemas.openxmlformats.org/officeDocument/2006/relationships/control" Target="activeX/activeX40.xml"/><Relationship Id="rId45" Type="http://schemas.openxmlformats.org/officeDocument/2006/relationships/control" Target="activeX/activeX39.xml"/><Relationship Id="rId44" Type="http://schemas.openxmlformats.org/officeDocument/2006/relationships/control" Target="activeX/activeX38.xml"/><Relationship Id="rId43" Type="http://schemas.openxmlformats.org/officeDocument/2006/relationships/control" Target="activeX/activeX37.xml"/><Relationship Id="rId42" Type="http://schemas.openxmlformats.org/officeDocument/2006/relationships/control" Target="activeX/activeX36.xml"/><Relationship Id="rId41" Type="http://schemas.openxmlformats.org/officeDocument/2006/relationships/control" Target="activeX/activeX35.xml"/><Relationship Id="rId40" Type="http://schemas.openxmlformats.org/officeDocument/2006/relationships/control" Target="activeX/activeX34.xml"/><Relationship Id="rId4" Type="http://schemas.openxmlformats.org/officeDocument/2006/relationships/endnotes" Target="endnotes.xml"/><Relationship Id="rId39" Type="http://schemas.openxmlformats.org/officeDocument/2006/relationships/control" Target="activeX/activeX33.xml"/><Relationship Id="rId38" Type="http://schemas.openxmlformats.org/officeDocument/2006/relationships/control" Target="activeX/activeX32.xml"/><Relationship Id="rId37" Type="http://schemas.openxmlformats.org/officeDocument/2006/relationships/control" Target="activeX/activeX31.xml"/><Relationship Id="rId36" Type="http://schemas.openxmlformats.org/officeDocument/2006/relationships/control" Target="activeX/activeX30.xml"/><Relationship Id="rId35" Type="http://schemas.openxmlformats.org/officeDocument/2006/relationships/control" Target="activeX/activeX29.xml"/><Relationship Id="rId34" Type="http://schemas.openxmlformats.org/officeDocument/2006/relationships/control" Target="activeX/activeX28.xml"/><Relationship Id="rId33" Type="http://schemas.openxmlformats.org/officeDocument/2006/relationships/control" Target="activeX/activeX27.xml"/><Relationship Id="rId32" Type="http://schemas.openxmlformats.org/officeDocument/2006/relationships/control" Target="activeX/activeX26.xml"/><Relationship Id="rId31" Type="http://schemas.openxmlformats.org/officeDocument/2006/relationships/control" Target="activeX/activeX25.xml"/><Relationship Id="rId30" Type="http://schemas.openxmlformats.org/officeDocument/2006/relationships/control" Target="activeX/activeX24.xml"/><Relationship Id="rId3" Type="http://schemas.openxmlformats.org/officeDocument/2006/relationships/footnotes" Target="footnotes.xml"/><Relationship Id="rId29" Type="http://schemas.openxmlformats.org/officeDocument/2006/relationships/control" Target="activeX/activeX23.xml"/><Relationship Id="rId28" Type="http://schemas.openxmlformats.org/officeDocument/2006/relationships/control" Target="activeX/activeX22.xml"/><Relationship Id="rId27" Type="http://schemas.openxmlformats.org/officeDocument/2006/relationships/control" Target="activeX/activeX21.xml"/><Relationship Id="rId26" Type="http://schemas.openxmlformats.org/officeDocument/2006/relationships/control" Target="activeX/activeX20.xml"/><Relationship Id="rId25" Type="http://schemas.openxmlformats.org/officeDocument/2006/relationships/control" Target="activeX/activeX19.xml"/><Relationship Id="rId24" Type="http://schemas.openxmlformats.org/officeDocument/2006/relationships/control" Target="activeX/activeX18.xml"/><Relationship Id="rId23" Type="http://schemas.openxmlformats.org/officeDocument/2006/relationships/control" Target="activeX/activeX17.xml"/><Relationship Id="rId22" Type="http://schemas.openxmlformats.org/officeDocument/2006/relationships/control" Target="activeX/activeX16.xml"/><Relationship Id="rId21" Type="http://schemas.openxmlformats.org/officeDocument/2006/relationships/control" Target="activeX/activeX15.xml"/><Relationship Id="rId20" Type="http://schemas.openxmlformats.org/officeDocument/2006/relationships/control" Target="activeX/activeX14.xml"/><Relationship Id="rId2" Type="http://schemas.openxmlformats.org/officeDocument/2006/relationships/settings" Target="settings.xml"/><Relationship Id="rId19" Type="http://schemas.openxmlformats.org/officeDocument/2006/relationships/control" Target="activeX/activeX13.xml"/><Relationship Id="rId18" Type="http://schemas.openxmlformats.org/officeDocument/2006/relationships/control" Target="activeX/activeX12.xml"/><Relationship Id="rId17" Type="http://schemas.openxmlformats.org/officeDocument/2006/relationships/control" Target="activeX/activeX11.xml"/><Relationship Id="rId16" Type="http://schemas.openxmlformats.org/officeDocument/2006/relationships/control" Target="activeX/activeX10.xml"/><Relationship Id="rId15" Type="http://schemas.openxmlformats.org/officeDocument/2006/relationships/control" Target="activeX/activeX9.xml"/><Relationship Id="rId14" Type="http://schemas.openxmlformats.org/officeDocument/2006/relationships/control" Target="activeX/activeX8.xml"/><Relationship Id="rId13" Type="http://schemas.openxmlformats.org/officeDocument/2006/relationships/control" Target="activeX/activeX7.xml"/><Relationship Id="rId12" Type="http://schemas.openxmlformats.org/officeDocument/2006/relationships/control" Target="activeX/activeX6.xml"/><Relationship Id="rId11" Type="http://schemas.openxmlformats.org/officeDocument/2006/relationships/control" Target="activeX/activeX5.xml"/><Relationship Id="rId10" Type="http://schemas.openxmlformats.org/officeDocument/2006/relationships/control" Target="activeX/activeX4.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xml.rels><?xml version="1.0" encoding="UTF-8" standalone="yes"?>
<Relationships xmlns="http://schemas.openxmlformats.org/package/2006/relationships"><Relationship Id="rId1" Type="http://schemas.microsoft.com/office/2006/relationships/activeXControlBinary" Target="activeX16.bin"/></Relationships>
</file>

<file path=word/activeX/_rels/activeX3.xml.rels><?xml version="1.0" encoding="UTF-8" standalone="yes"?>
<Relationships xmlns="http://schemas.openxmlformats.org/package/2006/relationships"><Relationship Id="rId1" Type="http://schemas.microsoft.com/office/2006/relationships/activeXControlBinary" Target="activeX22.bin"/></Relationships>
</file>

<file path=word/activeX/_rels/activeX4.xml.rels><?xml version="1.0" encoding="UTF-8" standalone="yes"?>
<Relationships xmlns="http://schemas.openxmlformats.org/package/2006/relationships"><Relationship Id="rId1" Type="http://schemas.microsoft.com/office/2006/relationships/activeXControlBinary" Target="activeX15.bin"/></Relationships>
</file>

<file path=word/activeX/_rels/activeX5.xml.rels><?xml version="1.0" encoding="UTF-8" standalone="yes"?>
<Relationships xmlns="http://schemas.openxmlformats.org/package/2006/relationships"><Relationship Id="rId1" Type="http://schemas.microsoft.com/office/2006/relationships/activeXControlBinary" Target="activeX26.bin"/></Relationships>
</file>

<file path=word/activeX/_rels/activeX6.xml.rels><?xml version="1.0" encoding="UTF-8" standalone="yes"?>
<Relationships xmlns="http://schemas.openxmlformats.org/package/2006/relationships"><Relationship Id="rId1" Type="http://schemas.microsoft.com/office/2006/relationships/activeXControlBinary" Target="activeX17.bin"/></Relationships>
</file>

<file path=word/activeX/_rels/activeX7.xml.rels><?xml version="1.0" encoding="UTF-8" standalone="yes"?>
<Relationships xmlns="http://schemas.openxmlformats.org/package/2006/relationships"><Relationship Id="rId1" Type="http://schemas.microsoft.com/office/2006/relationships/activeXControlBinary" Target="activeX23.bin"/></Relationships>
</file>

<file path=word/activeX/_rels/activeX8.xml.rels><?xml version="1.0" encoding="UTF-8" standalone="yes"?>
<Relationships xmlns="http://schemas.openxmlformats.org/package/2006/relationships"><Relationship Id="rId1" Type="http://schemas.microsoft.com/office/2006/relationships/activeXControlBinary" Target="activeX25.bin"/></Relationships>
</file>

<file path=word/activeX/_rels/activeX9.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9.bin"/></Relationships>
</file>

<file path=word/activeX/_rels/activeX11.xml.rels><?xml version="1.0" encoding="UTF-8" standalone="yes"?>
<Relationships xmlns="http://schemas.openxmlformats.org/package/2006/relationships"><Relationship Id="rId1" Type="http://schemas.microsoft.com/office/2006/relationships/activeXControlBinary" Target="activeX20.bin"/></Relationships>
</file>

<file path=word/activeX/_rels/activeX12.xml.rels><?xml version="1.0" encoding="UTF-8" standalone="yes"?>
<Relationships xmlns="http://schemas.openxmlformats.org/package/2006/relationships"><Relationship Id="rId1" Type="http://schemas.microsoft.com/office/2006/relationships/activeXControlBinary" Target="activeX21.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4.xml.rels><?xml version="1.0" encoding="UTF-8" standalone="yes"?>
<Relationships xmlns="http://schemas.openxmlformats.org/package/2006/relationships"><Relationship Id="rId1" Type="http://schemas.microsoft.com/office/2006/relationships/activeXControlBinary" Target="activeX3.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7.xml.rels><?xml version="1.0" encoding="UTF-8" standalone="yes"?>
<Relationships xmlns="http://schemas.openxmlformats.org/package/2006/relationships"><Relationship Id="rId1" Type="http://schemas.microsoft.com/office/2006/relationships/activeXControlBinary" Target="activeX9.bin"/></Relationships>
</file>

<file path=word/activeX/_rels/activeX18.xml.rels><?xml version="1.0" encoding="UTF-8" standalone="yes"?>
<Relationships xmlns="http://schemas.openxmlformats.org/package/2006/relationships"><Relationship Id="rId1" Type="http://schemas.microsoft.com/office/2006/relationships/activeXControlBinary" Target="activeX2.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bin"/></Relationships>
</file>

<file path=word/activeX/_rels/activeX20.xml.rels><?xml version="1.0" encoding="UTF-8" standalone="yes"?>
<Relationships xmlns="http://schemas.openxmlformats.org/package/2006/relationships"><Relationship Id="rId1" Type="http://schemas.microsoft.com/office/2006/relationships/activeXControlBinary" Target="activeX11.bin"/></Relationships>
</file>

<file path=word/activeX/_rels/activeX21.xml.rels><?xml version="1.0" encoding="UTF-8" standalone="yes"?>
<Relationships xmlns="http://schemas.openxmlformats.org/package/2006/relationships"><Relationship Id="rId1" Type="http://schemas.microsoft.com/office/2006/relationships/activeXControlBinary" Target="activeX6.bin"/></Relationships>
</file>

<file path=word/activeX/_rels/activeX22.xml.rels><?xml version="1.0" encoding="UTF-8" standalone="yes"?>
<Relationships xmlns="http://schemas.openxmlformats.org/package/2006/relationships"><Relationship Id="rId1" Type="http://schemas.microsoft.com/office/2006/relationships/activeXControlBinary" Target="activeX4.bin"/></Relationships>
</file>

<file path=word/activeX/_rels/activeX23.xml.rels><?xml version="1.0" encoding="UTF-8" standalone="yes"?>
<Relationships xmlns="http://schemas.openxmlformats.org/package/2006/relationships"><Relationship Id="rId1" Type="http://schemas.microsoft.com/office/2006/relationships/activeXControlBinary" Target="activeX7.bin"/></Relationships>
</file>

<file path=word/activeX/_rels/activeX24.xml.rels><?xml version="1.0" encoding="UTF-8" standalone="yes"?>
<Relationships xmlns="http://schemas.openxmlformats.org/package/2006/relationships"><Relationship Id="rId1" Type="http://schemas.microsoft.com/office/2006/relationships/activeXControlBinary" Target="activeX5.bin"/></Relationships>
</file>

<file path=word/activeX/_rels/activeX25.xml.rels><?xml version="1.0" encoding="UTF-8" standalone="yes"?>
<Relationships xmlns="http://schemas.openxmlformats.org/package/2006/relationships"><Relationship Id="rId1" Type="http://schemas.microsoft.com/office/2006/relationships/activeXControlBinary" Target="activeX8.bin"/></Relationships>
</file>

<file path=word/activeX/_rels/activeX26.xml.rels><?xml version="1.0" encoding="UTF-8" standalone="yes"?>
<Relationships xmlns="http://schemas.openxmlformats.org/package/2006/relationships"><Relationship Id="rId1" Type="http://schemas.microsoft.com/office/2006/relationships/activeXControlBinary" Target="activeX10.bin"/></Relationships>
</file>

<file path=word/activeX/_rels/activeX27.xml.rels><?xml version="1.0" encoding="UTF-8" standalone="yes"?>
<Relationships xmlns="http://schemas.openxmlformats.org/package/2006/relationships"><Relationship Id="rId1" Type="http://schemas.microsoft.com/office/2006/relationships/activeXControlBinary" Target="activeX31.bin"/></Relationships>
</file>

<file path=word/activeX/_rels/activeX28.xml.rels><?xml version="1.0" encoding="UTF-8" standalone="yes"?>
<Relationships xmlns="http://schemas.openxmlformats.org/package/2006/relationships"><Relationship Id="rId1" Type="http://schemas.microsoft.com/office/2006/relationships/activeXControlBinary" Target="activeX30.bin"/></Relationships>
</file>

<file path=word/activeX/_rels/activeX29.xml.rels><?xml version="1.0" encoding="UTF-8" standalone="yes"?>
<Relationships xmlns="http://schemas.openxmlformats.org/package/2006/relationships"><Relationship Id="rId1" Type="http://schemas.microsoft.com/office/2006/relationships/activeXControlBinary" Target="activeX42.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1.xml.rels><?xml version="1.0" encoding="UTF-8" standalone="yes"?>
<Relationships xmlns="http://schemas.openxmlformats.org/package/2006/relationships"><Relationship Id="rId1" Type="http://schemas.microsoft.com/office/2006/relationships/activeXControlBinary" Target="activeX27.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9.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43.bin"/></Relationships>
</file>

<file path=word/activeX/_rels/activeX37.xml.rels><?xml version="1.0" encoding="UTF-8" standalone="yes"?>
<Relationships xmlns="http://schemas.openxmlformats.org/package/2006/relationships"><Relationship Id="rId1" Type="http://schemas.microsoft.com/office/2006/relationships/activeXControlBinary" Target="activeX40.bin"/></Relationships>
</file>

<file path=word/activeX/_rels/activeX38.xml.rels><?xml version="1.0" encoding="UTF-8" standalone="yes"?>
<Relationships xmlns="http://schemas.openxmlformats.org/package/2006/relationships"><Relationship Id="rId1" Type="http://schemas.microsoft.com/office/2006/relationships/activeXControlBinary" Target="activeX41.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2.bin"/></Relationships>
</file>

<file path=word/activeX/_rels/activeX40.xml.rels><?xml version="1.0" encoding="UTF-8" standalone="yes"?>
<Relationships xmlns="http://schemas.openxmlformats.org/package/2006/relationships"><Relationship Id="rId1" Type="http://schemas.microsoft.com/office/2006/relationships/activeXControlBinary" Target="activeX28.bin"/></Relationships>
</file>

<file path=word/activeX/_rels/activeX41.xml.rels><?xml version="1.0" encoding="UTF-8" standalone="yes"?>
<Relationships xmlns="http://schemas.openxmlformats.org/package/2006/relationships"><Relationship Id="rId1" Type="http://schemas.microsoft.com/office/2006/relationships/activeXControlBinary" Target="activeX29.bin"/></Relationships>
</file>

<file path=word/activeX/_rels/activeX42.xml.rels><?xml version="1.0" encoding="UTF-8" standalone="yes"?>
<Relationships xmlns="http://schemas.openxmlformats.org/package/2006/relationships"><Relationship Id="rId1" Type="http://schemas.microsoft.com/office/2006/relationships/activeXControlBinary" Target="activeX34.bin"/></Relationships>
</file>

<file path=word/activeX/_rels/activeX4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61.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9.bin"/></Relationships>
</file>

<file path=word/activeX/_rels/activeX48.xml.rels><?xml version="1.0" encoding="UTF-8" standalone="yes"?>
<Relationships xmlns="http://schemas.openxmlformats.org/package/2006/relationships"><Relationship Id="rId1" Type="http://schemas.microsoft.com/office/2006/relationships/activeXControlBinary" Target="activeX59.bin"/></Relationships>
</file>

<file path=word/activeX/_rels/activeX49.xml.rels><?xml version="1.0" encoding="UTF-8" standalone="yes"?>
<Relationships xmlns="http://schemas.openxmlformats.org/package/2006/relationships"><Relationship Id="rId1" Type="http://schemas.microsoft.com/office/2006/relationships/activeXControlBinary" Target="activeX60.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7.xml.rels><?xml version="1.0" encoding="UTF-8" standalone="yes"?>
<Relationships xmlns="http://schemas.openxmlformats.org/package/2006/relationships"><Relationship Id="rId1" Type="http://schemas.microsoft.com/office/2006/relationships/activeXControlBinary" Target="activeX62.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3.bin"/></Relationships>
</file>

<file path=word/activeX/_rels/activeX60.xml.rels><?xml version="1.0" encoding="UTF-8" standalone="yes"?>
<Relationships xmlns="http://schemas.openxmlformats.org/package/2006/relationships"><Relationship Id="rId1" Type="http://schemas.microsoft.com/office/2006/relationships/activeXControlBinary" Target="activeX58.bin"/></Relationships>
</file>

<file path=word/activeX/_rels/activeX61.xml.rels><?xml version="1.0" encoding="UTF-8" standalone="yes"?>
<Relationships xmlns="http://schemas.openxmlformats.org/package/2006/relationships"><Relationship Id="rId1" Type="http://schemas.microsoft.com/office/2006/relationships/activeXControlBinary" Target="activeX46.bin"/></Relationships>
</file>

<file path=word/activeX/_rels/activeX62.xml.rels><?xml version="1.0" encoding="UTF-8" standalone="yes"?>
<Relationships xmlns="http://schemas.openxmlformats.org/package/2006/relationships"><Relationship Id="rId1" Type="http://schemas.microsoft.com/office/2006/relationships/activeXControlBinary" Target="activeX44.bin"/></Relationships>
</file>

<file path=word/activeX/_rels/activeX63.xml.rels><?xml version="1.0" encoding="UTF-8" standalone="yes"?>
<Relationships xmlns="http://schemas.openxmlformats.org/package/2006/relationships"><Relationship Id="rId1" Type="http://schemas.microsoft.com/office/2006/relationships/activeXControlBinary" Target="activeX45.bin"/></Relationships>
</file>

<file path=word/activeX/activeX1.xml><?xml version="1.0" encoding="utf-8"?>
<ax:ocx xmlns:ax="http://schemas.microsoft.com/office/2006/activeX" xmlns:r="http://schemas.openxmlformats.org/officeDocument/2006/relationships" ax:classid="{5512D116-5CC6-11CF-8D67-00AA00BDCE1D}" r:id="rId1" ax:persistence="persistStorage"/>
</file>

<file path=word/activeX/activeX2.xml><?xml version="1.0" encoding="utf-8"?>
<ax:ocx xmlns:ax="http://schemas.microsoft.com/office/2006/activeX" xmlns:r="http://schemas.openxmlformats.org/officeDocument/2006/relationships" ax:classid="{5512D116-5CC6-11CF-8D67-00AA00BDCE1D}" r:id="rId1" ax:persistence="persistStorage"/>
</file>

<file path=word/activeX/activeX3.xml><?xml version="1.0" encoding="utf-8"?>
<ax:ocx xmlns:ax="http://schemas.microsoft.com/office/2006/activeX" xmlns:r="http://schemas.openxmlformats.org/officeDocument/2006/relationships" ax:classid="{5512D116-5CC6-11CF-8D67-00AA00BDCE1D}" r:id="rId1" ax:persistence="persistStorage"/>
</file>

<file path=word/activeX/activeX4.xml><?xml version="1.0" encoding="utf-8"?>
<ax:ocx xmlns:ax="http://schemas.microsoft.com/office/2006/activeX" xmlns:r="http://schemas.openxmlformats.org/officeDocument/2006/relationships" ax:classid="{5512D116-5CC6-11CF-8D67-00AA00BDCE1D}" r:id="rId1" ax:persistence="persistStorage"/>
</file>

<file path=word/activeX/activeX5.xml><?xml version="1.0" encoding="utf-8"?>
<ax:ocx xmlns:ax="http://schemas.microsoft.com/office/2006/activeX" xmlns:r="http://schemas.openxmlformats.org/officeDocument/2006/relationships" ax:classid="{5512D116-5CC6-11CF-8D67-00AA00BDCE1D}" r:id="rId1" ax:persistence="persistStorage"/>
</file>

<file path=word/activeX/activeX6.xml><?xml version="1.0" encoding="utf-8"?>
<ax:ocx xmlns:ax="http://schemas.microsoft.com/office/2006/activeX" xmlns:r="http://schemas.openxmlformats.org/officeDocument/2006/relationships" ax:classid="{5512D116-5CC6-11CF-8D67-00AA00BDCE1D}" r:id="rId1" ax:persistence="persistStorage"/>
</file>

<file path=word/activeX/activeX7.xml><?xml version="1.0" encoding="utf-8"?>
<ax:ocx xmlns:ax="http://schemas.microsoft.com/office/2006/activeX" xmlns:r="http://schemas.openxmlformats.org/officeDocument/2006/relationships" ax:classid="{5512D116-5CC6-11CF-8D67-00AA00BDCE1D}" r:id="rId1" ax:persistence="persistStorage"/>
</file>

<file path=word/activeX/activeX8.xml><?xml version="1.0" encoding="utf-8"?>
<ax:ocx xmlns:ax="http://schemas.microsoft.com/office/2006/activeX" xmlns:r="http://schemas.openxmlformats.org/officeDocument/2006/relationships" ax:classid="{5512D116-5CC6-11CF-8D67-00AA00BDCE1D}" r:id="rId1" ax:persistence="persistStorage"/>
</file>

<file path=word/activeX/activeX9.xml><?xml version="1.0" encoding="utf-8"?>
<ax:ocx xmlns:ax="http://schemas.microsoft.com/office/2006/activeX" xmlns:r="http://schemas.openxmlformats.org/officeDocument/2006/relationships" ax:classid="{5512D116-5CC6-11CF-8D67-00AA00BDCE1D}" r:id="rId1" ax:persistence="persistStorage"/>
</file>

<file path=word/activeX/activeX10.xml><?xml version="1.0" encoding="utf-8"?>
<ax:ocx xmlns:ax="http://schemas.microsoft.com/office/2006/activeX" xmlns:r="http://schemas.openxmlformats.org/officeDocument/2006/relationships" ax:classid="{5512D116-5CC6-11CF-8D67-00AA00BDCE1D}" r:id="rId1" ax:persistence="persistStorage"/>
</file>

<file path=word/activeX/activeX11.xml><?xml version="1.0" encoding="utf-8"?>
<ax:ocx xmlns:ax="http://schemas.microsoft.com/office/2006/activeX" xmlns:r="http://schemas.openxmlformats.org/officeDocument/2006/relationships" ax:classid="{5512D116-5CC6-11CF-8D67-00AA00BDCE1D}" r:id="rId1" ax:persistence="persistStorage"/>
</file>

<file path=word/activeX/activeX12.xml><?xml version="1.0" encoding="utf-8"?>
<ax:ocx xmlns:ax="http://schemas.microsoft.com/office/2006/activeX" xmlns:r="http://schemas.openxmlformats.org/officeDocument/2006/relationships" ax:classid="{5512D116-5CC6-11CF-8D67-00AA00BDCE1D}" r:id="rId1" ax:persistence="persistStorage"/>
</file>

<file path=word/activeX/activeX13.xml><?xml version="1.0" encoding="utf-8"?>
<ax:ocx xmlns:ax="http://schemas.microsoft.com/office/2006/activeX" xmlns:r="http://schemas.openxmlformats.org/officeDocument/2006/relationships" ax:classid="{5512D116-5CC6-11CF-8D67-00AA00BDCE1D}" r:id="rId1" ax:persistence="persistStorage"/>
</file>

<file path=word/activeX/activeX14.xml><?xml version="1.0" encoding="utf-8"?>
<ax:ocx xmlns:ax="http://schemas.microsoft.com/office/2006/activeX" xmlns:r="http://schemas.openxmlformats.org/officeDocument/2006/relationships" ax:classid="{5512D116-5CC6-11CF-8D67-00AA00BDCE1D}" r:id="rId1" ax:persistence="persistStorage"/>
</file>

<file path=word/activeX/activeX15.xml><?xml version="1.0" encoding="utf-8"?>
<ax:ocx xmlns:ax="http://schemas.microsoft.com/office/2006/activeX" xmlns:r="http://schemas.openxmlformats.org/officeDocument/2006/relationships" ax:classid="{5512D116-5CC6-11CF-8D67-00AA00BDCE1D}" r:id="rId1" ax:persistence="persistStorage"/>
</file>

<file path=word/activeX/activeX16.xml><?xml version="1.0" encoding="utf-8"?>
<ax:ocx xmlns:ax="http://schemas.microsoft.com/office/2006/activeX" xmlns:r="http://schemas.openxmlformats.org/officeDocument/2006/relationships" ax:classid="{5512D116-5CC6-11CF-8D67-00AA00BDCE1D}" r:id="rId1" ax:persistence="persistStorage"/>
</file>

<file path=word/activeX/activeX17.xml><?xml version="1.0" encoding="utf-8"?>
<ax:ocx xmlns:ax="http://schemas.microsoft.com/office/2006/activeX" xmlns:r="http://schemas.openxmlformats.org/officeDocument/2006/relationships" ax:classid="{5512D116-5CC6-11CF-8D67-00AA00BDCE1D}" r:id="rId1" ax:persistence="persistStorage"/>
</file>

<file path=word/activeX/activeX18.xml><?xml version="1.0" encoding="utf-8"?>
<ax:ocx xmlns:ax="http://schemas.microsoft.com/office/2006/activeX" xmlns:r="http://schemas.openxmlformats.org/officeDocument/2006/relationships" ax:classid="{5512D116-5CC6-11CF-8D67-00AA00BDCE1D}" r:id="rId1" ax:persistence="persistStorage"/>
</file>

<file path=word/activeX/activeX19.xml><?xml version="1.0" encoding="utf-8"?>
<ax:ocx xmlns:ax="http://schemas.microsoft.com/office/2006/activeX" xmlns:r="http://schemas.openxmlformats.org/officeDocument/2006/relationships" ax:classid="{5512D116-5CC6-11CF-8D67-00AA00BDCE1D}" r:id="rId1" ax:persistence="persistStorage"/>
</file>

<file path=word/activeX/activeX20.xml><?xml version="1.0" encoding="utf-8"?>
<ax:ocx xmlns:ax="http://schemas.microsoft.com/office/2006/activeX" xmlns:r="http://schemas.openxmlformats.org/officeDocument/2006/relationships" ax:classid="{5512D116-5CC6-11CF-8D67-00AA00BDCE1D}" r:id="rId1" ax:persistence="persistStorage"/>
</file>

<file path=word/activeX/activeX21.xml><?xml version="1.0" encoding="utf-8"?>
<ax:ocx xmlns:ax="http://schemas.microsoft.com/office/2006/activeX" xmlns:r="http://schemas.openxmlformats.org/officeDocument/2006/relationships" ax:classid="{5512D116-5CC6-11CF-8D67-00AA00BDCE1D}" r:id="rId1" ax:persistence="persistStorage"/>
</file>

<file path=word/activeX/activeX22.xml><?xml version="1.0" encoding="utf-8"?>
<ax:ocx xmlns:ax="http://schemas.microsoft.com/office/2006/activeX" xmlns:r="http://schemas.openxmlformats.org/officeDocument/2006/relationships" ax:classid="{5512D116-5CC6-11CF-8D67-00AA00BDCE1D}" r:id="rId1" ax:persistence="persistStorage"/>
</file>

<file path=word/activeX/activeX23.xml><?xml version="1.0" encoding="utf-8"?>
<ax:ocx xmlns:ax="http://schemas.microsoft.com/office/2006/activeX" xmlns:r="http://schemas.openxmlformats.org/officeDocument/2006/relationships" ax:classid="{5512D116-5CC6-11CF-8D67-00AA00BDCE1D}" r:id="rId1" ax:persistence="persistStorage"/>
</file>

<file path=word/activeX/activeX24.xml><?xml version="1.0" encoding="utf-8"?>
<ax:ocx xmlns:ax="http://schemas.microsoft.com/office/2006/activeX" xmlns:r="http://schemas.openxmlformats.org/officeDocument/2006/relationships" ax:classid="{5512D116-5CC6-11CF-8D67-00AA00BDCE1D}" r:id="rId1" ax:persistence="persistStorage"/>
</file>

<file path=word/activeX/activeX25.xml><?xml version="1.0" encoding="utf-8"?>
<ax:ocx xmlns:ax="http://schemas.microsoft.com/office/2006/activeX" xmlns:r="http://schemas.openxmlformats.org/officeDocument/2006/relationships" ax:classid="{5512D116-5CC6-11CF-8D67-00AA00BDCE1D}" r:id="rId1" ax:persistence="persistStorage"/>
</file>

<file path=word/activeX/activeX26.xml><?xml version="1.0" encoding="utf-8"?>
<ax:ocx xmlns:ax="http://schemas.microsoft.com/office/2006/activeX" xmlns:r="http://schemas.openxmlformats.org/officeDocument/2006/relationships" ax:classid="{5512D116-5CC6-11CF-8D67-00AA00BDCE1D}" r:id="rId1" ax:persistence="persistStorage"/>
</file>

<file path=word/activeX/activeX27.xml><?xml version="1.0" encoding="utf-8"?>
<ax:ocx xmlns:ax="http://schemas.microsoft.com/office/2006/activeX" xmlns:r="http://schemas.openxmlformats.org/officeDocument/2006/relationships" ax:classid="{5512D116-5CC6-11CF-8D67-00AA00BDCE1D}" r:id="rId1" ax:persistence="persistStorage"/>
</file>

<file path=word/activeX/activeX28.xml><?xml version="1.0" encoding="utf-8"?>
<ax:ocx xmlns:ax="http://schemas.microsoft.com/office/2006/activeX" xmlns:r="http://schemas.openxmlformats.org/officeDocument/2006/relationships" ax:classid="{5512D116-5CC6-11CF-8D67-00AA00BDCE1D}" r:id="rId1" ax:persistence="persistStorage"/>
</file>

<file path=word/activeX/activeX29.xml><?xml version="1.0" encoding="utf-8"?>
<ax:ocx xmlns:ax="http://schemas.microsoft.com/office/2006/activeX" xmlns:r="http://schemas.openxmlformats.org/officeDocument/2006/relationships" ax:classid="{5512D116-5CC6-11CF-8D67-00AA00BDCE1D}" r:id="rId1" ax:persistence="persistStorage"/>
</file>

<file path=word/activeX/activeX30.xml><?xml version="1.0" encoding="utf-8"?>
<ax:ocx xmlns:ax="http://schemas.microsoft.com/office/2006/activeX" xmlns:r="http://schemas.openxmlformats.org/officeDocument/2006/relationships" ax:classid="{5512D116-5CC6-11CF-8D67-00AA00BDCE1D}" r:id="rId1" ax:persistence="persistStorage"/>
</file>

<file path=word/activeX/activeX31.xml><?xml version="1.0" encoding="utf-8"?>
<ax:ocx xmlns:ax="http://schemas.microsoft.com/office/2006/activeX" xmlns:r="http://schemas.openxmlformats.org/officeDocument/2006/relationships" ax:classid="{5512D116-5CC6-11CF-8D67-00AA00BDCE1D}" r:id="rId1" ax:persistence="persistStorage"/>
</file>

<file path=word/activeX/activeX32.xml><?xml version="1.0" encoding="utf-8"?>
<ax:ocx xmlns:ax="http://schemas.microsoft.com/office/2006/activeX" xmlns:r="http://schemas.openxmlformats.org/officeDocument/2006/relationships" ax:classid="{5512D116-5CC6-11CF-8D67-00AA00BDCE1D}" r:id="rId1" ax:persistence="persistStorage"/>
</file>

<file path=word/activeX/activeX33.xml><?xml version="1.0" encoding="utf-8"?>
<ax:ocx xmlns:ax="http://schemas.microsoft.com/office/2006/activeX" xmlns:r="http://schemas.openxmlformats.org/officeDocument/2006/relationships" ax:classid="{5512D116-5CC6-11CF-8D67-00AA00BDCE1D}" r:id="rId1" ax:persistence="persistStorage"/>
</file>

<file path=word/activeX/activeX34.xml><?xml version="1.0" encoding="utf-8"?>
<ax:ocx xmlns:ax="http://schemas.microsoft.com/office/2006/activeX" xmlns:r="http://schemas.openxmlformats.org/officeDocument/2006/relationships" ax:classid="{5512D116-5CC6-11CF-8D67-00AA00BDCE1D}" r:id="rId1" ax:persistence="persistStorage"/>
</file>

<file path=word/activeX/activeX35.xml><?xml version="1.0" encoding="utf-8"?>
<ax:ocx xmlns:ax="http://schemas.microsoft.com/office/2006/activeX" xmlns:r="http://schemas.openxmlformats.org/officeDocument/2006/relationships" ax:classid="{5512D116-5CC6-11CF-8D67-00AA00BDCE1D}" r:id="rId1" ax:persistence="persistStorage"/>
</file>

<file path=word/activeX/activeX36.xml><?xml version="1.0" encoding="utf-8"?>
<ax:ocx xmlns:ax="http://schemas.microsoft.com/office/2006/activeX" xmlns:r="http://schemas.openxmlformats.org/officeDocument/2006/relationships" ax:classid="{5512D116-5CC6-11CF-8D67-00AA00BDCE1D}" r:id="rId1" ax:persistence="persistStorage"/>
</file>

<file path=word/activeX/activeX37.xml><?xml version="1.0" encoding="utf-8"?>
<ax:ocx xmlns:ax="http://schemas.microsoft.com/office/2006/activeX" xmlns:r="http://schemas.openxmlformats.org/officeDocument/2006/relationships" ax:classid="{5512D116-5CC6-11CF-8D67-00AA00BDCE1D}" r:id="rId1" ax:persistence="persistStorage"/>
</file>

<file path=word/activeX/activeX38.xml><?xml version="1.0" encoding="utf-8"?>
<ax:ocx xmlns:ax="http://schemas.microsoft.com/office/2006/activeX" xmlns:r="http://schemas.openxmlformats.org/officeDocument/2006/relationships" ax:classid="{5512D116-5CC6-11CF-8D67-00AA00BDCE1D}" r:id="rId1" ax:persistence="persistStorage"/>
</file>

<file path=word/activeX/activeX39.xml><?xml version="1.0" encoding="utf-8"?>
<ax:ocx xmlns:ax="http://schemas.microsoft.com/office/2006/activeX" xmlns:r="http://schemas.openxmlformats.org/officeDocument/2006/relationships" ax:classid="{5512D116-5CC6-11CF-8D67-00AA00BDCE1D}" r:id="rId1" ax:persistence="persistStorage"/>
</file>

<file path=word/activeX/activeX40.xml><?xml version="1.0" encoding="utf-8"?>
<ax:ocx xmlns:ax="http://schemas.microsoft.com/office/2006/activeX" xmlns:r="http://schemas.openxmlformats.org/officeDocument/2006/relationships" ax:classid="{5512D116-5CC6-11CF-8D67-00AA00BDCE1D}" r:id="rId1" ax:persistence="persistStorage"/>
</file>

<file path=word/activeX/activeX41.xml><?xml version="1.0" encoding="utf-8"?>
<ax:ocx xmlns:ax="http://schemas.microsoft.com/office/2006/activeX" xmlns:r="http://schemas.openxmlformats.org/officeDocument/2006/relationships" ax:classid="{5512D116-5CC6-11CF-8D67-00AA00BDCE1D}" r:id="rId1" ax:persistence="persistStorage"/>
</file>

<file path=word/activeX/activeX42.xml><?xml version="1.0" encoding="utf-8"?>
<ax:ocx xmlns:ax="http://schemas.microsoft.com/office/2006/activeX" xmlns:r="http://schemas.openxmlformats.org/officeDocument/2006/relationships" ax:classid="{5512D116-5CC6-11CF-8D67-00AA00BDCE1D}" r:id="rId1" ax:persistence="persistStorage"/>
</file>

<file path=word/activeX/activeX43.xml><?xml version="1.0" encoding="utf-8"?>
<ax:ocx xmlns:ax="http://schemas.microsoft.com/office/2006/activeX" xmlns:r="http://schemas.openxmlformats.org/officeDocument/2006/relationships" ax:classid="{5512D116-5CC6-11CF-8D67-00AA00BDCE1D}" r:id="rId1" ax:persistence="persistStorage"/>
</file>

<file path=word/activeX/activeX44.xml><?xml version="1.0" encoding="utf-8"?>
<ax:ocx xmlns:ax="http://schemas.microsoft.com/office/2006/activeX" xmlns:r="http://schemas.openxmlformats.org/officeDocument/2006/relationships" ax:classid="{5512D116-5CC6-11CF-8D67-00AA00BDCE1D}" r:id="rId1" ax:persistence="persistStorage"/>
</file>

<file path=word/activeX/activeX45.xml><?xml version="1.0" encoding="utf-8"?>
<ax:ocx xmlns:ax="http://schemas.microsoft.com/office/2006/activeX" xmlns:r="http://schemas.openxmlformats.org/officeDocument/2006/relationships" ax:classid="{5512D116-5CC6-11CF-8D67-00AA00BDCE1D}" r:id="rId1" ax:persistence="persistStorage"/>
</file>

<file path=word/activeX/activeX46.xml><?xml version="1.0" encoding="utf-8"?>
<ax:ocx xmlns:ax="http://schemas.microsoft.com/office/2006/activeX" xmlns:r="http://schemas.openxmlformats.org/officeDocument/2006/relationships" ax:classid="{5512D116-5CC6-11CF-8D67-00AA00BDCE1D}" r:id="rId1" ax:persistence="persistStorage"/>
</file>

<file path=word/activeX/activeX47.xml><?xml version="1.0" encoding="utf-8"?>
<ax:ocx xmlns:ax="http://schemas.microsoft.com/office/2006/activeX" xmlns:r="http://schemas.openxmlformats.org/officeDocument/2006/relationships" ax:classid="{5512D116-5CC6-11CF-8D67-00AA00BDCE1D}" r:id="rId1" ax:persistence="persistStorage"/>
</file>

<file path=word/activeX/activeX48.xml><?xml version="1.0" encoding="utf-8"?>
<ax:ocx xmlns:ax="http://schemas.microsoft.com/office/2006/activeX" xmlns:r="http://schemas.openxmlformats.org/officeDocument/2006/relationships" ax:classid="{5512D116-5CC6-11CF-8D67-00AA00BDCE1D}" r:id="rId1" ax:persistence="persistStorage"/>
</file>

<file path=word/activeX/activeX49.xml><?xml version="1.0" encoding="utf-8"?>
<ax:ocx xmlns:ax="http://schemas.microsoft.com/office/2006/activeX" xmlns:r="http://schemas.openxmlformats.org/officeDocument/2006/relationships" ax:classid="{5512D116-5CC6-11CF-8D67-00AA00BDCE1D}" r:id="rId1" ax:persistence="persistStorage"/>
</file>

<file path=word/activeX/activeX50.xml><?xml version="1.0" encoding="utf-8"?>
<ax:ocx xmlns:ax="http://schemas.microsoft.com/office/2006/activeX" xmlns:r="http://schemas.openxmlformats.org/officeDocument/2006/relationships" ax:classid="{5512D116-5CC6-11CF-8D67-00AA00BDCE1D}" r:id="rId1" ax:persistence="persistStorage"/>
</file>

<file path=word/activeX/activeX51.xml><?xml version="1.0" encoding="utf-8"?>
<ax:ocx xmlns:ax="http://schemas.microsoft.com/office/2006/activeX" xmlns:r="http://schemas.openxmlformats.org/officeDocument/2006/relationships" ax:classid="{5512D116-5CC6-11CF-8D67-00AA00BDCE1D}" r:id="rId1" ax:persistence="persistStorage"/>
</file>

<file path=word/activeX/activeX52.xml><?xml version="1.0" encoding="utf-8"?>
<ax:ocx xmlns:ax="http://schemas.microsoft.com/office/2006/activeX" xmlns:r="http://schemas.openxmlformats.org/officeDocument/2006/relationships" ax:classid="{5512D116-5CC6-11CF-8D67-00AA00BDCE1D}" r:id="rId1" ax:persistence="persistStorage"/>
</file>

<file path=word/activeX/activeX53.xml><?xml version="1.0" encoding="utf-8"?>
<ax:ocx xmlns:ax="http://schemas.microsoft.com/office/2006/activeX" xmlns:r="http://schemas.openxmlformats.org/officeDocument/2006/relationships" ax:classid="{5512D116-5CC6-11CF-8D67-00AA00BDCE1D}" r:id="rId1" ax:persistence="persistStorage"/>
</file>

<file path=word/activeX/activeX54.xml><?xml version="1.0" encoding="utf-8"?>
<ax:ocx xmlns:ax="http://schemas.microsoft.com/office/2006/activeX" xmlns:r="http://schemas.openxmlformats.org/officeDocument/2006/relationships" ax:classid="{5512D116-5CC6-11CF-8D67-00AA00BDCE1D}" r:id="rId1" ax:persistence="persistStorage"/>
</file>

<file path=word/activeX/activeX55.xml><?xml version="1.0" encoding="utf-8"?>
<ax:ocx xmlns:ax="http://schemas.microsoft.com/office/2006/activeX" xmlns:r="http://schemas.openxmlformats.org/officeDocument/2006/relationships" ax:classid="{5512D116-5CC6-11CF-8D67-00AA00BDCE1D}" r:id="rId1" ax:persistence="persistStorage"/>
</file>

<file path=word/activeX/activeX56.xml><?xml version="1.0" encoding="utf-8"?>
<ax:ocx xmlns:ax="http://schemas.microsoft.com/office/2006/activeX" xmlns:r="http://schemas.openxmlformats.org/officeDocument/2006/relationships" ax:classid="{5512D116-5CC6-11CF-8D67-00AA00BDCE1D}" r:id="rId1" ax:persistence="persistStorage"/>
</file>

<file path=word/activeX/activeX57.xml><?xml version="1.0" encoding="utf-8"?>
<ax:ocx xmlns:ax="http://schemas.microsoft.com/office/2006/activeX" xmlns:r="http://schemas.openxmlformats.org/officeDocument/2006/relationships" ax:classid="{5512D116-5CC6-11CF-8D67-00AA00BDCE1D}" r:id="rId1" ax:persistence="persistStorage"/>
</file>

<file path=word/activeX/activeX58.xml><?xml version="1.0" encoding="utf-8"?>
<ax:ocx xmlns:ax="http://schemas.microsoft.com/office/2006/activeX" xmlns:r="http://schemas.openxmlformats.org/officeDocument/2006/relationships" ax:classid="{5512D116-5CC6-11CF-8D67-00AA00BDCE1D}" r:id="rId1" ax:persistence="persistStorage"/>
</file>

<file path=word/activeX/activeX59.xml><?xml version="1.0" encoding="utf-8"?>
<ax:ocx xmlns:ax="http://schemas.microsoft.com/office/2006/activeX" xmlns:r="http://schemas.openxmlformats.org/officeDocument/2006/relationships" ax:classid="{5512D116-5CC6-11CF-8D67-00AA00BDCE1D}" r:id="rId1" ax:persistence="persistStorage"/>
</file>

<file path=word/activeX/activeX60.xml><?xml version="1.0" encoding="utf-8"?>
<ax:ocx xmlns:ax="http://schemas.microsoft.com/office/2006/activeX" xmlns:r="http://schemas.openxmlformats.org/officeDocument/2006/relationships" ax:classid="{5512D116-5CC6-11CF-8D67-00AA00BDCE1D}" r:id="rId1" ax:persistence="persistStorage"/>
</file>

<file path=word/activeX/activeX61.xml><?xml version="1.0" encoding="utf-8"?>
<ax:ocx xmlns:ax="http://schemas.microsoft.com/office/2006/activeX" xmlns:r="http://schemas.openxmlformats.org/officeDocument/2006/relationships" ax:classid="{5512D116-5CC6-11CF-8D67-00AA00BDCE1D}" r:id="rId1" ax:persistence="persistStorage"/>
</file>

<file path=word/activeX/activeX62.xml><?xml version="1.0" encoding="utf-8"?>
<ax:ocx xmlns:ax="http://schemas.microsoft.com/office/2006/activeX" xmlns:r="http://schemas.openxmlformats.org/officeDocument/2006/relationships" ax:classid="{5512D116-5CC6-11CF-8D67-00AA00BDCE1D}" r:id="rId1" ax:persistence="persistStorage"/>
</file>

<file path=word/activeX/activeX63.xml><?xml version="1.0" encoding="utf-8"?>
<ax:ocx xmlns:ax="http://schemas.microsoft.com/office/2006/activeX" xmlns:r="http://schemas.openxmlformats.org/officeDocument/2006/relationships" ax:classid="{5512D116-5CC6-11CF-8D67-00AA00BDCE1D}" r:id="rId1" ax:persistence="persistStorag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B6F76B-F9B3-4108-9297-DE6349D8AB11}">
  <ds:schemaRefs/>
</ds:datastoreItem>
</file>

<file path=docProps/app.xml><?xml version="1.0" encoding="utf-8"?>
<Properties xmlns="http://schemas.openxmlformats.org/officeDocument/2006/extended-properties" xmlns:vt="http://schemas.openxmlformats.org/officeDocument/2006/docPropsVTypes">
  <Template>Normal</Template>
  <Pages>76</Pages>
  <Words>23912</Words>
  <Characters>136305</Characters>
  <Lines>1135</Lines>
  <Paragraphs>319</Paragraphs>
  <TotalTime>3</TotalTime>
  <ScaleCrop>false</ScaleCrop>
  <LinksUpToDate>false</LinksUpToDate>
  <CharactersWithSpaces>159898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2025-08-02T21:29:00Z</dcterms:created>
  <dc:creator>user</dc:creator>
  <cp:lastModifiedBy>BOSONGOKISII TV</cp:lastModifiedBy>
  <dcterms:modified xsi:type="dcterms:W3CDTF">2025-12-08T15:30:42Z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150A8F3D622F43C49306A51062355B6E_12</vt:lpwstr>
  </property>
</Properties>
</file>