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4B7DF">
      <w:pPr>
        <w:jc w:val="center"/>
        <w:rPr>
          <w:rFonts w:asciiTheme="majorBidi" w:hAnsiTheme="majorBidi" w:cstheme="majorBidi"/>
          <w:b/>
          <w:bCs/>
          <w:sz w:val="24"/>
          <w:szCs w:val="24"/>
        </w:rPr>
      </w:pPr>
      <w:r>
        <w:rPr>
          <w:rFonts w:asciiTheme="majorBidi" w:hAnsiTheme="majorBidi" w:cstheme="majorBidi"/>
          <w:b/>
          <w:bCs/>
          <w:sz w:val="24"/>
          <w:szCs w:val="24"/>
        </w:rPr>
        <w:t>DETERMINANTS OF ACADEMIC INTEGRITY AND EXAMINATION MALPRACTICES IN SECONDARY SCHOOLS IN GARISSA TOWNSHIP SUB- COUNTY, KENYA</w:t>
      </w:r>
    </w:p>
    <w:p w14:paraId="7A0EC5EB">
      <w:pPr>
        <w:pStyle w:val="33"/>
        <w:rPr>
          <w:rFonts w:asciiTheme="majorBidi" w:hAnsiTheme="majorBidi" w:cstheme="majorBidi"/>
          <w:sz w:val="24"/>
          <w:szCs w:val="24"/>
        </w:rPr>
      </w:pPr>
      <w:r>
        <w:rPr>
          <w:rFonts w:asciiTheme="majorBidi" w:hAnsiTheme="majorBidi" w:cstheme="majorBidi"/>
          <w:sz w:val="24"/>
          <w:szCs w:val="24"/>
        </w:rPr>
        <w:t>Top of Form</w:t>
      </w:r>
    </w:p>
    <w:p w14:paraId="23CBB565">
      <w:pPr>
        <w:pStyle w:val="35"/>
        <w:rPr>
          <w:rFonts w:asciiTheme="majorBidi" w:hAnsiTheme="majorBidi" w:cstheme="majorBidi"/>
          <w:sz w:val="24"/>
          <w:szCs w:val="24"/>
        </w:rPr>
      </w:pPr>
      <w:r>
        <w:rPr>
          <w:rFonts w:asciiTheme="majorBidi" w:hAnsiTheme="majorBidi" w:cstheme="majorBidi"/>
          <w:sz w:val="24"/>
          <w:szCs w:val="24"/>
        </w:rPr>
        <w:t>Bottom of Form</w:t>
      </w:r>
    </w:p>
    <w:p w14:paraId="58FAA241">
      <w:pPr>
        <w:pStyle w:val="33"/>
        <w:rPr>
          <w:rFonts w:asciiTheme="majorBidi" w:hAnsiTheme="majorBidi" w:cstheme="majorBidi"/>
          <w:sz w:val="24"/>
          <w:szCs w:val="24"/>
        </w:rPr>
      </w:pPr>
      <w:r>
        <w:rPr>
          <w:rFonts w:asciiTheme="majorBidi" w:hAnsiTheme="majorBidi" w:cstheme="majorBidi"/>
          <w:sz w:val="24"/>
          <w:szCs w:val="24"/>
        </w:rPr>
        <w:t>Top of Form</w:t>
      </w:r>
    </w:p>
    <w:p w14:paraId="5DBB2573">
      <w:pPr>
        <w:spacing w:after="0" w:line="360" w:lineRule="auto"/>
        <w:jc w:val="center"/>
        <w:rPr>
          <w:rFonts w:asciiTheme="majorBidi" w:hAnsiTheme="majorBidi" w:cstheme="majorBidi"/>
          <w:b/>
          <w:bCs/>
          <w:sz w:val="24"/>
          <w:szCs w:val="24"/>
        </w:rPr>
      </w:pPr>
    </w:p>
    <w:p w14:paraId="6F988869">
      <w:pPr>
        <w:spacing w:after="0" w:line="360" w:lineRule="auto"/>
        <w:jc w:val="center"/>
        <w:rPr>
          <w:rFonts w:asciiTheme="majorBidi" w:hAnsiTheme="majorBidi" w:cstheme="majorBidi"/>
          <w:b/>
          <w:bCs/>
          <w:sz w:val="24"/>
          <w:szCs w:val="24"/>
        </w:rPr>
      </w:pPr>
    </w:p>
    <w:p w14:paraId="49B629F7">
      <w:pPr>
        <w:spacing w:after="0" w:line="360" w:lineRule="auto"/>
        <w:jc w:val="center"/>
        <w:rPr>
          <w:rFonts w:asciiTheme="majorBidi" w:hAnsiTheme="majorBidi" w:cstheme="majorBidi"/>
          <w:b/>
          <w:bCs/>
          <w:sz w:val="24"/>
          <w:szCs w:val="24"/>
        </w:rPr>
      </w:pPr>
    </w:p>
    <w:p w14:paraId="63F069E4">
      <w:pPr>
        <w:spacing w:after="0" w:line="360" w:lineRule="auto"/>
        <w:jc w:val="center"/>
        <w:rPr>
          <w:rFonts w:asciiTheme="majorBidi" w:hAnsiTheme="majorBidi" w:cstheme="majorBidi"/>
          <w:b/>
          <w:bCs/>
          <w:sz w:val="24"/>
          <w:szCs w:val="24"/>
        </w:rPr>
      </w:pPr>
    </w:p>
    <w:p w14:paraId="6C74D274">
      <w:pPr>
        <w:spacing w:after="0" w:line="360" w:lineRule="auto"/>
        <w:jc w:val="center"/>
        <w:rPr>
          <w:rFonts w:asciiTheme="majorBidi" w:hAnsiTheme="majorBidi" w:cstheme="majorBidi"/>
          <w:b/>
          <w:bCs/>
          <w:sz w:val="24"/>
          <w:szCs w:val="24"/>
        </w:rPr>
      </w:pPr>
    </w:p>
    <w:p w14:paraId="58BA914B">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FULL NAME TO BE WRITTEN HERE</w:t>
      </w:r>
    </w:p>
    <w:p w14:paraId="0864CC7B">
      <w:pPr>
        <w:spacing w:after="0" w:line="360" w:lineRule="auto"/>
        <w:jc w:val="center"/>
        <w:rPr>
          <w:rFonts w:asciiTheme="majorBidi" w:hAnsiTheme="majorBidi" w:cstheme="majorBidi"/>
          <w:b/>
          <w:bCs/>
          <w:sz w:val="24"/>
          <w:szCs w:val="24"/>
        </w:rPr>
      </w:pPr>
    </w:p>
    <w:p w14:paraId="099B77FD">
      <w:pPr>
        <w:spacing w:after="0" w:line="360" w:lineRule="auto"/>
        <w:jc w:val="both"/>
        <w:rPr>
          <w:rFonts w:asciiTheme="majorBidi" w:hAnsiTheme="majorBidi" w:cstheme="majorBidi"/>
          <w:b/>
          <w:bCs/>
          <w:sz w:val="24"/>
          <w:szCs w:val="24"/>
        </w:rPr>
      </w:pPr>
    </w:p>
    <w:p w14:paraId="2C56EAE5">
      <w:pPr>
        <w:spacing w:after="0" w:line="360" w:lineRule="auto"/>
        <w:jc w:val="both"/>
        <w:rPr>
          <w:rFonts w:asciiTheme="majorBidi" w:hAnsiTheme="majorBidi" w:cstheme="majorBidi"/>
          <w:b/>
          <w:bCs/>
          <w:sz w:val="24"/>
          <w:szCs w:val="24"/>
        </w:rPr>
      </w:pPr>
    </w:p>
    <w:p w14:paraId="1D7E1FB2">
      <w:pPr>
        <w:spacing w:after="0" w:line="360" w:lineRule="auto"/>
        <w:jc w:val="both"/>
        <w:rPr>
          <w:rFonts w:asciiTheme="majorBidi" w:hAnsiTheme="majorBidi" w:cstheme="majorBidi"/>
          <w:b/>
          <w:bCs/>
          <w:sz w:val="24"/>
          <w:szCs w:val="24"/>
        </w:rPr>
      </w:pPr>
    </w:p>
    <w:p w14:paraId="0A92B49A">
      <w:pPr>
        <w:spacing w:after="0" w:line="360" w:lineRule="auto"/>
        <w:jc w:val="both"/>
        <w:rPr>
          <w:rFonts w:asciiTheme="majorBidi" w:hAnsiTheme="majorBidi" w:cstheme="majorBidi"/>
          <w:b/>
          <w:bCs/>
          <w:sz w:val="24"/>
          <w:szCs w:val="24"/>
        </w:rPr>
      </w:pPr>
    </w:p>
    <w:p w14:paraId="39272F9E">
      <w:pPr>
        <w:spacing w:after="0" w:line="360" w:lineRule="auto"/>
        <w:jc w:val="both"/>
        <w:rPr>
          <w:rFonts w:asciiTheme="majorBidi" w:hAnsiTheme="majorBidi" w:cstheme="majorBidi"/>
          <w:b/>
          <w:bCs/>
          <w:sz w:val="24"/>
          <w:szCs w:val="24"/>
        </w:rPr>
      </w:pPr>
    </w:p>
    <w:p w14:paraId="2F5A98A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A THESIS SUBMITTED IN PARTIAL FULFILLMENT OF THE REQUIREMENTS FOR THE AWARD OF DEGREE OF MASTER OF EDUCATION IN EDUCATIONAL ADMINISTRATION IN THE SCHOOL OF EDUCATION, ARTS AND SOCIAL SCIENCES</w:t>
      </w:r>
    </w:p>
    <w:p w14:paraId="7640D94D">
      <w:pPr>
        <w:spacing w:after="0" w:line="360" w:lineRule="auto"/>
        <w:jc w:val="center"/>
        <w:rPr>
          <w:rFonts w:asciiTheme="majorBidi" w:hAnsiTheme="majorBidi" w:cstheme="majorBidi"/>
          <w:b/>
          <w:bCs/>
          <w:sz w:val="24"/>
          <w:szCs w:val="24"/>
        </w:rPr>
      </w:pPr>
    </w:p>
    <w:p w14:paraId="37C4313B">
      <w:pPr>
        <w:spacing w:after="0" w:line="360" w:lineRule="auto"/>
        <w:jc w:val="center"/>
        <w:rPr>
          <w:rFonts w:asciiTheme="majorBidi" w:hAnsiTheme="majorBidi" w:cstheme="majorBidi"/>
          <w:b/>
          <w:bCs/>
          <w:sz w:val="24"/>
          <w:szCs w:val="24"/>
        </w:rPr>
      </w:pPr>
    </w:p>
    <w:p w14:paraId="58F7C64D">
      <w:pPr>
        <w:spacing w:after="0" w:line="360" w:lineRule="auto"/>
        <w:jc w:val="center"/>
        <w:rPr>
          <w:rFonts w:asciiTheme="majorBidi" w:hAnsiTheme="majorBidi" w:cstheme="majorBidi"/>
          <w:b/>
          <w:bCs/>
          <w:sz w:val="24"/>
          <w:szCs w:val="24"/>
        </w:rPr>
      </w:pPr>
    </w:p>
    <w:p w14:paraId="419F8A8C">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GARISSA UNIVERSITY</w:t>
      </w:r>
    </w:p>
    <w:p w14:paraId="20930011">
      <w:pPr>
        <w:spacing w:after="0" w:line="360" w:lineRule="auto"/>
        <w:jc w:val="both"/>
        <w:rPr>
          <w:rFonts w:asciiTheme="majorBidi" w:hAnsiTheme="majorBidi" w:cstheme="majorBidi"/>
          <w:b/>
          <w:bCs/>
          <w:sz w:val="24"/>
          <w:szCs w:val="24"/>
        </w:rPr>
      </w:pPr>
    </w:p>
    <w:p w14:paraId="42765289">
      <w:pPr>
        <w:spacing w:after="0" w:line="360" w:lineRule="auto"/>
        <w:jc w:val="both"/>
        <w:rPr>
          <w:rFonts w:asciiTheme="majorBidi" w:hAnsiTheme="majorBidi" w:cstheme="majorBidi"/>
          <w:b/>
          <w:bCs/>
          <w:sz w:val="24"/>
          <w:szCs w:val="24"/>
        </w:rPr>
      </w:pPr>
    </w:p>
    <w:p w14:paraId="50491AC0">
      <w:pPr>
        <w:spacing w:after="0" w:line="360" w:lineRule="auto"/>
        <w:jc w:val="both"/>
        <w:rPr>
          <w:rFonts w:asciiTheme="majorBidi" w:hAnsiTheme="majorBidi" w:cstheme="majorBidi"/>
          <w:b/>
          <w:bCs/>
          <w:sz w:val="24"/>
          <w:szCs w:val="24"/>
        </w:rPr>
      </w:pPr>
    </w:p>
    <w:p w14:paraId="6D2E7806">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w:t>
      </w:r>
    </w:p>
    <w:p w14:paraId="150A97DF">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APRIL, 2025</w:t>
      </w:r>
    </w:p>
    <w:p w14:paraId="0AEC355C">
      <w:pPr>
        <w:spacing w:after="0" w:line="360" w:lineRule="auto"/>
        <w:jc w:val="center"/>
        <w:rPr>
          <w:rFonts w:asciiTheme="majorBidi" w:hAnsiTheme="majorBidi" w:cstheme="majorBidi"/>
          <w:b/>
          <w:bCs/>
          <w:sz w:val="24"/>
          <w:szCs w:val="24"/>
        </w:rPr>
      </w:pPr>
    </w:p>
    <w:p w14:paraId="03FC2F88">
      <w:pPr>
        <w:spacing w:after="0" w:line="360" w:lineRule="auto"/>
        <w:rPr>
          <w:rFonts w:asciiTheme="majorBidi" w:hAnsiTheme="majorBidi" w:cstheme="majorBidi"/>
          <w:b/>
          <w:bCs/>
          <w:sz w:val="24"/>
          <w:szCs w:val="24"/>
        </w:rPr>
      </w:pPr>
    </w:p>
    <w:p w14:paraId="2ABF6309">
      <w:pPr>
        <w:spacing w:after="0" w:line="360" w:lineRule="auto"/>
        <w:jc w:val="center"/>
        <w:rPr>
          <w:rFonts w:asciiTheme="majorBidi" w:hAnsiTheme="majorBidi" w:cstheme="majorBidi"/>
          <w:b/>
          <w:bCs/>
          <w:sz w:val="24"/>
          <w:szCs w:val="24"/>
        </w:rPr>
        <w:sectPr>
          <w:footerReference r:id="rId5" w:type="default"/>
          <w:pgSz w:w="12240" w:h="15840"/>
          <w:pgMar w:top="1440" w:right="1800" w:bottom="1440" w:left="1800" w:header="720" w:footer="450" w:gutter="0"/>
          <w:pgNumType w:fmt="lowerRoman" w:start="1"/>
          <w:cols w:space="720" w:num="1"/>
          <w:titlePg/>
          <w:docGrid w:linePitch="360" w:charSpace="0"/>
        </w:sectPr>
      </w:pPr>
    </w:p>
    <w:p w14:paraId="0B4716A1">
      <w:pPr>
        <w:pStyle w:val="2"/>
        <w:spacing w:before="0" w:after="240"/>
        <w:rPr>
          <w:rFonts w:asciiTheme="majorBidi" w:hAnsiTheme="majorBidi"/>
          <w:color w:val="auto"/>
          <w:sz w:val="24"/>
          <w:szCs w:val="24"/>
        </w:rPr>
      </w:pPr>
      <w:bookmarkStart w:id="0" w:name="_Toc157271655"/>
      <w:bookmarkStart w:id="1" w:name="_Toc194822572"/>
      <w:r>
        <w:rPr>
          <w:rFonts w:asciiTheme="majorBidi" w:hAnsiTheme="majorBidi"/>
          <w:color w:val="auto"/>
          <w:sz w:val="24"/>
          <w:szCs w:val="24"/>
        </w:rPr>
        <w:t>DECLARATION</w:t>
      </w:r>
      <w:bookmarkEnd w:id="0"/>
      <w:bookmarkEnd w:id="1"/>
    </w:p>
    <w:p w14:paraId="413BE778">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Declaration by the Candidate</w:t>
      </w:r>
    </w:p>
    <w:p w14:paraId="322BBD49">
      <w:pPr>
        <w:spacing w:after="0" w:line="480" w:lineRule="auto"/>
        <w:jc w:val="both"/>
        <w:rPr>
          <w:rFonts w:asciiTheme="majorBidi" w:hAnsiTheme="majorBidi" w:cstheme="majorBidi"/>
          <w:sz w:val="24"/>
          <w:szCs w:val="24"/>
        </w:rPr>
      </w:pPr>
      <w:r>
        <w:rPr>
          <w:rFonts w:asciiTheme="majorBidi" w:hAnsiTheme="majorBidi" w:cstheme="majorBidi"/>
          <w:sz w:val="24"/>
          <w:szCs w:val="24"/>
        </w:rPr>
        <w:t>This research project is my original work and has not been presented for a degree in any other University or for any other award. No part of this work can be reproduced without prior permission of the author or Garissa University.</w:t>
      </w:r>
    </w:p>
    <w:p w14:paraId="5309796D">
      <w:pPr>
        <w:spacing w:after="0" w:line="480" w:lineRule="auto"/>
        <w:jc w:val="both"/>
        <w:rPr>
          <w:rFonts w:asciiTheme="majorBidi" w:hAnsiTheme="majorBidi" w:cstheme="majorBidi"/>
          <w:sz w:val="24"/>
          <w:szCs w:val="24"/>
        </w:rPr>
      </w:pPr>
    </w:p>
    <w:p w14:paraId="2D84379F">
      <w:pPr>
        <w:spacing w:after="0" w:line="360" w:lineRule="auto"/>
        <w:jc w:val="both"/>
        <w:rPr>
          <w:rFonts w:asciiTheme="majorBidi" w:hAnsiTheme="majorBidi" w:cstheme="majorBidi"/>
          <w:sz w:val="24"/>
          <w:szCs w:val="24"/>
        </w:rPr>
      </w:pPr>
      <w:r>
        <w:rPr>
          <w:rFonts w:asciiTheme="majorBidi" w:hAnsiTheme="majorBidi" w:cstheme="majorBidi"/>
          <w:sz w:val="24"/>
          <w:szCs w:val="24"/>
        </w:rPr>
        <w:t>Sign: _________________________</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Date: _____________________</w:t>
      </w:r>
    </w:p>
    <w:p w14:paraId="44568D41">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Full name written here</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           </w:t>
      </w:r>
    </w:p>
    <w:p w14:paraId="4775BCD2">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REG NO. </w:t>
      </w:r>
    </w:p>
    <w:p w14:paraId="0AD9A5B3">
      <w:pPr>
        <w:spacing w:after="0" w:line="480" w:lineRule="auto"/>
        <w:jc w:val="both"/>
        <w:rPr>
          <w:rFonts w:asciiTheme="majorBidi" w:hAnsiTheme="majorBidi" w:cstheme="majorBidi"/>
          <w:b/>
          <w:bCs/>
          <w:sz w:val="24"/>
          <w:szCs w:val="24"/>
        </w:rPr>
      </w:pPr>
    </w:p>
    <w:p w14:paraId="5AB67C99">
      <w:pPr>
        <w:spacing w:after="0" w:line="480" w:lineRule="auto"/>
        <w:jc w:val="both"/>
        <w:rPr>
          <w:rFonts w:asciiTheme="majorBidi" w:hAnsiTheme="majorBidi" w:cstheme="majorBidi"/>
          <w:b/>
          <w:bCs/>
          <w:sz w:val="24"/>
          <w:szCs w:val="24"/>
        </w:rPr>
      </w:pPr>
    </w:p>
    <w:p w14:paraId="25D6D8BE">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Approval by the Supervisors</w:t>
      </w:r>
    </w:p>
    <w:p w14:paraId="3E45BEB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This project has been submitted for examination with approval as the university supervisors </w:t>
      </w:r>
    </w:p>
    <w:p w14:paraId="14B2A6E9">
      <w:pPr>
        <w:spacing w:after="0" w:line="480" w:lineRule="auto"/>
        <w:jc w:val="both"/>
        <w:rPr>
          <w:rFonts w:asciiTheme="majorBidi" w:hAnsiTheme="majorBidi" w:cstheme="majorBidi"/>
          <w:sz w:val="24"/>
          <w:szCs w:val="24"/>
        </w:rPr>
      </w:pPr>
    </w:p>
    <w:p w14:paraId="7B2461A4">
      <w:pPr>
        <w:spacing w:after="0" w:line="360" w:lineRule="auto"/>
        <w:jc w:val="both"/>
        <w:rPr>
          <w:rFonts w:asciiTheme="majorBidi" w:hAnsiTheme="majorBidi" w:cstheme="majorBidi"/>
          <w:sz w:val="24"/>
          <w:szCs w:val="24"/>
        </w:rPr>
      </w:pPr>
      <w:r>
        <w:rPr>
          <w:rFonts w:asciiTheme="majorBidi" w:hAnsiTheme="majorBidi" w:cstheme="majorBidi"/>
          <w:sz w:val="24"/>
          <w:szCs w:val="24"/>
        </w:rPr>
        <w:t>Sign: _________________________</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Date: _____________________</w:t>
      </w:r>
    </w:p>
    <w:p w14:paraId="0DE31912">
      <w:pPr>
        <w:spacing w:after="0" w:line="480" w:lineRule="auto"/>
        <w:jc w:val="both"/>
        <w:rPr>
          <w:rFonts w:asciiTheme="majorBidi" w:hAnsiTheme="majorBidi" w:cstheme="majorBidi"/>
          <w:sz w:val="24"/>
          <w:szCs w:val="24"/>
        </w:rPr>
      </w:pPr>
      <w:r>
        <w:rPr>
          <w:rFonts w:asciiTheme="majorBidi" w:hAnsiTheme="majorBidi" w:cstheme="majorBidi"/>
          <w:sz w:val="24"/>
          <w:szCs w:val="24"/>
        </w:rPr>
        <w:t>Prof. Justus Mochama Gori</w:t>
      </w:r>
    </w:p>
    <w:p w14:paraId="5C458E58">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School of Education, Arts and Social Sciences</w:t>
      </w:r>
      <w:r>
        <w:rPr>
          <w:rFonts w:asciiTheme="majorBidi" w:hAnsiTheme="majorBidi" w:cstheme="majorBidi"/>
          <w:sz w:val="24"/>
          <w:szCs w:val="24"/>
        </w:rPr>
        <w:t xml:space="preserve"> </w:t>
      </w:r>
    </w:p>
    <w:p w14:paraId="7372B8C2">
      <w:pPr>
        <w:spacing w:after="0" w:line="480" w:lineRule="auto"/>
        <w:jc w:val="both"/>
        <w:rPr>
          <w:rFonts w:asciiTheme="majorBidi" w:hAnsiTheme="majorBidi" w:cstheme="majorBidi"/>
          <w:sz w:val="24"/>
          <w:szCs w:val="24"/>
        </w:rPr>
      </w:pPr>
      <w:r>
        <w:rPr>
          <w:rFonts w:asciiTheme="majorBidi" w:hAnsiTheme="majorBidi" w:cstheme="majorBidi"/>
          <w:sz w:val="24"/>
          <w:szCs w:val="24"/>
        </w:rPr>
        <w:t>Garissa University.</w:t>
      </w:r>
    </w:p>
    <w:p w14:paraId="1326CECF">
      <w:pPr>
        <w:spacing w:after="0" w:line="480" w:lineRule="auto"/>
        <w:jc w:val="both"/>
        <w:rPr>
          <w:rFonts w:asciiTheme="majorBidi" w:hAnsiTheme="majorBidi" w:cstheme="majorBidi"/>
          <w:sz w:val="24"/>
          <w:szCs w:val="24"/>
        </w:rPr>
      </w:pPr>
    </w:p>
    <w:p w14:paraId="3DC2C3E5">
      <w:pPr>
        <w:spacing w:after="0" w:line="360" w:lineRule="auto"/>
        <w:jc w:val="both"/>
        <w:rPr>
          <w:rFonts w:asciiTheme="majorBidi" w:hAnsiTheme="majorBidi" w:cstheme="majorBidi"/>
          <w:sz w:val="24"/>
          <w:szCs w:val="24"/>
        </w:rPr>
      </w:pPr>
      <w:r>
        <w:rPr>
          <w:rFonts w:asciiTheme="majorBidi" w:hAnsiTheme="majorBidi" w:cstheme="majorBidi"/>
          <w:sz w:val="24"/>
          <w:szCs w:val="24"/>
        </w:rPr>
        <w:t>Sign: _________________________</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Date: _____________________</w:t>
      </w:r>
    </w:p>
    <w:p w14:paraId="5A28460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Prof. Stephen Kipkorir Stephen</w:t>
      </w:r>
      <w:r>
        <w:rPr>
          <w:rFonts w:asciiTheme="majorBidi" w:hAnsiTheme="majorBidi" w:cstheme="majorBidi"/>
          <w:sz w:val="24"/>
          <w:szCs w:val="24"/>
        </w:rPr>
        <w:tab/>
      </w:r>
    </w:p>
    <w:p w14:paraId="56139F76">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School of Education, Arts and Social Sciences</w:t>
      </w:r>
      <w:r>
        <w:rPr>
          <w:rFonts w:asciiTheme="majorBidi" w:hAnsiTheme="majorBidi" w:cstheme="majorBidi"/>
          <w:sz w:val="24"/>
          <w:szCs w:val="24"/>
        </w:rPr>
        <w:t xml:space="preserve"> </w:t>
      </w:r>
    </w:p>
    <w:p w14:paraId="49D943B0">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Garissa University.</w:t>
      </w:r>
    </w:p>
    <w:p w14:paraId="2F069E44">
      <w:pPr>
        <w:pStyle w:val="2"/>
        <w:spacing w:after="240"/>
        <w:rPr>
          <w:rFonts w:asciiTheme="majorBidi" w:hAnsiTheme="majorBidi"/>
          <w:color w:val="auto"/>
          <w:sz w:val="24"/>
          <w:szCs w:val="24"/>
        </w:rPr>
      </w:pPr>
      <w:bookmarkStart w:id="2" w:name="_Toc194822573"/>
      <w:r>
        <w:rPr>
          <w:rFonts w:asciiTheme="majorBidi" w:hAnsiTheme="majorBidi"/>
          <w:color w:val="auto"/>
          <w:sz w:val="24"/>
          <w:szCs w:val="24"/>
        </w:rPr>
        <w:t>DEDICATION</w:t>
      </w:r>
      <w:bookmarkEnd w:id="2"/>
    </w:p>
    <w:p w14:paraId="2BF25CB0">
      <w:pPr>
        <w:pStyle w:val="39"/>
        <w:spacing w:line="480" w:lineRule="auto"/>
        <w:jc w:val="both"/>
        <w:rPr>
          <w:rFonts w:asciiTheme="majorBidi" w:hAnsiTheme="majorBidi" w:cstheme="majorBidi"/>
          <w:sz w:val="24"/>
          <w:szCs w:val="24"/>
        </w:rPr>
      </w:pPr>
      <w:r>
        <w:rPr>
          <w:rFonts w:asciiTheme="majorBidi" w:hAnsiTheme="majorBidi" w:cstheme="majorBidi"/>
          <w:sz w:val="24"/>
          <w:szCs w:val="24"/>
        </w:rPr>
        <w:t>This project is dedicated to my great wife write name for her patience and understanding during the writing of this research Proposal.</w:t>
      </w:r>
    </w:p>
    <w:p w14:paraId="0BDA9871">
      <w:pPr>
        <w:pStyle w:val="39"/>
        <w:spacing w:line="360" w:lineRule="auto"/>
        <w:jc w:val="both"/>
        <w:rPr>
          <w:rFonts w:asciiTheme="majorBidi" w:hAnsiTheme="majorBidi" w:cstheme="majorBidi"/>
          <w:sz w:val="24"/>
          <w:szCs w:val="24"/>
        </w:rPr>
      </w:pPr>
    </w:p>
    <w:p w14:paraId="5C16EBFC">
      <w:pPr>
        <w:pStyle w:val="39"/>
        <w:spacing w:line="360" w:lineRule="auto"/>
        <w:jc w:val="both"/>
        <w:rPr>
          <w:rFonts w:asciiTheme="majorBidi" w:hAnsiTheme="majorBidi" w:cstheme="majorBidi"/>
          <w:sz w:val="24"/>
          <w:szCs w:val="24"/>
        </w:rPr>
      </w:pPr>
    </w:p>
    <w:p w14:paraId="76680094">
      <w:pPr>
        <w:pStyle w:val="39"/>
        <w:spacing w:line="360" w:lineRule="auto"/>
        <w:jc w:val="both"/>
        <w:rPr>
          <w:rFonts w:asciiTheme="majorBidi" w:hAnsiTheme="majorBidi" w:cstheme="majorBidi"/>
          <w:sz w:val="24"/>
          <w:szCs w:val="24"/>
        </w:rPr>
      </w:pPr>
    </w:p>
    <w:p w14:paraId="0EEB2C66">
      <w:pPr>
        <w:pStyle w:val="39"/>
        <w:spacing w:line="360" w:lineRule="auto"/>
        <w:jc w:val="both"/>
        <w:rPr>
          <w:rFonts w:asciiTheme="majorBidi" w:hAnsiTheme="majorBidi" w:cstheme="majorBidi"/>
          <w:sz w:val="24"/>
          <w:szCs w:val="24"/>
        </w:rPr>
      </w:pPr>
    </w:p>
    <w:p w14:paraId="6F12F7A1">
      <w:pPr>
        <w:pStyle w:val="39"/>
        <w:spacing w:line="360" w:lineRule="auto"/>
        <w:jc w:val="both"/>
        <w:rPr>
          <w:rFonts w:asciiTheme="majorBidi" w:hAnsiTheme="majorBidi" w:cstheme="majorBidi"/>
          <w:sz w:val="24"/>
          <w:szCs w:val="24"/>
        </w:rPr>
      </w:pPr>
    </w:p>
    <w:p w14:paraId="45B2CCA1">
      <w:pPr>
        <w:pStyle w:val="39"/>
        <w:spacing w:line="360" w:lineRule="auto"/>
        <w:jc w:val="both"/>
        <w:rPr>
          <w:rFonts w:asciiTheme="majorBidi" w:hAnsiTheme="majorBidi" w:cstheme="majorBidi"/>
          <w:sz w:val="24"/>
          <w:szCs w:val="24"/>
        </w:rPr>
      </w:pPr>
    </w:p>
    <w:p w14:paraId="7761211D">
      <w:pPr>
        <w:pStyle w:val="39"/>
        <w:spacing w:line="360" w:lineRule="auto"/>
        <w:jc w:val="both"/>
        <w:rPr>
          <w:rFonts w:asciiTheme="majorBidi" w:hAnsiTheme="majorBidi" w:cstheme="majorBidi"/>
          <w:sz w:val="24"/>
          <w:szCs w:val="24"/>
        </w:rPr>
      </w:pPr>
    </w:p>
    <w:p w14:paraId="64405390">
      <w:pPr>
        <w:pStyle w:val="39"/>
        <w:spacing w:line="360" w:lineRule="auto"/>
        <w:jc w:val="both"/>
        <w:rPr>
          <w:rFonts w:asciiTheme="majorBidi" w:hAnsiTheme="majorBidi" w:cstheme="majorBidi"/>
          <w:sz w:val="24"/>
          <w:szCs w:val="24"/>
        </w:rPr>
      </w:pPr>
    </w:p>
    <w:p w14:paraId="12D2A93C">
      <w:pPr>
        <w:pStyle w:val="39"/>
        <w:spacing w:line="360" w:lineRule="auto"/>
        <w:jc w:val="both"/>
        <w:rPr>
          <w:rFonts w:asciiTheme="majorBidi" w:hAnsiTheme="majorBidi" w:cstheme="majorBidi"/>
          <w:sz w:val="24"/>
          <w:szCs w:val="24"/>
        </w:rPr>
      </w:pPr>
    </w:p>
    <w:p w14:paraId="36B3282E">
      <w:pPr>
        <w:pStyle w:val="39"/>
        <w:spacing w:line="360" w:lineRule="auto"/>
        <w:jc w:val="both"/>
        <w:rPr>
          <w:rFonts w:asciiTheme="majorBidi" w:hAnsiTheme="majorBidi" w:cstheme="majorBidi"/>
          <w:sz w:val="24"/>
          <w:szCs w:val="24"/>
        </w:rPr>
      </w:pPr>
    </w:p>
    <w:p w14:paraId="12194E32">
      <w:pPr>
        <w:pStyle w:val="39"/>
        <w:spacing w:line="360" w:lineRule="auto"/>
        <w:jc w:val="both"/>
        <w:rPr>
          <w:rFonts w:asciiTheme="majorBidi" w:hAnsiTheme="majorBidi" w:cstheme="majorBidi"/>
          <w:sz w:val="24"/>
          <w:szCs w:val="24"/>
        </w:rPr>
      </w:pPr>
    </w:p>
    <w:p w14:paraId="6FD993B3">
      <w:pPr>
        <w:pStyle w:val="39"/>
        <w:spacing w:line="360" w:lineRule="auto"/>
        <w:jc w:val="both"/>
        <w:rPr>
          <w:rFonts w:asciiTheme="majorBidi" w:hAnsiTheme="majorBidi" w:cstheme="majorBidi"/>
          <w:sz w:val="24"/>
          <w:szCs w:val="24"/>
        </w:rPr>
      </w:pPr>
    </w:p>
    <w:p w14:paraId="09043B6F">
      <w:pPr>
        <w:pStyle w:val="39"/>
        <w:spacing w:line="360" w:lineRule="auto"/>
        <w:jc w:val="both"/>
        <w:rPr>
          <w:rFonts w:asciiTheme="majorBidi" w:hAnsiTheme="majorBidi" w:cstheme="majorBidi"/>
          <w:sz w:val="24"/>
          <w:szCs w:val="24"/>
        </w:rPr>
      </w:pPr>
    </w:p>
    <w:p w14:paraId="0268B91D">
      <w:pPr>
        <w:pStyle w:val="39"/>
        <w:spacing w:line="360" w:lineRule="auto"/>
        <w:jc w:val="both"/>
        <w:rPr>
          <w:rFonts w:asciiTheme="majorBidi" w:hAnsiTheme="majorBidi" w:cstheme="majorBidi"/>
          <w:sz w:val="24"/>
          <w:szCs w:val="24"/>
        </w:rPr>
      </w:pPr>
    </w:p>
    <w:p w14:paraId="06925253">
      <w:pPr>
        <w:pStyle w:val="39"/>
        <w:spacing w:line="360" w:lineRule="auto"/>
        <w:jc w:val="both"/>
        <w:rPr>
          <w:rFonts w:asciiTheme="majorBidi" w:hAnsiTheme="majorBidi" w:cstheme="majorBidi"/>
          <w:sz w:val="24"/>
          <w:szCs w:val="24"/>
        </w:rPr>
      </w:pPr>
    </w:p>
    <w:p w14:paraId="366CE3E4">
      <w:pPr>
        <w:pStyle w:val="39"/>
        <w:spacing w:line="360" w:lineRule="auto"/>
        <w:jc w:val="both"/>
        <w:rPr>
          <w:rFonts w:asciiTheme="majorBidi" w:hAnsiTheme="majorBidi" w:cstheme="majorBidi"/>
          <w:sz w:val="24"/>
          <w:szCs w:val="24"/>
        </w:rPr>
      </w:pPr>
    </w:p>
    <w:p w14:paraId="0A6F72F8">
      <w:pPr>
        <w:pStyle w:val="39"/>
        <w:spacing w:line="360" w:lineRule="auto"/>
        <w:jc w:val="both"/>
        <w:rPr>
          <w:rFonts w:asciiTheme="majorBidi" w:hAnsiTheme="majorBidi" w:cstheme="majorBidi"/>
          <w:sz w:val="24"/>
          <w:szCs w:val="24"/>
        </w:rPr>
      </w:pPr>
    </w:p>
    <w:p w14:paraId="709A53C8">
      <w:pPr>
        <w:pStyle w:val="39"/>
        <w:spacing w:line="360" w:lineRule="auto"/>
        <w:jc w:val="both"/>
        <w:rPr>
          <w:rFonts w:asciiTheme="majorBidi" w:hAnsiTheme="majorBidi" w:cstheme="majorBidi"/>
          <w:sz w:val="24"/>
          <w:szCs w:val="24"/>
        </w:rPr>
      </w:pPr>
    </w:p>
    <w:p w14:paraId="6B8D08A1">
      <w:pPr>
        <w:pStyle w:val="39"/>
        <w:spacing w:line="360" w:lineRule="auto"/>
        <w:jc w:val="both"/>
        <w:rPr>
          <w:rFonts w:asciiTheme="majorBidi" w:hAnsiTheme="majorBidi" w:cstheme="majorBidi"/>
          <w:sz w:val="24"/>
          <w:szCs w:val="24"/>
        </w:rPr>
      </w:pPr>
    </w:p>
    <w:p w14:paraId="1C90F4C3">
      <w:pPr>
        <w:pStyle w:val="39"/>
        <w:spacing w:line="360" w:lineRule="auto"/>
        <w:jc w:val="both"/>
        <w:rPr>
          <w:rFonts w:asciiTheme="majorBidi" w:hAnsiTheme="majorBidi" w:cstheme="majorBidi"/>
          <w:sz w:val="24"/>
          <w:szCs w:val="24"/>
        </w:rPr>
      </w:pPr>
    </w:p>
    <w:p w14:paraId="000AA274">
      <w:pPr>
        <w:pStyle w:val="39"/>
        <w:spacing w:line="360" w:lineRule="auto"/>
        <w:jc w:val="both"/>
        <w:rPr>
          <w:rFonts w:asciiTheme="majorBidi" w:hAnsiTheme="majorBidi" w:cstheme="majorBidi"/>
          <w:sz w:val="24"/>
          <w:szCs w:val="24"/>
        </w:rPr>
      </w:pPr>
    </w:p>
    <w:p w14:paraId="3306E5CD">
      <w:pPr>
        <w:pStyle w:val="39"/>
        <w:spacing w:line="360" w:lineRule="auto"/>
        <w:jc w:val="both"/>
        <w:rPr>
          <w:rFonts w:asciiTheme="majorBidi" w:hAnsiTheme="majorBidi" w:cstheme="majorBidi"/>
          <w:sz w:val="24"/>
          <w:szCs w:val="24"/>
        </w:rPr>
      </w:pPr>
    </w:p>
    <w:p w14:paraId="2AAAC304">
      <w:pPr>
        <w:pStyle w:val="39"/>
        <w:spacing w:line="360" w:lineRule="auto"/>
        <w:jc w:val="both"/>
        <w:rPr>
          <w:rFonts w:asciiTheme="majorBidi" w:hAnsiTheme="majorBidi" w:cstheme="majorBidi"/>
          <w:sz w:val="24"/>
          <w:szCs w:val="24"/>
        </w:rPr>
      </w:pPr>
    </w:p>
    <w:p w14:paraId="740833E3">
      <w:pPr>
        <w:pStyle w:val="39"/>
        <w:spacing w:line="360" w:lineRule="auto"/>
        <w:jc w:val="both"/>
        <w:rPr>
          <w:rFonts w:asciiTheme="majorBidi" w:hAnsiTheme="majorBidi" w:cstheme="majorBidi"/>
          <w:sz w:val="24"/>
          <w:szCs w:val="24"/>
        </w:rPr>
      </w:pPr>
    </w:p>
    <w:p w14:paraId="79BB7795">
      <w:pPr>
        <w:pStyle w:val="39"/>
        <w:spacing w:line="360" w:lineRule="auto"/>
        <w:jc w:val="both"/>
        <w:rPr>
          <w:rFonts w:asciiTheme="majorBidi" w:hAnsiTheme="majorBidi" w:cstheme="majorBidi"/>
          <w:sz w:val="24"/>
          <w:szCs w:val="24"/>
        </w:rPr>
      </w:pPr>
    </w:p>
    <w:p w14:paraId="27E79387">
      <w:pPr>
        <w:spacing w:line="480" w:lineRule="auto"/>
        <w:jc w:val="both"/>
        <w:rPr>
          <w:rFonts w:asciiTheme="majorBidi" w:hAnsiTheme="majorBidi" w:cstheme="majorBidi"/>
          <w:sz w:val="24"/>
          <w:szCs w:val="24"/>
        </w:rPr>
      </w:pPr>
    </w:p>
    <w:p w14:paraId="7A137A61">
      <w:pPr>
        <w:pStyle w:val="2"/>
        <w:spacing w:after="240"/>
        <w:rPr>
          <w:rFonts w:asciiTheme="majorBidi" w:hAnsiTheme="majorBidi"/>
          <w:color w:val="auto"/>
          <w:sz w:val="24"/>
          <w:szCs w:val="24"/>
        </w:rPr>
      </w:pPr>
      <w:bookmarkStart w:id="3" w:name="_Toc194822574"/>
      <w:r>
        <w:rPr>
          <w:rFonts w:asciiTheme="majorBidi" w:hAnsiTheme="majorBidi"/>
          <w:color w:val="auto"/>
          <w:sz w:val="24"/>
          <w:szCs w:val="24"/>
        </w:rPr>
        <w:t>ACKNOWLEDGEMENT</w:t>
      </w:r>
      <w:bookmarkEnd w:id="3"/>
    </w:p>
    <w:p w14:paraId="2A938FE8">
      <w:pPr>
        <w:spacing w:line="360" w:lineRule="auto"/>
        <w:jc w:val="both"/>
        <w:rPr>
          <w:rFonts w:asciiTheme="majorBidi" w:hAnsiTheme="majorBidi" w:cstheme="majorBidi"/>
          <w:sz w:val="24"/>
          <w:szCs w:val="24"/>
        </w:rPr>
      </w:pPr>
      <w:r>
        <w:rPr>
          <w:rFonts w:asciiTheme="majorBidi" w:hAnsiTheme="majorBidi" w:cstheme="majorBidi"/>
          <w:sz w:val="24"/>
          <w:szCs w:val="24"/>
        </w:rPr>
        <w:t>My appreciation goes to Garissa University in creating the opportunity for PhD Program. I convey my deepest gratitude to my supervisors; Prof. Gori Justus and Prof. Stephen Rotich for their brilliant encouragement and supervision in both conceptualization and writing of this thesis.</w:t>
      </w:r>
    </w:p>
    <w:p w14:paraId="4BB465A8">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I also thank my colleague write nme in encouraging and providing information especially during class discussions and presentations. I equally express my gratitude to all principals, teachers and students of selected schools for their cooperation. </w:t>
      </w:r>
    </w:p>
    <w:p w14:paraId="62ACB2B3">
      <w:pPr>
        <w:spacing w:line="480" w:lineRule="auto"/>
        <w:jc w:val="both"/>
        <w:rPr>
          <w:rFonts w:asciiTheme="majorBidi" w:hAnsiTheme="majorBidi" w:cstheme="majorBidi"/>
          <w:sz w:val="24"/>
          <w:szCs w:val="24"/>
        </w:rPr>
      </w:pPr>
    </w:p>
    <w:p w14:paraId="1650609C">
      <w:pPr>
        <w:spacing w:line="480" w:lineRule="auto"/>
        <w:jc w:val="both"/>
        <w:rPr>
          <w:rFonts w:asciiTheme="majorBidi" w:hAnsiTheme="majorBidi" w:cstheme="majorBidi"/>
          <w:sz w:val="24"/>
          <w:szCs w:val="24"/>
        </w:rPr>
      </w:pPr>
    </w:p>
    <w:p w14:paraId="24970383">
      <w:pPr>
        <w:spacing w:line="480" w:lineRule="auto"/>
        <w:jc w:val="both"/>
        <w:rPr>
          <w:rFonts w:asciiTheme="majorBidi" w:hAnsiTheme="majorBidi" w:cstheme="majorBidi"/>
          <w:sz w:val="24"/>
          <w:szCs w:val="24"/>
        </w:rPr>
      </w:pPr>
    </w:p>
    <w:p w14:paraId="506E6CF7">
      <w:pPr>
        <w:spacing w:line="480" w:lineRule="auto"/>
        <w:jc w:val="both"/>
        <w:rPr>
          <w:rFonts w:asciiTheme="majorBidi" w:hAnsiTheme="majorBidi" w:cstheme="majorBidi"/>
          <w:sz w:val="24"/>
          <w:szCs w:val="24"/>
        </w:rPr>
      </w:pPr>
    </w:p>
    <w:p w14:paraId="3757184C">
      <w:pPr>
        <w:spacing w:line="480" w:lineRule="auto"/>
        <w:jc w:val="both"/>
        <w:rPr>
          <w:rFonts w:asciiTheme="majorBidi" w:hAnsiTheme="majorBidi" w:cstheme="majorBidi"/>
          <w:sz w:val="24"/>
          <w:szCs w:val="24"/>
        </w:rPr>
      </w:pPr>
    </w:p>
    <w:p w14:paraId="234BE9E9">
      <w:pPr>
        <w:spacing w:line="480" w:lineRule="auto"/>
        <w:jc w:val="both"/>
        <w:rPr>
          <w:rFonts w:asciiTheme="majorBidi" w:hAnsiTheme="majorBidi" w:cstheme="majorBidi"/>
          <w:sz w:val="24"/>
          <w:szCs w:val="24"/>
        </w:rPr>
      </w:pPr>
    </w:p>
    <w:p w14:paraId="4CADF845">
      <w:pPr>
        <w:spacing w:line="480" w:lineRule="auto"/>
        <w:jc w:val="both"/>
        <w:rPr>
          <w:rFonts w:asciiTheme="majorBidi" w:hAnsiTheme="majorBidi" w:cstheme="majorBidi"/>
          <w:sz w:val="24"/>
          <w:szCs w:val="24"/>
        </w:rPr>
      </w:pPr>
    </w:p>
    <w:p w14:paraId="4EAD643C">
      <w:pPr>
        <w:spacing w:line="480" w:lineRule="auto"/>
        <w:jc w:val="both"/>
        <w:rPr>
          <w:rFonts w:asciiTheme="majorBidi" w:hAnsiTheme="majorBidi" w:cstheme="majorBidi"/>
          <w:sz w:val="24"/>
          <w:szCs w:val="24"/>
        </w:rPr>
      </w:pPr>
    </w:p>
    <w:p w14:paraId="0C92ABBA">
      <w:pPr>
        <w:spacing w:line="480" w:lineRule="auto"/>
        <w:jc w:val="both"/>
        <w:rPr>
          <w:rFonts w:asciiTheme="majorBidi" w:hAnsiTheme="majorBidi" w:cstheme="majorBidi"/>
          <w:sz w:val="24"/>
          <w:szCs w:val="24"/>
        </w:rPr>
      </w:pPr>
    </w:p>
    <w:p w14:paraId="356A2598">
      <w:pPr>
        <w:pStyle w:val="2"/>
        <w:spacing w:before="0"/>
        <w:rPr>
          <w:rFonts w:asciiTheme="majorBidi" w:hAnsiTheme="majorBidi" w:eastAsiaTheme="minorHAnsi"/>
          <w:b w:val="0"/>
          <w:bCs w:val="0"/>
          <w:color w:val="auto"/>
          <w:sz w:val="24"/>
          <w:szCs w:val="24"/>
        </w:rPr>
      </w:pPr>
      <w:bookmarkStart w:id="4" w:name="_Toc194822575"/>
    </w:p>
    <w:p w14:paraId="27B8C235">
      <w:pPr>
        <w:pStyle w:val="2"/>
        <w:spacing w:before="0"/>
        <w:rPr>
          <w:rFonts w:asciiTheme="majorBidi" w:hAnsiTheme="majorBidi" w:eastAsiaTheme="minorHAnsi"/>
          <w:b w:val="0"/>
          <w:bCs w:val="0"/>
          <w:color w:val="auto"/>
          <w:sz w:val="24"/>
          <w:szCs w:val="24"/>
        </w:rPr>
      </w:pPr>
    </w:p>
    <w:p w14:paraId="4B762CBB">
      <w:pPr>
        <w:pStyle w:val="2"/>
        <w:spacing w:before="0"/>
        <w:rPr>
          <w:rFonts w:asciiTheme="majorBidi" w:hAnsiTheme="majorBidi" w:eastAsiaTheme="minorHAnsi"/>
          <w:b w:val="0"/>
          <w:bCs w:val="0"/>
          <w:color w:val="auto"/>
          <w:sz w:val="24"/>
          <w:szCs w:val="24"/>
        </w:rPr>
      </w:pPr>
    </w:p>
    <w:p w14:paraId="4848D5B0">
      <w:pPr>
        <w:pStyle w:val="2"/>
        <w:spacing w:before="0"/>
        <w:rPr>
          <w:rFonts w:asciiTheme="majorBidi" w:hAnsiTheme="majorBidi" w:eastAsiaTheme="minorHAnsi"/>
          <w:b w:val="0"/>
          <w:bCs w:val="0"/>
          <w:color w:val="auto"/>
          <w:sz w:val="24"/>
          <w:szCs w:val="24"/>
        </w:rPr>
      </w:pPr>
    </w:p>
    <w:p w14:paraId="39B2BBA0">
      <w:pPr>
        <w:pStyle w:val="2"/>
        <w:spacing w:before="0"/>
        <w:rPr>
          <w:rFonts w:asciiTheme="majorBidi" w:hAnsiTheme="majorBidi" w:eastAsiaTheme="minorHAnsi"/>
          <w:b w:val="0"/>
          <w:bCs w:val="0"/>
          <w:color w:val="auto"/>
          <w:sz w:val="24"/>
          <w:szCs w:val="24"/>
        </w:rPr>
      </w:pPr>
    </w:p>
    <w:p w14:paraId="5B9D623A">
      <w:pPr>
        <w:pStyle w:val="2"/>
        <w:spacing w:before="0"/>
        <w:rPr>
          <w:rFonts w:asciiTheme="majorBidi" w:hAnsiTheme="majorBidi" w:eastAsiaTheme="minorHAnsi"/>
          <w:b w:val="0"/>
          <w:bCs w:val="0"/>
          <w:color w:val="auto"/>
          <w:sz w:val="24"/>
          <w:szCs w:val="24"/>
        </w:rPr>
      </w:pPr>
    </w:p>
    <w:p w14:paraId="2A1F7802">
      <w:pPr>
        <w:pStyle w:val="2"/>
        <w:spacing w:before="0"/>
        <w:rPr>
          <w:rFonts w:asciiTheme="majorBidi" w:hAnsiTheme="majorBidi"/>
          <w:color w:val="auto"/>
          <w:sz w:val="24"/>
          <w:szCs w:val="24"/>
        </w:rPr>
      </w:pPr>
      <w:r>
        <w:rPr>
          <w:rFonts w:asciiTheme="majorBidi" w:hAnsiTheme="majorBidi"/>
          <w:color w:val="auto"/>
          <w:sz w:val="24"/>
          <w:szCs w:val="24"/>
        </w:rPr>
        <w:t>TABLE OF CONTENT</w:t>
      </w:r>
      <w:bookmarkEnd w:id="4"/>
    </w:p>
    <w:sdt>
      <w:sdtPr>
        <w:rPr>
          <w:rFonts w:asciiTheme="minorHAnsi" w:hAnsiTheme="minorHAnsi" w:cstheme="majorBidi"/>
          <w:sz w:val="24"/>
          <w:szCs w:val="24"/>
        </w:rPr>
        <w:id w:val="465092633"/>
        <w:docPartObj>
          <w:docPartGallery w:val="Table of Contents"/>
          <w:docPartUnique/>
        </w:docPartObj>
      </w:sdtPr>
      <w:sdtEndPr>
        <w:rPr>
          <w:rFonts w:asciiTheme="minorHAnsi" w:hAnsiTheme="minorHAnsi" w:cstheme="majorBidi"/>
          <w:b/>
          <w:bCs/>
          <w:sz w:val="24"/>
          <w:szCs w:val="24"/>
        </w:rPr>
      </w:sdtEndPr>
      <w:sdtContent>
        <w:p w14:paraId="41C15905">
          <w:pPr>
            <w:pStyle w:val="21"/>
            <w:rPr>
              <w:rFonts w:eastAsiaTheme="minorEastAsia"/>
              <w:kern w:val="2"/>
              <w:sz w:val="24"/>
              <w:szCs w:val="24"/>
              <w14:ligatures w14:val="standardContextual"/>
            </w:rPr>
          </w:pPr>
          <w:bookmarkStart w:id="5" w:name="_Toc377305483"/>
          <w:r>
            <w:rPr>
              <w:rFonts w:cstheme="majorBidi"/>
              <w:sz w:val="24"/>
              <w:szCs w:val="24"/>
            </w:rPr>
            <w:fldChar w:fldCharType="begin"/>
          </w:r>
          <w:r>
            <w:rPr>
              <w:rFonts w:cstheme="majorBidi"/>
              <w:sz w:val="24"/>
              <w:szCs w:val="24"/>
            </w:rPr>
            <w:instrText xml:space="preserve"> TOC \o "1-3" \h \z \u </w:instrText>
          </w:r>
          <w:r>
            <w:rPr>
              <w:rFonts w:cstheme="majorBidi"/>
              <w:sz w:val="24"/>
              <w:szCs w:val="24"/>
            </w:rPr>
            <w:fldChar w:fldCharType="separate"/>
          </w:r>
          <w:r>
            <w:fldChar w:fldCharType="begin"/>
          </w:r>
          <w:r>
            <w:instrText xml:space="preserve"> HYPERLINK \l "_Toc194822572" </w:instrText>
          </w:r>
          <w:r>
            <w:fldChar w:fldCharType="separate"/>
          </w:r>
          <w:r>
            <w:rPr>
              <w:rStyle w:val="16"/>
            </w:rPr>
            <w:t>DECLARATION</w:t>
          </w:r>
          <w:r>
            <w:tab/>
          </w:r>
          <w:r>
            <w:fldChar w:fldCharType="begin"/>
          </w:r>
          <w:r>
            <w:instrText xml:space="preserve"> PAGEREF _Toc194822572 \h </w:instrText>
          </w:r>
          <w:r>
            <w:fldChar w:fldCharType="separate"/>
          </w:r>
          <w:r>
            <w:t>i</w:t>
          </w:r>
          <w:r>
            <w:fldChar w:fldCharType="end"/>
          </w:r>
          <w:r>
            <w:fldChar w:fldCharType="end"/>
          </w:r>
        </w:p>
        <w:p w14:paraId="3180E285">
          <w:pPr>
            <w:pStyle w:val="21"/>
            <w:rPr>
              <w:rFonts w:eastAsiaTheme="minorEastAsia"/>
              <w:kern w:val="2"/>
              <w:sz w:val="24"/>
              <w:szCs w:val="24"/>
              <w14:ligatures w14:val="standardContextual"/>
            </w:rPr>
          </w:pPr>
          <w:r>
            <w:fldChar w:fldCharType="begin"/>
          </w:r>
          <w:r>
            <w:instrText xml:space="preserve"> HYPERLINK \l "_Toc194822573" </w:instrText>
          </w:r>
          <w:r>
            <w:fldChar w:fldCharType="separate"/>
          </w:r>
          <w:r>
            <w:rPr>
              <w:rStyle w:val="16"/>
            </w:rPr>
            <w:t>DEDICATION</w:t>
          </w:r>
          <w:r>
            <w:tab/>
          </w:r>
          <w:r>
            <w:fldChar w:fldCharType="begin"/>
          </w:r>
          <w:r>
            <w:instrText xml:space="preserve"> PAGEREF _Toc194822573 \h </w:instrText>
          </w:r>
          <w:r>
            <w:fldChar w:fldCharType="separate"/>
          </w:r>
          <w:r>
            <w:t>ii</w:t>
          </w:r>
          <w:r>
            <w:fldChar w:fldCharType="end"/>
          </w:r>
          <w:r>
            <w:fldChar w:fldCharType="end"/>
          </w:r>
        </w:p>
        <w:p w14:paraId="387EC9A8">
          <w:pPr>
            <w:pStyle w:val="21"/>
            <w:rPr>
              <w:rFonts w:eastAsiaTheme="minorEastAsia"/>
              <w:kern w:val="2"/>
              <w:sz w:val="24"/>
              <w:szCs w:val="24"/>
              <w14:ligatures w14:val="standardContextual"/>
            </w:rPr>
          </w:pPr>
          <w:r>
            <w:fldChar w:fldCharType="begin"/>
          </w:r>
          <w:r>
            <w:instrText xml:space="preserve"> HYPERLINK \l "_Toc194822574" </w:instrText>
          </w:r>
          <w:r>
            <w:fldChar w:fldCharType="separate"/>
          </w:r>
          <w:r>
            <w:rPr>
              <w:rStyle w:val="16"/>
            </w:rPr>
            <w:t>ACKNOWLEDGEMENT</w:t>
          </w:r>
          <w:r>
            <w:tab/>
          </w:r>
          <w:r>
            <w:fldChar w:fldCharType="begin"/>
          </w:r>
          <w:r>
            <w:instrText xml:space="preserve"> PAGEREF _Toc194822574 \h </w:instrText>
          </w:r>
          <w:r>
            <w:fldChar w:fldCharType="separate"/>
          </w:r>
          <w:r>
            <w:t>iii</w:t>
          </w:r>
          <w:r>
            <w:fldChar w:fldCharType="end"/>
          </w:r>
          <w:r>
            <w:fldChar w:fldCharType="end"/>
          </w:r>
        </w:p>
        <w:p w14:paraId="730AF47D">
          <w:pPr>
            <w:pStyle w:val="21"/>
            <w:rPr>
              <w:rFonts w:eastAsiaTheme="minorEastAsia"/>
              <w:kern w:val="2"/>
              <w:sz w:val="24"/>
              <w:szCs w:val="24"/>
              <w14:ligatures w14:val="standardContextual"/>
            </w:rPr>
          </w:pPr>
          <w:r>
            <w:fldChar w:fldCharType="begin"/>
          </w:r>
          <w:r>
            <w:instrText xml:space="preserve"> HYPERLINK \l "_Toc194822575" </w:instrText>
          </w:r>
          <w:r>
            <w:fldChar w:fldCharType="separate"/>
          </w:r>
          <w:r>
            <w:rPr>
              <w:rStyle w:val="16"/>
            </w:rPr>
            <w:t>TABLE OF CONTENT</w:t>
          </w:r>
          <w:r>
            <w:tab/>
          </w:r>
          <w:r>
            <w:fldChar w:fldCharType="begin"/>
          </w:r>
          <w:r>
            <w:instrText xml:space="preserve"> PAGEREF _Toc194822575 \h </w:instrText>
          </w:r>
          <w:r>
            <w:fldChar w:fldCharType="separate"/>
          </w:r>
          <w:r>
            <w:t>iv</w:t>
          </w:r>
          <w:r>
            <w:fldChar w:fldCharType="end"/>
          </w:r>
          <w:r>
            <w:fldChar w:fldCharType="end"/>
          </w:r>
        </w:p>
        <w:p w14:paraId="06526409">
          <w:pPr>
            <w:pStyle w:val="21"/>
            <w:rPr>
              <w:rFonts w:eastAsiaTheme="minorEastAsia"/>
              <w:kern w:val="2"/>
              <w:sz w:val="24"/>
              <w:szCs w:val="24"/>
              <w14:ligatures w14:val="standardContextual"/>
            </w:rPr>
          </w:pPr>
          <w:r>
            <w:fldChar w:fldCharType="begin"/>
          </w:r>
          <w:r>
            <w:instrText xml:space="preserve"> HYPERLINK \l "_Toc194822576" </w:instrText>
          </w:r>
          <w:r>
            <w:fldChar w:fldCharType="separate"/>
          </w:r>
          <w:r>
            <w:rPr>
              <w:rStyle w:val="16"/>
            </w:rPr>
            <w:t>LIST OF TABLES</w:t>
          </w:r>
          <w:r>
            <w:tab/>
          </w:r>
          <w:r>
            <w:fldChar w:fldCharType="begin"/>
          </w:r>
          <w:r>
            <w:instrText xml:space="preserve"> PAGEREF _Toc194822576 \h </w:instrText>
          </w:r>
          <w:r>
            <w:fldChar w:fldCharType="separate"/>
          </w:r>
          <w:r>
            <w:t>vii</w:t>
          </w:r>
          <w:r>
            <w:fldChar w:fldCharType="end"/>
          </w:r>
          <w:r>
            <w:fldChar w:fldCharType="end"/>
          </w:r>
        </w:p>
        <w:p w14:paraId="21D4743B">
          <w:pPr>
            <w:pStyle w:val="21"/>
            <w:rPr>
              <w:rFonts w:eastAsiaTheme="minorEastAsia"/>
              <w:kern w:val="2"/>
              <w:sz w:val="24"/>
              <w:szCs w:val="24"/>
              <w14:ligatures w14:val="standardContextual"/>
            </w:rPr>
          </w:pPr>
          <w:r>
            <w:fldChar w:fldCharType="begin"/>
          </w:r>
          <w:r>
            <w:instrText xml:space="preserve"> HYPERLINK \l "_Toc194822577" </w:instrText>
          </w:r>
          <w:r>
            <w:fldChar w:fldCharType="separate"/>
          </w:r>
          <w:r>
            <w:rPr>
              <w:rStyle w:val="16"/>
            </w:rPr>
            <w:t>LIST OF FIGURES</w:t>
          </w:r>
          <w:r>
            <w:tab/>
          </w:r>
          <w:r>
            <w:fldChar w:fldCharType="begin"/>
          </w:r>
          <w:r>
            <w:instrText xml:space="preserve"> PAGEREF _Toc194822577 \h </w:instrText>
          </w:r>
          <w:r>
            <w:fldChar w:fldCharType="separate"/>
          </w:r>
          <w:r>
            <w:t>viii</w:t>
          </w:r>
          <w:r>
            <w:fldChar w:fldCharType="end"/>
          </w:r>
          <w:r>
            <w:fldChar w:fldCharType="end"/>
          </w:r>
        </w:p>
        <w:p w14:paraId="6E7BAF6E">
          <w:pPr>
            <w:pStyle w:val="21"/>
            <w:rPr>
              <w:rFonts w:eastAsiaTheme="minorEastAsia"/>
              <w:kern w:val="2"/>
              <w:sz w:val="24"/>
              <w:szCs w:val="24"/>
              <w14:ligatures w14:val="standardContextual"/>
            </w:rPr>
          </w:pPr>
          <w:r>
            <w:fldChar w:fldCharType="begin"/>
          </w:r>
          <w:r>
            <w:instrText xml:space="preserve"> HYPERLINK \l "_Toc194822578" </w:instrText>
          </w:r>
          <w:r>
            <w:fldChar w:fldCharType="separate"/>
          </w:r>
          <w:r>
            <w:rPr>
              <w:rStyle w:val="16"/>
            </w:rPr>
            <w:t>LIST OF ABBREVIATIONS AND ACRONYMS</w:t>
          </w:r>
          <w:r>
            <w:tab/>
          </w:r>
          <w:r>
            <w:fldChar w:fldCharType="begin"/>
          </w:r>
          <w:r>
            <w:instrText xml:space="preserve"> PAGEREF _Toc194822578 \h </w:instrText>
          </w:r>
          <w:r>
            <w:fldChar w:fldCharType="separate"/>
          </w:r>
          <w:r>
            <w:t>ix</w:t>
          </w:r>
          <w:r>
            <w:fldChar w:fldCharType="end"/>
          </w:r>
          <w:r>
            <w:fldChar w:fldCharType="end"/>
          </w:r>
        </w:p>
        <w:p w14:paraId="1A06116A">
          <w:pPr>
            <w:pStyle w:val="21"/>
            <w:rPr>
              <w:rFonts w:eastAsiaTheme="minorEastAsia"/>
              <w:kern w:val="2"/>
              <w:sz w:val="24"/>
              <w:szCs w:val="24"/>
              <w14:ligatures w14:val="standardContextual"/>
            </w:rPr>
          </w:pPr>
          <w:r>
            <w:fldChar w:fldCharType="begin"/>
          </w:r>
          <w:r>
            <w:instrText xml:space="preserve"> HYPERLINK \l "_Toc194822579" </w:instrText>
          </w:r>
          <w:r>
            <w:fldChar w:fldCharType="separate"/>
          </w:r>
          <w:r>
            <w:rPr>
              <w:rStyle w:val="16"/>
            </w:rPr>
            <w:t>ABSTRACT</w:t>
          </w:r>
          <w:r>
            <w:tab/>
          </w:r>
          <w:r>
            <w:fldChar w:fldCharType="begin"/>
          </w:r>
          <w:r>
            <w:instrText xml:space="preserve"> PAGEREF _Toc194822579 \h </w:instrText>
          </w:r>
          <w:r>
            <w:fldChar w:fldCharType="separate"/>
          </w:r>
          <w:r>
            <w:t>x</w:t>
          </w:r>
          <w:r>
            <w:fldChar w:fldCharType="end"/>
          </w:r>
          <w:r>
            <w:fldChar w:fldCharType="end"/>
          </w:r>
        </w:p>
        <w:p w14:paraId="75D6CC1F">
          <w:pPr>
            <w:pStyle w:val="21"/>
            <w:rPr>
              <w:rFonts w:eastAsiaTheme="minorEastAsia"/>
              <w:kern w:val="2"/>
              <w:sz w:val="24"/>
              <w:szCs w:val="24"/>
              <w14:ligatures w14:val="standardContextual"/>
            </w:rPr>
          </w:pPr>
          <w:r>
            <w:fldChar w:fldCharType="begin"/>
          </w:r>
          <w:r>
            <w:instrText xml:space="preserve"> HYPERLINK \l "_Toc194822580" </w:instrText>
          </w:r>
          <w:r>
            <w:fldChar w:fldCharType="separate"/>
          </w:r>
          <w:r>
            <w:rPr>
              <w:rStyle w:val="16"/>
              <w:b/>
              <w:bCs/>
            </w:rPr>
            <w:t>CHAPTER ONE</w:t>
          </w:r>
          <w:r>
            <w:rPr>
              <w:rStyle w:val="16"/>
              <w:b/>
              <w:bCs/>
            </w:rPr>
            <w:fldChar w:fldCharType="end"/>
          </w:r>
        </w:p>
        <w:p w14:paraId="4C61BF71">
          <w:pPr>
            <w:pStyle w:val="21"/>
            <w:rPr>
              <w:rFonts w:eastAsiaTheme="minorEastAsia"/>
              <w:kern w:val="2"/>
              <w:sz w:val="24"/>
              <w:szCs w:val="24"/>
              <w14:ligatures w14:val="standardContextual"/>
            </w:rPr>
          </w:pPr>
          <w:r>
            <w:fldChar w:fldCharType="begin"/>
          </w:r>
          <w:r>
            <w:instrText xml:space="preserve"> HYPERLINK \l "_Toc194822581" </w:instrText>
          </w:r>
          <w:r>
            <w:fldChar w:fldCharType="separate"/>
          </w:r>
          <w:r>
            <w:rPr>
              <w:rStyle w:val="16"/>
              <w:b/>
              <w:bCs/>
            </w:rPr>
            <w:t>INTRODUCTION</w:t>
          </w:r>
          <w:r>
            <w:rPr>
              <w:rStyle w:val="16"/>
              <w:b/>
              <w:bCs/>
            </w:rPr>
            <w:fldChar w:fldCharType="end"/>
          </w:r>
        </w:p>
        <w:p w14:paraId="5CFA2765">
          <w:pPr>
            <w:pStyle w:val="21"/>
            <w:rPr>
              <w:rFonts w:eastAsiaTheme="minorEastAsia"/>
              <w:kern w:val="2"/>
              <w:sz w:val="24"/>
              <w:szCs w:val="24"/>
              <w14:ligatures w14:val="standardContextual"/>
            </w:rPr>
          </w:pPr>
          <w:r>
            <w:fldChar w:fldCharType="begin"/>
          </w:r>
          <w:r>
            <w:instrText xml:space="preserve"> HYPERLINK \l "_Toc194822582" </w:instrText>
          </w:r>
          <w:r>
            <w:fldChar w:fldCharType="separate"/>
          </w:r>
          <w:r>
            <w:rPr>
              <w:rStyle w:val="16"/>
              <w:rFonts w:eastAsia="Times New Roman"/>
            </w:rPr>
            <w:t>1.1</w:t>
          </w:r>
          <w:r>
            <w:rPr>
              <w:rFonts w:eastAsiaTheme="minorEastAsia"/>
              <w:kern w:val="2"/>
              <w:sz w:val="24"/>
              <w:szCs w:val="24"/>
              <w14:ligatures w14:val="standardContextual"/>
            </w:rPr>
            <w:tab/>
          </w:r>
          <w:r>
            <w:rPr>
              <w:rStyle w:val="16"/>
              <w:rFonts w:eastAsia="Times New Roman"/>
            </w:rPr>
            <w:t>Overview</w:t>
          </w:r>
          <w:r>
            <w:tab/>
          </w:r>
          <w:r>
            <w:fldChar w:fldCharType="begin"/>
          </w:r>
          <w:r>
            <w:instrText xml:space="preserve"> PAGEREF _Toc194822582 \h </w:instrText>
          </w:r>
          <w:r>
            <w:fldChar w:fldCharType="separate"/>
          </w:r>
          <w:r>
            <w:t>1</w:t>
          </w:r>
          <w:r>
            <w:fldChar w:fldCharType="end"/>
          </w:r>
          <w:r>
            <w:fldChar w:fldCharType="end"/>
          </w:r>
        </w:p>
        <w:p w14:paraId="03C62343">
          <w:pPr>
            <w:pStyle w:val="21"/>
            <w:rPr>
              <w:rFonts w:eastAsiaTheme="minorEastAsia"/>
              <w:kern w:val="2"/>
              <w:sz w:val="24"/>
              <w:szCs w:val="24"/>
              <w14:ligatures w14:val="standardContextual"/>
            </w:rPr>
          </w:pPr>
          <w:r>
            <w:fldChar w:fldCharType="begin"/>
          </w:r>
          <w:r>
            <w:instrText xml:space="preserve"> HYPERLINK \l "_Toc194822583" </w:instrText>
          </w:r>
          <w:r>
            <w:fldChar w:fldCharType="separate"/>
          </w:r>
          <w:r>
            <w:rPr>
              <w:rStyle w:val="16"/>
              <w:rFonts w:eastAsia="Times New Roman"/>
            </w:rPr>
            <w:t>1.2</w:t>
          </w:r>
          <w:r>
            <w:rPr>
              <w:rFonts w:eastAsiaTheme="minorEastAsia"/>
              <w:kern w:val="2"/>
              <w:sz w:val="24"/>
              <w:szCs w:val="24"/>
              <w14:ligatures w14:val="standardContextual"/>
            </w:rPr>
            <w:tab/>
          </w:r>
          <w:r>
            <w:rPr>
              <w:rStyle w:val="16"/>
              <w:rFonts w:eastAsia="Times New Roman"/>
            </w:rPr>
            <w:t>Background to the Study</w:t>
          </w:r>
          <w:r>
            <w:tab/>
          </w:r>
          <w:r>
            <w:fldChar w:fldCharType="begin"/>
          </w:r>
          <w:r>
            <w:instrText xml:space="preserve"> PAGEREF _Toc194822583 \h </w:instrText>
          </w:r>
          <w:r>
            <w:fldChar w:fldCharType="separate"/>
          </w:r>
          <w:r>
            <w:t>1</w:t>
          </w:r>
          <w:r>
            <w:fldChar w:fldCharType="end"/>
          </w:r>
          <w:r>
            <w:fldChar w:fldCharType="end"/>
          </w:r>
        </w:p>
        <w:p w14:paraId="63438573">
          <w:pPr>
            <w:pStyle w:val="21"/>
            <w:rPr>
              <w:rFonts w:eastAsiaTheme="minorEastAsia"/>
              <w:kern w:val="2"/>
              <w:sz w:val="24"/>
              <w:szCs w:val="24"/>
              <w14:ligatures w14:val="standardContextual"/>
            </w:rPr>
          </w:pPr>
          <w:r>
            <w:fldChar w:fldCharType="begin"/>
          </w:r>
          <w:r>
            <w:instrText xml:space="preserve"> HYPERLINK \l "_Toc194822584" </w:instrText>
          </w:r>
          <w:r>
            <w:fldChar w:fldCharType="separate"/>
          </w:r>
          <w:r>
            <w:rPr>
              <w:rStyle w:val="16"/>
            </w:rPr>
            <w:t>1.3</w:t>
          </w:r>
          <w:r>
            <w:rPr>
              <w:rFonts w:eastAsiaTheme="minorEastAsia"/>
              <w:kern w:val="2"/>
              <w:sz w:val="24"/>
              <w:szCs w:val="24"/>
              <w14:ligatures w14:val="standardContextual"/>
            </w:rPr>
            <w:tab/>
          </w:r>
          <w:r>
            <w:rPr>
              <w:rStyle w:val="16"/>
            </w:rPr>
            <w:t>Statement of the Problem</w:t>
          </w:r>
          <w:r>
            <w:tab/>
          </w:r>
          <w:r>
            <w:fldChar w:fldCharType="begin"/>
          </w:r>
          <w:r>
            <w:instrText xml:space="preserve"> PAGEREF _Toc194822584 \h </w:instrText>
          </w:r>
          <w:r>
            <w:fldChar w:fldCharType="separate"/>
          </w:r>
          <w:r>
            <w:t>5</w:t>
          </w:r>
          <w:r>
            <w:fldChar w:fldCharType="end"/>
          </w:r>
          <w:r>
            <w:fldChar w:fldCharType="end"/>
          </w:r>
        </w:p>
        <w:p w14:paraId="30636AE3">
          <w:pPr>
            <w:pStyle w:val="21"/>
            <w:rPr>
              <w:rFonts w:eastAsiaTheme="minorEastAsia"/>
              <w:kern w:val="2"/>
              <w:sz w:val="24"/>
              <w:szCs w:val="24"/>
              <w14:ligatures w14:val="standardContextual"/>
            </w:rPr>
          </w:pPr>
          <w:r>
            <w:fldChar w:fldCharType="begin"/>
          </w:r>
          <w:r>
            <w:instrText xml:space="preserve"> HYPERLINK \l "_Toc194822585" </w:instrText>
          </w:r>
          <w:r>
            <w:fldChar w:fldCharType="separate"/>
          </w:r>
          <w:r>
            <w:rPr>
              <w:rStyle w:val="16"/>
            </w:rPr>
            <w:t>1.4</w:t>
          </w:r>
          <w:r>
            <w:rPr>
              <w:rFonts w:eastAsiaTheme="minorEastAsia"/>
              <w:kern w:val="2"/>
              <w:sz w:val="24"/>
              <w:szCs w:val="24"/>
              <w14:ligatures w14:val="standardContextual"/>
            </w:rPr>
            <w:tab/>
          </w:r>
          <w:r>
            <w:rPr>
              <w:rStyle w:val="16"/>
            </w:rPr>
            <w:t>Purpose of the Study</w:t>
          </w:r>
          <w:r>
            <w:tab/>
          </w:r>
          <w:r>
            <w:fldChar w:fldCharType="begin"/>
          </w:r>
          <w:r>
            <w:instrText xml:space="preserve"> PAGEREF _Toc194822585 \h </w:instrText>
          </w:r>
          <w:r>
            <w:fldChar w:fldCharType="separate"/>
          </w:r>
          <w:r>
            <w:t>6</w:t>
          </w:r>
          <w:r>
            <w:fldChar w:fldCharType="end"/>
          </w:r>
          <w:r>
            <w:fldChar w:fldCharType="end"/>
          </w:r>
        </w:p>
        <w:p w14:paraId="710865B2">
          <w:pPr>
            <w:pStyle w:val="21"/>
            <w:rPr>
              <w:rFonts w:eastAsiaTheme="minorEastAsia"/>
              <w:kern w:val="2"/>
              <w:sz w:val="24"/>
              <w:szCs w:val="24"/>
              <w14:ligatures w14:val="standardContextual"/>
            </w:rPr>
          </w:pPr>
          <w:r>
            <w:fldChar w:fldCharType="begin"/>
          </w:r>
          <w:r>
            <w:instrText xml:space="preserve"> HYPERLINK \l "_Toc194822586" </w:instrText>
          </w:r>
          <w:r>
            <w:fldChar w:fldCharType="separate"/>
          </w:r>
          <w:r>
            <w:rPr>
              <w:rStyle w:val="16"/>
            </w:rPr>
            <w:t>1.5</w:t>
          </w:r>
          <w:r>
            <w:rPr>
              <w:rFonts w:eastAsiaTheme="minorEastAsia"/>
              <w:kern w:val="2"/>
              <w:sz w:val="24"/>
              <w:szCs w:val="24"/>
              <w14:ligatures w14:val="standardContextual"/>
            </w:rPr>
            <w:tab/>
          </w:r>
          <w:r>
            <w:rPr>
              <w:rStyle w:val="16"/>
            </w:rPr>
            <w:t>Objectives of the Study</w:t>
          </w:r>
          <w:r>
            <w:tab/>
          </w:r>
          <w:r>
            <w:fldChar w:fldCharType="begin"/>
          </w:r>
          <w:r>
            <w:instrText xml:space="preserve"> PAGEREF _Toc194822586 \h </w:instrText>
          </w:r>
          <w:r>
            <w:fldChar w:fldCharType="separate"/>
          </w:r>
          <w:r>
            <w:t>6</w:t>
          </w:r>
          <w:r>
            <w:fldChar w:fldCharType="end"/>
          </w:r>
          <w:r>
            <w:fldChar w:fldCharType="end"/>
          </w:r>
        </w:p>
        <w:p w14:paraId="6A3258B2">
          <w:pPr>
            <w:pStyle w:val="21"/>
            <w:rPr>
              <w:rFonts w:eastAsiaTheme="minorEastAsia"/>
              <w:kern w:val="2"/>
              <w:sz w:val="24"/>
              <w:szCs w:val="24"/>
              <w14:ligatures w14:val="standardContextual"/>
            </w:rPr>
          </w:pPr>
          <w:r>
            <w:fldChar w:fldCharType="begin"/>
          </w:r>
          <w:r>
            <w:instrText xml:space="preserve"> HYPERLINK \l "_Toc194822587" </w:instrText>
          </w:r>
          <w:r>
            <w:fldChar w:fldCharType="separate"/>
          </w:r>
          <w:r>
            <w:rPr>
              <w:rStyle w:val="16"/>
            </w:rPr>
            <w:t>1.6</w:t>
          </w:r>
          <w:r>
            <w:rPr>
              <w:rFonts w:eastAsiaTheme="minorEastAsia"/>
              <w:kern w:val="2"/>
              <w:sz w:val="24"/>
              <w:szCs w:val="24"/>
              <w14:ligatures w14:val="standardContextual"/>
            </w:rPr>
            <w:tab/>
          </w:r>
          <w:r>
            <w:rPr>
              <w:rStyle w:val="16"/>
            </w:rPr>
            <w:t>Research Questions</w:t>
          </w:r>
          <w:r>
            <w:tab/>
          </w:r>
          <w:r>
            <w:fldChar w:fldCharType="begin"/>
          </w:r>
          <w:r>
            <w:instrText xml:space="preserve"> PAGEREF _Toc194822587 \h </w:instrText>
          </w:r>
          <w:r>
            <w:fldChar w:fldCharType="separate"/>
          </w:r>
          <w:r>
            <w:t>7</w:t>
          </w:r>
          <w:r>
            <w:fldChar w:fldCharType="end"/>
          </w:r>
          <w:r>
            <w:fldChar w:fldCharType="end"/>
          </w:r>
        </w:p>
        <w:p w14:paraId="28818865">
          <w:pPr>
            <w:pStyle w:val="21"/>
            <w:rPr>
              <w:rFonts w:eastAsiaTheme="minorEastAsia"/>
              <w:kern w:val="2"/>
              <w:sz w:val="24"/>
              <w:szCs w:val="24"/>
              <w14:ligatures w14:val="standardContextual"/>
            </w:rPr>
          </w:pPr>
          <w:r>
            <w:fldChar w:fldCharType="begin"/>
          </w:r>
          <w:r>
            <w:instrText xml:space="preserve"> HYPERLINK \l "_Toc194822588" </w:instrText>
          </w:r>
          <w:r>
            <w:fldChar w:fldCharType="separate"/>
          </w:r>
          <w:r>
            <w:rPr>
              <w:rStyle w:val="16"/>
            </w:rPr>
            <w:t>1.7</w:t>
          </w:r>
          <w:r>
            <w:rPr>
              <w:rFonts w:eastAsiaTheme="minorEastAsia"/>
              <w:kern w:val="2"/>
              <w:sz w:val="24"/>
              <w:szCs w:val="24"/>
              <w14:ligatures w14:val="standardContextual"/>
            </w:rPr>
            <w:tab/>
          </w:r>
          <w:r>
            <w:rPr>
              <w:rStyle w:val="16"/>
            </w:rPr>
            <w:t>Research Hypothesis</w:t>
          </w:r>
          <w:r>
            <w:tab/>
          </w:r>
          <w:r>
            <w:fldChar w:fldCharType="begin"/>
          </w:r>
          <w:r>
            <w:instrText xml:space="preserve"> PAGEREF _Toc194822588 \h </w:instrText>
          </w:r>
          <w:r>
            <w:fldChar w:fldCharType="separate"/>
          </w:r>
          <w:r>
            <w:t>8</w:t>
          </w:r>
          <w:r>
            <w:fldChar w:fldCharType="end"/>
          </w:r>
          <w:r>
            <w:fldChar w:fldCharType="end"/>
          </w:r>
        </w:p>
        <w:p w14:paraId="0C5A5B78">
          <w:pPr>
            <w:pStyle w:val="21"/>
            <w:rPr>
              <w:rFonts w:eastAsiaTheme="minorEastAsia"/>
              <w:kern w:val="2"/>
              <w:sz w:val="24"/>
              <w:szCs w:val="24"/>
              <w14:ligatures w14:val="standardContextual"/>
            </w:rPr>
          </w:pPr>
          <w:r>
            <w:fldChar w:fldCharType="begin"/>
          </w:r>
          <w:r>
            <w:instrText xml:space="preserve"> HYPERLINK \l "_Toc194822589" </w:instrText>
          </w:r>
          <w:r>
            <w:fldChar w:fldCharType="separate"/>
          </w:r>
          <w:r>
            <w:rPr>
              <w:rStyle w:val="16"/>
            </w:rPr>
            <w:t>1.8</w:t>
          </w:r>
          <w:r>
            <w:rPr>
              <w:rFonts w:eastAsiaTheme="minorEastAsia"/>
              <w:kern w:val="2"/>
              <w:sz w:val="24"/>
              <w:szCs w:val="24"/>
              <w14:ligatures w14:val="standardContextual"/>
            </w:rPr>
            <w:tab/>
          </w:r>
          <w:r>
            <w:rPr>
              <w:rStyle w:val="16"/>
            </w:rPr>
            <w:t>Significance of the Study</w:t>
          </w:r>
          <w:r>
            <w:tab/>
          </w:r>
          <w:r>
            <w:fldChar w:fldCharType="begin"/>
          </w:r>
          <w:r>
            <w:instrText xml:space="preserve"> PAGEREF _Toc194822589 \h </w:instrText>
          </w:r>
          <w:r>
            <w:fldChar w:fldCharType="separate"/>
          </w:r>
          <w:r>
            <w:t>9</w:t>
          </w:r>
          <w:r>
            <w:fldChar w:fldCharType="end"/>
          </w:r>
          <w:r>
            <w:fldChar w:fldCharType="end"/>
          </w:r>
        </w:p>
        <w:p w14:paraId="0173B6BB">
          <w:pPr>
            <w:pStyle w:val="21"/>
            <w:rPr>
              <w:rFonts w:eastAsiaTheme="minorEastAsia"/>
              <w:kern w:val="2"/>
              <w:sz w:val="24"/>
              <w:szCs w:val="24"/>
              <w14:ligatures w14:val="standardContextual"/>
            </w:rPr>
          </w:pPr>
          <w:r>
            <w:fldChar w:fldCharType="begin"/>
          </w:r>
          <w:r>
            <w:instrText xml:space="preserve"> HYPERLINK \l "_Toc194822590" </w:instrText>
          </w:r>
          <w:r>
            <w:fldChar w:fldCharType="separate"/>
          </w:r>
          <w:r>
            <w:rPr>
              <w:rStyle w:val="16"/>
              <w:rFonts w:eastAsia="Times New Roman"/>
            </w:rPr>
            <w:t>1.9</w:t>
          </w:r>
          <w:r>
            <w:rPr>
              <w:rFonts w:eastAsiaTheme="minorEastAsia"/>
              <w:kern w:val="2"/>
              <w:sz w:val="24"/>
              <w:szCs w:val="24"/>
              <w14:ligatures w14:val="standardContextual"/>
            </w:rPr>
            <w:tab/>
          </w:r>
          <w:r>
            <w:rPr>
              <w:rStyle w:val="16"/>
            </w:rPr>
            <w:t>Theoretical Framework</w:t>
          </w:r>
          <w:r>
            <w:tab/>
          </w:r>
          <w:r>
            <w:fldChar w:fldCharType="begin"/>
          </w:r>
          <w:r>
            <w:instrText xml:space="preserve"> PAGEREF _Toc194822590 \h </w:instrText>
          </w:r>
          <w:r>
            <w:fldChar w:fldCharType="separate"/>
          </w:r>
          <w:r>
            <w:t>9</w:t>
          </w:r>
          <w:r>
            <w:fldChar w:fldCharType="end"/>
          </w:r>
          <w:r>
            <w:fldChar w:fldCharType="end"/>
          </w:r>
        </w:p>
        <w:p w14:paraId="4F35D6E2">
          <w:pPr>
            <w:pStyle w:val="21"/>
            <w:rPr>
              <w:rFonts w:eastAsiaTheme="minorEastAsia"/>
              <w:kern w:val="2"/>
              <w:sz w:val="24"/>
              <w:szCs w:val="24"/>
              <w14:ligatures w14:val="standardContextual"/>
            </w:rPr>
          </w:pPr>
          <w:r>
            <w:fldChar w:fldCharType="begin"/>
          </w:r>
          <w:r>
            <w:instrText xml:space="preserve"> HYPERLINK \l "_Toc194822591" </w:instrText>
          </w:r>
          <w:r>
            <w:fldChar w:fldCharType="separate"/>
          </w:r>
          <w:r>
            <w:rPr>
              <w:rStyle w:val="16"/>
            </w:rPr>
            <w:t>1.10</w:t>
          </w:r>
          <w:r>
            <w:rPr>
              <w:rFonts w:eastAsiaTheme="minorEastAsia"/>
              <w:kern w:val="2"/>
              <w:sz w:val="24"/>
              <w:szCs w:val="24"/>
              <w14:ligatures w14:val="standardContextual"/>
            </w:rPr>
            <w:tab/>
          </w:r>
          <w:r>
            <w:rPr>
              <w:rStyle w:val="16"/>
            </w:rPr>
            <w:t>Conceptual Framework</w:t>
          </w:r>
          <w:r>
            <w:tab/>
          </w:r>
          <w:r>
            <w:fldChar w:fldCharType="begin"/>
          </w:r>
          <w:r>
            <w:instrText xml:space="preserve"> PAGEREF _Toc194822591 \h </w:instrText>
          </w:r>
          <w:r>
            <w:fldChar w:fldCharType="separate"/>
          </w:r>
          <w:r>
            <w:t>13</w:t>
          </w:r>
          <w:r>
            <w:fldChar w:fldCharType="end"/>
          </w:r>
          <w:r>
            <w:fldChar w:fldCharType="end"/>
          </w:r>
        </w:p>
        <w:p w14:paraId="078D598C">
          <w:pPr>
            <w:pStyle w:val="21"/>
            <w:rPr>
              <w:rFonts w:eastAsiaTheme="minorEastAsia"/>
              <w:kern w:val="2"/>
              <w:sz w:val="24"/>
              <w:szCs w:val="24"/>
              <w14:ligatures w14:val="standardContextual"/>
            </w:rPr>
          </w:pPr>
          <w:r>
            <w:fldChar w:fldCharType="begin"/>
          </w:r>
          <w:r>
            <w:instrText xml:space="preserve"> HYPERLINK \l "_Toc194822593" </w:instrText>
          </w:r>
          <w:r>
            <w:fldChar w:fldCharType="separate"/>
          </w:r>
          <w:r>
            <w:rPr>
              <w:rStyle w:val="16"/>
            </w:rPr>
            <w:t>1.11</w:t>
          </w:r>
          <w:r>
            <w:rPr>
              <w:rFonts w:eastAsiaTheme="minorEastAsia"/>
              <w:kern w:val="2"/>
              <w:sz w:val="24"/>
              <w:szCs w:val="24"/>
              <w14:ligatures w14:val="standardContextual"/>
            </w:rPr>
            <w:tab/>
          </w:r>
          <w:r>
            <w:rPr>
              <w:rStyle w:val="16"/>
            </w:rPr>
            <w:t>Assumptions of the Study</w:t>
          </w:r>
          <w:r>
            <w:tab/>
          </w:r>
          <w:r>
            <w:fldChar w:fldCharType="begin"/>
          </w:r>
          <w:r>
            <w:instrText xml:space="preserve"> PAGEREF _Toc194822593 \h </w:instrText>
          </w:r>
          <w:r>
            <w:fldChar w:fldCharType="separate"/>
          </w:r>
          <w:r>
            <w:t>18</w:t>
          </w:r>
          <w:r>
            <w:fldChar w:fldCharType="end"/>
          </w:r>
          <w:r>
            <w:fldChar w:fldCharType="end"/>
          </w:r>
        </w:p>
        <w:p w14:paraId="54B11372">
          <w:pPr>
            <w:pStyle w:val="21"/>
            <w:rPr>
              <w:rFonts w:eastAsiaTheme="minorEastAsia"/>
              <w:kern w:val="2"/>
              <w:sz w:val="24"/>
              <w:szCs w:val="24"/>
              <w14:ligatures w14:val="standardContextual"/>
            </w:rPr>
          </w:pPr>
          <w:r>
            <w:fldChar w:fldCharType="begin"/>
          </w:r>
          <w:r>
            <w:instrText xml:space="preserve"> HYPERLINK \l "_Toc194822594" </w:instrText>
          </w:r>
          <w:r>
            <w:fldChar w:fldCharType="separate"/>
          </w:r>
          <w:r>
            <w:rPr>
              <w:rStyle w:val="16"/>
            </w:rPr>
            <w:t>1.12</w:t>
          </w:r>
          <w:r>
            <w:rPr>
              <w:rFonts w:eastAsiaTheme="minorEastAsia"/>
              <w:kern w:val="2"/>
              <w:sz w:val="24"/>
              <w:szCs w:val="24"/>
              <w14:ligatures w14:val="standardContextual"/>
            </w:rPr>
            <w:tab/>
          </w:r>
          <w:r>
            <w:rPr>
              <w:rStyle w:val="16"/>
            </w:rPr>
            <w:t>Limitations of the study</w:t>
          </w:r>
          <w:r>
            <w:tab/>
          </w:r>
          <w:r>
            <w:fldChar w:fldCharType="begin"/>
          </w:r>
          <w:r>
            <w:instrText xml:space="preserve"> PAGEREF _Toc194822594 \h </w:instrText>
          </w:r>
          <w:r>
            <w:fldChar w:fldCharType="separate"/>
          </w:r>
          <w:r>
            <w:t>19</w:t>
          </w:r>
          <w:r>
            <w:fldChar w:fldCharType="end"/>
          </w:r>
          <w:r>
            <w:fldChar w:fldCharType="end"/>
          </w:r>
        </w:p>
        <w:p w14:paraId="2843D01C">
          <w:pPr>
            <w:pStyle w:val="21"/>
            <w:rPr>
              <w:rFonts w:eastAsiaTheme="minorEastAsia"/>
              <w:kern w:val="2"/>
              <w:sz w:val="24"/>
              <w:szCs w:val="24"/>
              <w14:ligatures w14:val="standardContextual"/>
            </w:rPr>
          </w:pPr>
          <w:r>
            <w:fldChar w:fldCharType="begin"/>
          </w:r>
          <w:r>
            <w:instrText xml:space="preserve"> HYPERLINK \l "_Toc194822595" </w:instrText>
          </w:r>
          <w:r>
            <w:fldChar w:fldCharType="separate"/>
          </w:r>
          <w:r>
            <w:rPr>
              <w:rStyle w:val="16"/>
            </w:rPr>
            <w:t>1.13</w:t>
          </w:r>
          <w:r>
            <w:rPr>
              <w:rFonts w:eastAsiaTheme="minorEastAsia"/>
              <w:kern w:val="2"/>
              <w:sz w:val="24"/>
              <w:szCs w:val="24"/>
              <w14:ligatures w14:val="standardContextual"/>
            </w:rPr>
            <w:tab/>
          </w:r>
          <w:r>
            <w:rPr>
              <w:rStyle w:val="16"/>
            </w:rPr>
            <w:t>Delimitations of the Study</w:t>
          </w:r>
          <w:r>
            <w:tab/>
          </w:r>
          <w:r>
            <w:fldChar w:fldCharType="begin"/>
          </w:r>
          <w:r>
            <w:instrText xml:space="preserve"> PAGEREF _Toc194822595 \h </w:instrText>
          </w:r>
          <w:r>
            <w:fldChar w:fldCharType="separate"/>
          </w:r>
          <w:r>
            <w:t>20</w:t>
          </w:r>
          <w:r>
            <w:fldChar w:fldCharType="end"/>
          </w:r>
          <w:r>
            <w:fldChar w:fldCharType="end"/>
          </w:r>
        </w:p>
        <w:p w14:paraId="4C9397E4">
          <w:pPr>
            <w:pStyle w:val="21"/>
            <w:rPr>
              <w:rFonts w:eastAsiaTheme="minorEastAsia"/>
              <w:kern w:val="2"/>
              <w:sz w:val="24"/>
              <w:szCs w:val="24"/>
              <w14:ligatures w14:val="standardContextual"/>
            </w:rPr>
          </w:pPr>
          <w:r>
            <w:fldChar w:fldCharType="begin"/>
          </w:r>
          <w:r>
            <w:instrText xml:space="preserve"> HYPERLINK \l "_Toc194822596" </w:instrText>
          </w:r>
          <w:r>
            <w:fldChar w:fldCharType="separate"/>
          </w:r>
          <w:r>
            <w:rPr>
              <w:rStyle w:val="16"/>
            </w:rPr>
            <w:t>1.14</w:t>
          </w:r>
          <w:r>
            <w:rPr>
              <w:rFonts w:eastAsiaTheme="minorEastAsia"/>
              <w:kern w:val="2"/>
              <w:sz w:val="24"/>
              <w:szCs w:val="24"/>
              <w14:ligatures w14:val="standardContextual"/>
            </w:rPr>
            <w:tab/>
          </w:r>
          <w:r>
            <w:rPr>
              <w:rStyle w:val="16"/>
            </w:rPr>
            <w:t>Definition of Terms</w:t>
          </w:r>
          <w:r>
            <w:tab/>
          </w:r>
          <w:r>
            <w:fldChar w:fldCharType="begin"/>
          </w:r>
          <w:r>
            <w:instrText xml:space="preserve"> PAGEREF _Toc194822596 \h </w:instrText>
          </w:r>
          <w:r>
            <w:fldChar w:fldCharType="separate"/>
          </w:r>
          <w:r>
            <w:t>21</w:t>
          </w:r>
          <w:r>
            <w:fldChar w:fldCharType="end"/>
          </w:r>
          <w:r>
            <w:fldChar w:fldCharType="end"/>
          </w:r>
        </w:p>
        <w:p w14:paraId="5536D7E0">
          <w:pPr>
            <w:pStyle w:val="21"/>
            <w:rPr>
              <w:rFonts w:eastAsiaTheme="minorEastAsia"/>
              <w:kern w:val="2"/>
              <w:sz w:val="24"/>
              <w:szCs w:val="24"/>
              <w14:ligatures w14:val="standardContextual"/>
            </w:rPr>
          </w:pPr>
          <w:r>
            <w:fldChar w:fldCharType="begin"/>
          </w:r>
          <w:r>
            <w:instrText xml:space="preserve"> HYPERLINK \l "_Toc194822597" </w:instrText>
          </w:r>
          <w:r>
            <w:fldChar w:fldCharType="separate"/>
          </w:r>
          <w:r>
            <w:rPr>
              <w:rStyle w:val="16"/>
              <w:rFonts w:eastAsia="Times New Roman"/>
              <w:b/>
              <w:bCs/>
            </w:rPr>
            <w:t>CHAPTER TWO</w:t>
          </w:r>
          <w:r>
            <w:rPr>
              <w:rStyle w:val="16"/>
              <w:rFonts w:eastAsia="Times New Roman"/>
              <w:b/>
              <w:bCs/>
            </w:rPr>
            <w:fldChar w:fldCharType="end"/>
          </w:r>
        </w:p>
        <w:p w14:paraId="3404823E">
          <w:pPr>
            <w:pStyle w:val="21"/>
            <w:rPr>
              <w:rFonts w:eastAsiaTheme="minorEastAsia"/>
              <w:kern w:val="2"/>
              <w:sz w:val="24"/>
              <w:szCs w:val="24"/>
              <w14:ligatures w14:val="standardContextual"/>
            </w:rPr>
          </w:pPr>
          <w:r>
            <w:fldChar w:fldCharType="begin"/>
          </w:r>
          <w:r>
            <w:instrText xml:space="preserve"> HYPERLINK \l "_Toc194822598" </w:instrText>
          </w:r>
          <w:r>
            <w:fldChar w:fldCharType="separate"/>
          </w:r>
          <w:r>
            <w:rPr>
              <w:rStyle w:val="16"/>
              <w:rFonts w:eastAsia="Times New Roman"/>
              <w:b/>
              <w:bCs/>
            </w:rPr>
            <w:t>LITERATURE REVIEW</w:t>
          </w:r>
          <w:r>
            <w:rPr>
              <w:rStyle w:val="16"/>
              <w:rFonts w:eastAsia="Times New Roman"/>
              <w:b/>
              <w:bCs/>
            </w:rPr>
            <w:fldChar w:fldCharType="end"/>
          </w:r>
        </w:p>
        <w:p w14:paraId="2C056482">
          <w:pPr>
            <w:pStyle w:val="21"/>
            <w:rPr>
              <w:rFonts w:eastAsiaTheme="minorEastAsia"/>
              <w:kern w:val="2"/>
              <w:sz w:val="24"/>
              <w:szCs w:val="24"/>
              <w14:ligatures w14:val="standardContextual"/>
            </w:rPr>
          </w:pPr>
          <w:r>
            <w:fldChar w:fldCharType="begin"/>
          </w:r>
          <w:r>
            <w:instrText xml:space="preserve"> HYPERLINK \l "_Toc194822599" </w:instrText>
          </w:r>
          <w:r>
            <w:fldChar w:fldCharType="separate"/>
          </w:r>
          <w:r>
            <w:rPr>
              <w:rStyle w:val="16"/>
            </w:rPr>
            <w:t>2.1</w:t>
          </w:r>
          <w:r>
            <w:rPr>
              <w:rFonts w:eastAsiaTheme="minorEastAsia"/>
              <w:kern w:val="2"/>
              <w:sz w:val="24"/>
              <w:szCs w:val="24"/>
              <w14:ligatures w14:val="standardContextual"/>
            </w:rPr>
            <w:tab/>
          </w:r>
          <w:r>
            <w:rPr>
              <w:rStyle w:val="16"/>
            </w:rPr>
            <w:t>Overview</w:t>
          </w:r>
          <w:r>
            <w:tab/>
          </w:r>
          <w:r>
            <w:fldChar w:fldCharType="begin"/>
          </w:r>
          <w:r>
            <w:instrText xml:space="preserve"> PAGEREF _Toc194822599 \h </w:instrText>
          </w:r>
          <w:r>
            <w:fldChar w:fldCharType="separate"/>
          </w:r>
          <w:r>
            <w:t>23</w:t>
          </w:r>
          <w:r>
            <w:fldChar w:fldCharType="end"/>
          </w:r>
          <w:r>
            <w:fldChar w:fldCharType="end"/>
          </w:r>
        </w:p>
        <w:p w14:paraId="65ED9CDA">
          <w:pPr>
            <w:pStyle w:val="21"/>
            <w:rPr>
              <w:rFonts w:eastAsiaTheme="minorEastAsia"/>
              <w:kern w:val="2"/>
              <w:sz w:val="24"/>
              <w:szCs w:val="24"/>
              <w14:ligatures w14:val="standardContextual"/>
            </w:rPr>
          </w:pPr>
          <w:r>
            <w:fldChar w:fldCharType="begin"/>
          </w:r>
          <w:r>
            <w:instrText xml:space="preserve"> HYPERLINK \l "_Toc194822600" </w:instrText>
          </w:r>
          <w:r>
            <w:fldChar w:fldCharType="separate"/>
          </w:r>
          <w:r>
            <w:rPr>
              <w:rStyle w:val="16"/>
            </w:rPr>
            <w:t>2.2</w:t>
          </w:r>
          <w:r>
            <w:rPr>
              <w:rFonts w:eastAsiaTheme="minorEastAsia"/>
              <w:kern w:val="2"/>
              <w:sz w:val="24"/>
              <w:szCs w:val="24"/>
              <w14:ligatures w14:val="standardContextual"/>
            </w:rPr>
            <w:tab/>
          </w:r>
          <w:r>
            <w:rPr>
              <w:rStyle w:val="16"/>
            </w:rPr>
            <w:t>Peer Pressure and Academic integrity and examination malpractices in Secondary Schools in Garissa Township Sub County</w:t>
          </w:r>
          <w:r>
            <w:tab/>
          </w:r>
          <w:r>
            <w:fldChar w:fldCharType="begin"/>
          </w:r>
          <w:r>
            <w:instrText xml:space="preserve"> PAGEREF _Toc194822600 \h </w:instrText>
          </w:r>
          <w:r>
            <w:fldChar w:fldCharType="separate"/>
          </w:r>
          <w:r>
            <w:t>23</w:t>
          </w:r>
          <w:r>
            <w:fldChar w:fldCharType="end"/>
          </w:r>
          <w:r>
            <w:fldChar w:fldCharType="end"/>
          </w:r>
        </w:p>
        <w:p w14:paraId="67A737ED">
          <w:pPr>
            <w:pStyle w:val="21"/>
            <w:rPr>
              <w:rFonts w:eastAsiaTheme="minorEastAsia"/>
              <w:kern w:val="2"/>
              <w:sz w:val="24"/>
              <w:szCs w:val="24"/>
              <w14:ligatures w14:val="standardContextual"/>
            </w:rPr>
          </w:pPr>
          <w:r>
            <w:fldChar w:fldCharType="begin"/>
          </w:r>
          <w:r>
            <w:instrText xml:space="preserve"> HYPERLINK \l "_Toc194822601" </w:instrText>
          </w:r>
          <w:r>
            <w:fldChar w:fldCharType="separate"/>
          </w:r>
          <w:r>
            <w:rPr>
              <w:rStyle w:val="16"/>
            </w:rPr>
            <w:t>2.3</w:t>
          </w:r>
          <w:r>
            <w:rPr>
              <w:rFonts w:eastAsiaTheme="minorEastAsia"/>
              <w:kern w:val="2"/>
              <w:sz w:val="24"/>
              <w:szCs w:val="24"/>
              <w14:ligatures w14:val="standardContextual"/>
            </w:rPr>
            <w:tab/>
          </w:r>
          <w:r>
            <w:rPr>
              <w:rStyle w:val="16"/>
            </w:rPr>
            <w:t>Parents’ Involvement and Academic integrity and examination malpractices in Secondary Schools in Garissa Township Sub County</w:t>
          </w:r>
          <w:r>
            <w:tab/>
          </w:r>
          <w:r>
            <w:fldChar w:fldCharType="begin"/>
          </w:r>
          <w:r>
            <w:instrText xml:space="preserve"> PAGEREF _Toc194822601 \h </w:instrText>
          </w:r>
          <w:r>
            <w:fldChar w:fldCharType="separate"/>
          </w:r>
          <w:r>
            <w:t>29</w:t>
          </w:r>
          <w:r>
            <w:fldChar w:fldCharType="end"/>
          </w:r>
          <w:r>
            <w:fldChar w:fldCharType="end"/>
          </w:r>
        </w:p>
        <w:p w14:paraId="15196C0C">
          <w:pPr>
            <w:pStyle w:val="21"/>
            <w:rPr>
              <w:rFonts w:eastAsiaTheme="minorEastAsia"/>
              <w:kern w:val="2"/>
              <w:sz w:val="24"/>
              <w:szCs w:val="24"/>
              <w14:ligatures w14:val="standardContextual"/>
            </w:rPr>
          </w:pPr>
          <w:r>
            <w:fldChar w:fldCharType="begin"/>
          </w:r>
          <w:r>
            <w:instrText xml:space="preserve"> HYPERLINK \l "_Toc194822602" </w:instrText>
          </w:r>
          <w:r>
            <w:fldChar w:fldCharType="separate"/>
          </w:r>
          <w:r>
            <w:rPr>
              <w:rStyle w:val="16"/>
            </w:rPr>
            <w:t>2.4</w:t>
          </w:r>
          <w:r>
            <w:rPr>
              <w:rFonts w:eastAsiaTheme="minorEastAsia"/>
              <w:kern w:val="2"/>
              <w:sz w:val="24"/>
              <w:szCs w:val="24"/>
              <w14:ligatures w14:val="standardContextual"/>
            </w:rPr>
            <w:tab/>
          </w:r>
          <w:r>
            <w:rPr>
              <w:rStyle w:val="16"/>
            </w:rPr>
            <w:t>Perceived Benefits Correlates to Examinations Integrity in Secondary Schools in Garissa Township Sub County</w:t>
          </w:r>
          <w:r>
            <w:tab/>
          </w:r>
          <w:r>
            <w:fldChar w:fldCharType="begin"/>
          </w:r>
          <w:r>
            <w:instrText xml:space="preserve"> PAGEREF _Toc194822602 \h </w:instrText>
          </w:r>
          <w:r>
            <w:fldChar w:fldCharType="separate"/>
          </w:r>
          <w:r>
            <w:t>35</w:t>
          </w:r>
          <w:r>
            <w:fldChar w:fldCharType="end"/>
          </w:r>
          <w:r>
            <w:fldChar w:fldCharType="end"/>
          </w:r>
        </w:p>
        <w:p w14:paraId="0B52BFE3">
          <w:pPr>
            <w:pStyle w:val="21"/>
            <w:rPr>
              <w:rFonts w:eastAsiaTheme="minorEastAsia"/>
              <w:kern w:val="2"/>
              <w:sz w:val="24"/>
              <w:szCs w:val="24"/>
              <w14:ligatures w14:val="standardContextual"/>
            </w:rPr>
          </w:pPr>
          <w:r>
            <w:fldChar w:fldCharType="begin"/>
          </w:r>
          <w:r>
            <w:instrText xml:space="preserve"> HYPERLINK \l "_Toc194822603" </w:instrText>
          </w:r>
          <w:r>
            <w:fldChar w:fldCharType="separate"/>
          </w:r>
          <w:r>
            <w:rPr>
              <w:rStyle w:val="16"/>
            </w:rPr>
            <w:t>2.5</w:t>
          </w:r>
          <w:r>
            <w:rPr>
              <w:rFonts w:eastAsiaTheme="minorEastAsia"/>
              <w:kern w:val="2"/>
              <w:sz w:val="24"/>
              <w:szCs w:val="24"/>
              <w14:ligatures w14:val="standardContextual"/>
            </w:rPr>
            <w:tab/>
          </w:r>
          <w:r>
            <w:rPr>
              <w:rStyle w:val="16"/>
            </w:rPr>
            <w:t>Teaching Approaches and Academic integrity and examination malpractices in Secondary Schools in Garissa Township Sub County</w:t>
          </w:r>
          <w:r>
            <w:tab/>
          </w:r>
          <w:r>
            <w:fldChar w:fldCharType="begin"/>
          </w:r>
          <w:r>
            <w:instrText xml:space="preserve"> PAGEREF _Toc194822603 \h </w:instrText>
          </w:r>
          <w:r>
            <w:fldChar w:fldCharType="separate"/>
          </w:r>
          <w:r>
            <w:t>44</w:t>
          </w:r>
          <w:r>
            <w:fldChar w:fldCharType="end"/>
          </w:r>
          <w:r>
            <w:fldChar w:fldCharType="end"/>
          </w:r>
        </w:p>
        <w:p w14:paraId="00980B6F">
          <w:pPr>
            <w:pStyle w:val="21"/>
            <w:rPr>
              <w:rFonts w:eastAsiaTheme="minorEastAsia"/>
              <w:kern w:val="2"/>
              <w:sz w:val="24"/>
              <w:szCs w:val="24"/>
              <w14:ligatures w14:val="standardContextual"/>
            </w:rPr>
          </w:pPr>
          <w:r>
            <w:fldChar w:fldCharType="begin"/>
          </w:r>
          <w:r>
            <w:instrText xml:space="preserve"> HYPERLINK \l "_Toc194822604" </w:instrText>
          </w:r>
          <w:r>
            <w:fldChar w:fldCharType="separate"/>
          </w:r>
          <w:r>
            <w:rPr>
              <w:rStyle w:val="16"/>
            </w:rPr>
            <w:t>2.6</w:t>
          </w:r>
          <w:r>
            <w:rPr>
              <w:rFonts w:eastAsiaTheme="minorEastAsia"/>
              <w:kern w:val="2"/>
              <w:sz w:val="24"/>
              <w:szCs w:val="24"/>
              <w14:ligatures w14:val="standardContextual"/>
            </w:rPr>
            <w:tab/>
          </w:r>
          <w:r>
            <w:rPr>
              <w:rStyle w:val="16"/>
            </w:rPr>
            <w:t>How Syllabus Coverage Relates to Academic integrity and examination malpractices in Secondary Schools in Garissa Township Sub County</w:t>
          </w:r>
          <w:r>
            <w:tab/>
          </w:r>
          <w:r>
            <w:fldChar w:fldCharType="begin"/>
          </w:r>
          <w:r>
            <w:instrText xml:space="preserve"> PAGEREF _Toc194822604 \h </w:instrText>
          </w:r>
          <w:r>
            <w:fldChar w:fldCharType="separate"/>
          </w:r>
          <w:r>
            <w:t>50</w:t>
          </w:r>
          <w:r>
            <w:fldChar w:fldCharType="end"/>
          </w:r>
          <w:r>
            <w:fldChar w:fldCharType="end"/>
          </w:r>
        </w:p>
        <w:p w14:paraId="63FB5BFE">
          <w:pPr>
            <w:pStyle w:val="21"/>
            <w:rPr>
              <w:rFonts w:eastAsiaTheme="minorEastAsia"/>
              <w:kern w:val="2"/>
              <w:sz w:val="24"/>
              <w:szCs w:val="24"/>
              <w14:ligatures w14:val="standardContextual"/>
            </w:rPr>
          </w:pPr>
          <w:r>
            <w:fldChar w:fldCharType="begin"/>
          </w:r>
          <w:r>
            <w:instrText xml:space="preserve"> HYPERLINK \l "_Toc194822605" </w:instrText>
          </w:r>
          <w:r>
            <w:fldChar w:fldCharType="separate"/>
          </w:r>
          <w:r>
            <w:rPr>
              <w:rStyle w:val="16"/>
            </w:rPr>
            <w:t>2.7</w:t>
          </w:r>
          <w:r>
            <w:rPr>
              <w:rFonts w:eastAsiaTheme="minorEastAsia"/>
              <w:kern w:val="2"/>
              <w:sz w:val="24"/>
              <w:szCs w:val="24"/>
              <w14:ligatures w14:val="standardContextual"/>
            </w:rPr>
            <w:tab/>
          </w:r>
          <w:r>
            <w:rPr>
              <w:rStyle w:val="16"/>
            </w:rPr>
            <w:t>Relationship between Social Media and Academic integrity and examination malpractices in Secondary Schools in Garissa Township Sub County</w:t>
          </w:r>
          <w:r>
            <w:tab/>
          </w:r>
          <w:r>
            <w:fldChar w:fldCharType="begin"/>
          </w:r>
          <w:r>
            <w:instrText xml:space="preserve"> PAGEREF _Toc194822605 \h </w:instrText>
          </w:r>
          <w:r>
            <w:fldChar w:fldCharType="separate"/>
          </w:r>
          <w:r>
            <w:t>55</w:t>
          </w:r>
          <w:r>
            <w:fldChar w:fldCharType="end"/>
          </w:r>
          <w:r>
            <w:fldChar w:fldCharType="end"/>
          </w:r>
        </w:p>
        <w:p w14:paraId="3D0501BB">
          <w:pPr>
            <w:pStyle w:val="21"/>
            <w:rPr>
              <w:rFonts w:eastAsiaTheme="minorEastAsia"/>
              <w:kern w:val="2"/>
              <w:sz w:val="24"/>
              <w:szCs w:val="24"/>
              <w14:ligatures w14:val="standardContextual"/>
            </w:rPr>
          </w:pPr>
          <w:r>
            <w:fldChar w:fldCharType="begin"/>
          </w:r>
          <w:r>
            <w:instrText xml:space="preserve"> HYPERLINK \l "_Toc194822606" </w:instrText>
          </w:r>
          <w:r>
            <w:fldChar w:fldCharType="separate"/>
          </w:r>
          <w:r>
            <w:rPr>
              <w:rStyle w:val="16"/>
            </w:rPr>
            <w:t>2.8</w:t>
          </w:r>
          <w:r>
            <w:rPr>
              <w:rFonts w:eastAsiaTheme="minorEastAsia"/>
              <w:kern w:val="2"/>
              <w:sz w:val="24"/>
              <w:szCs w:val="24"/>
              <w14:ligatures w14:val="standardContextual"/>
            </w:rPr>
            <w:tab/>
          </w:r>
          <w:r>
            <w:rPr>
              <w:rStyle w:val="16"/>
            </w:rPr>
            <w:t>Level of KCSE examination malpractices in Garissa Township Sub County</w:t>
          </w:r>
          <w:r>
            <w:tab/>
          </w:r>
          <w:r>
            <w:fldChar w:fldCharType="begin"/>
          </w:r>
          <w:r>
            <w:instrText xml:space="preserve"> PAGEREF _Toc194822606 \h </w:instrText>
          </w:r>
          <w:r>
            <w:fldChar w:fldCharType="separate"/>
          </w:r>
          <w:r>
            <w:t>62</w:t>
          </w:r>
          <w:r>
            <w:fldChar w:fldCharType="end"/>
          </w:r>
          <w:r>
            <w:fldChar w:fldCharType="end"/>
          </w:r>
        </w:p>
        <w:p w14:paraId="04203BCD">
          <w:pPr>
            <w:pStyle w:val="21"/>
            <w:rPr>
              <w:rFonts w:eastAsiaTheme="minorEastAsia"/>
              <w:kern w:val="2"/>
              <w:sz w:val="24"/>
              <w:szCs w:val="24"/>
              <w14:ligatures w14:val="standardContextual"/>
            </w:rPr>
          </w:pPr>
          <w:r>
            <w:fldChar w:fldCharType="begin"/>
          </w:r>
          <w:r>
            <w:instrText xml:space="preserve"> HYPERLINK \l "_Toc194822607" </w:instrText>
          </w:r>
          <w:r>
            <w:fldChar w:fldCharType="separate"/>
          </w:r>
          <w:r>
            <w:rPr>
              <w:rStyle w:val="16"/>
            </w:rPr>
            <w:t>2.9</w:t>
          </w:r>
          <w:r>
            <w:rPr>
              <w:rFonts w:eastAsiaTheme="minorEastAsia"/>
              <w:kern w:val="2"/>
              <w:sz w:val="24"/>
              <w:szCs w:val="24"/>
              <w14:ligatures w14:val="standardContextual"/>
            </w:rPr>
            <w:tab/>
          </w:r>
          <w:r>
            <w:rPr>
              <w:rStyle w:val="16"/>
            </w:rPr>
            <w:t>Research Gap</w:t>
          </w:r>
          <w:r>
            <w:tab/>
          </w:r>
          <w:r>
            <w:fldChar w:fldCharType="begin"/>
          </w:r>
          <w:r>
            <w:instrText xml:space="preserve"> PAGEREF _Toc194822607 \h </w:instrText>
          </w:r>
          <w:r>
            <w:fldChar w:fldCharType="separate"/>
          </w:r>
          <w:r>
            <w:t>76</w:t>
          </w:r>
          <w:r>
            <w:fldChar w:fldCharType="end"/>
          </w:r>
          <w:r>
            <w:fldChar w:fldCharType="end"/>
          </w:r>
        </w:p>
        <w:p w14:paraId="63A2EB48">
          <w:pPr>
            <w:pStyle w:val="21"/>
            <w:rPr>
              <w:rFonts w:eastAsiaTheme="minorEastAsia"/>
              <w:kern w:val="2"/>
              <w:sz w:val="24"/>
              <w:szCs w:val="24"/>
              <w14:ligatures w14:val="standardContextual"/>
            </w:rPr>
          </w:pPr>
          <w:r>
            <w:fldChar w:fldCharType="begin"/>
          </w:r>
          <w:r>
            <w:instrText xml:space="preserve"> HYPERLINK \l "_Toc194822608" </w:instrText>
          </w:r>
          <w:r>
            <w:fldChar w:fldCharType="separate"/>
          </w:r>
          <w:r>
            <w:rPr>
              <w:rStyle w:val="16"/>
              <w:rFonts w:eastAsia="Times New Roman"/>
              <w:b/>
              <w:bCs/>
            </w:rPr>
            <w:t>CHAPTER THREE</w:t>
          </w:r>
          <w:r>
            <w:rPr>
              <w:rStyle w:val="16"/>
              <w:rFonts w:eastAsia="Times New Roman"/>
              <w:b/>
              <w:bCs/>
            </w:rPr>
            <w:fldChar w:fldCharType="end"/>
          </w:r>
        </w:p>
        <w:p w14:paraId="4E9B08D5">
          <w:pPr>
            <w:pStyle w:val="21"/>
            <w:rPr>
              <w:rFonts w:eastAsiaTheme="minorEastAsia"/>
              <w:kern w:val="2"/>
              <w:sz w:val="24"/>
              <w:szCs w:val="24"/>
              <w14:ligatures w14:val="standardContextual"/>
            </w:rPr>
          </w:pPr>
          <w:r>
            <w:fldChar w:fldCharType="begin"/>
          </w:r>
          <w:r>
            <w:instrText xml:space="preserve"> HYPERLINK \l "_Toc194822609" </w:instrText>
          </w:r>
          <w:r>
            <w:fldChar w:fldCharType="separate"/>
          </w:r>
          <w:r>
            <w:rPr>
              <w:rStyle w:val="16"/>
              <w:rFonts w:eastAsia="Times New Roman"/>
              <w:b/>
              <w:bCs/>
            </w:rPr>
            <w:t>RESEARCH</w:t>
          </w:r>
          <w:r>
            <w:rPr>
              <w:rStyle w:val="16"/>
              <w:rFonts w:eastAsia="Times New Roman"/>
              <w:b/>
              <w:bCs/>
            </w:rPr>
            <w:fldChar w:fldCharType="end"/>
          </w:r>
          <w:r>
            <w:rPr>
              <w:rFonts w:eastAsiaTheme="minorEastAsia"/>
              <w:kern w:val="2"/>
              <w:sz w:val="24"/>
              <w:szCs w:val="24"/>
              <w14:ligatures w14:val="standardContextual"/>
            </w:rPr>
            <w:t xml:space="preserve"> </w:t>
          </w:r>
          <w:r>
            <w:fldChar w:fldCharType="begin"/>
          </w:r>
          <w:r>
            <w:instrText xml:space="preserve"> HYPERLINK \l "_Toc194822610" </w:instrText>
          </w:r>
          <w:r>
            <w:fldChar w:fldCharType="separate"/>
          </w:r>
          <w:r>
            <w:rPr>
              <w:rStyle w:val="16"/>
              <w:rFonts w:eastAsia="Times New Roman"/>
              <w:b/>
              <w:bCs/>
            </w:rPr>
            <w:t>METHODOLOGY</w:t>
          </w:r>
          <w:r>
            <w:rPr>
              <w:rStyle w:val="16"/>
              <w:rFonts w:eastAsia="Times New Roman"/>
              <w:b/>
              <w:bCs/>
            </w:rPr>
            <w:fldChar w:fldCharType="end"/>
          </w:r>
        </w:p>
        <w:p w14:paraId="2CAEA6A0">
          <w:pPr>
            <w:pStyle w:val="21"/>
            <w:rPr>
              <w:rFonts w:eastAsiaTheme="minorEastAsia"/>
              <w:kern w:val="2"/>
              <w:sz w:val="24"/>
              <w:szCs w:val="24"/>
              <w14:ligatures w14:val="standardContextual"/>
            </w:rPr>
          </w:pPr>
          <w:r>
            <w:fldChar w:fldCharType="begin"/>
          </w:r>
          <w:r>
            <w:instrText xml:space="preserve"> HYPERLINK \l "_Toc194822611" </w:instrText>
          </w:r>
          <w:r>
            <w:fldChar w:fldCharType="separate"/>
          </w:r>
          <w:r>
            <w:rPr>
              <w:rStyle w:val="16"/>
            </w:rPr>
            <w:t>3.1</w:t>
          </w:r>
          <w:r>
            <w:rPr>
              <w:rFonts w:eastAsiaTheme="minorEastAsia"/>
              <w:kern w:val="2"/>
              <w:sz w:val="24"/>
              <w:szCs w:val="24"/>
              <w14:ligatures w14:val="standardContextual"/>
            </w:rPr>
            <w:tab/>
          </w:r>
          <w:r>
            <w:rPr>
              <w:rStyle w:val="16"/>
            </w:rPr>
            <w:t>Overview</w:t>
          </w:r>
          <w:r>
            <w:tab/>
          </w:r>
          <w:r>
            <w:fldChar w:fldCharType="begin"/>
          </w:r>
          <w:r>
            <w:instrText xml:space="preserve"> PAGEREF _Toc194822611 \h </w:instrText>
          </w:r>
          <w:r>
            <w:fldChar w:fldCharType="separate"/>
          </w:r>
          <w:r>
            <w:t>77</w:t>
          </w:r>
          <w:r>
            <w:fldChar w:fldCharType="end"/>
          </w:r>
          <w:r>
            <w:fldChar w:fldCharType="end"/>
          </w:r>
        </w:p>
        <w:p w14:paraId="433B1A65">
          <w:pPr>
            <w:pStyle w:val="21"/>
            <w:rPr>
              <w:rFonts w:eastAsiaTheme="minorEastAsia"/>
              <w:kern w:val="2"/>
              <w:sz w:val="24"/>
              <w:szCs w:val="24"/>
              <w14:ligatures w14:val="standardContextual"/>
            </w:rPr>
          </w:pPr>
          <w:r>
            <w:fldChar w:fldCharType="begin"/>
          </w:r>
          <w:r>
            <w:instrText xml:space="preserve"> HYPERLINK \l "_Toc194822612" </w:instrText>
          </w:r>
          <w:r>
            <w:fldChar w:fldCharType="separate"/>
          </w:r>
          <w:r>
            <w:rPr>
              <w:rStyle w:val="16"/>
            </w:rPr>
            <w:t>3.2</w:t>
          </w:r>
          <w:r>
            <w:rPr>
              <w:rFonts w:eastAsiaTheme="minorEastAsia"/>
              <w:kern w:val="2"/>
              <w:sz w:val="24"/>
              <w:szCs w:val="24"/>
              <w14:ligatures w14:val="standardContextual"/>
            </w:rPr>
            <w:tab/>
          </w:r>
          <w:r>
            <w:rPr>
              <w:rStyle w:val="16"/>
            </w:rPr>
            <w:t>Research Paradigm</w:t>
          </w:r>
          <w:r>
            <w:tab/>
          </w:r>
          <w:r>
            <w:fldChar w:fldCharType="begin"/>
          </w:r>
          <w:r>
            <w:instrText xml:space="preserve"> PAGEREF _Toc194822612 \h </w:instrText>
          </w:r>
          <w:r>
            <w:fldChar w:fldCharType="separate"/>
          </w:r>
          <w:r>
            <w:t>77</w:t>
          </w:r>
          <w:r>
            <w:fldChar w:fldCharType="end"/>
          </w:r>
          <w:r>
            <w:fldChar w:fldCharType="end"/>
          </w:r>
        </w:p>
        <w:p w14:paraId="4D707F77">
          <w:pPr>
            <w:pStyle w:val="21"/>
            <w:rPr>
              <w:rFonts w:eastAsiaTheme="minorEastAsia"/>
              <w:kern w:val="2"/>
              <w:sz w:val="24"/>
              <w:szCs w:val="24"/>
              <w14:ligatures w14:val="standardContextual"/>
            </w:rPr>
          </w:pPr>
          <w:r>
            <w:fldChar w:fldCharType="begin"/>
          </w:r>
          <w:r>
            <w:instrText xml:space="preserve"> HYPERLINK \l "_Toc194822613" </w:instrText>
          </w:r>
          <w:r>
            <w:fldChar w:fldCharType="separate"/>
          </w:r>
          <w:r>
            <w:rPr>
              <w:rStyle w:val="16"/>
            </w:rPr>
            <w:t>3.3</w:t>
          </w:r>
          <w:r>
            <w:rPr>
              <w:rFonts w:eastAsiaTheme="minorEastAsia"/>
              <w:kern w:val="2"/>
              <w:sz w:val="24"/>
              <w:szCs w:val="24"/>
              <w14:ligatures w14:val="standardContextual"/>
            </w:rPr>
            <w:tab/>
          </w:r>
          <w:r>
            <w:rPr>
              <w:rStyle w:val="16"/>
            </w:rPr>
            <w:t>Research Design</w:t>
          </w:r>
          <w:r>
            <w:tab/>
          </w:r>
          <w:r>
            <w:fldChar w:fldCharType="begin"/>
          </w:r>
          <w:r>
            <w:instrText xml:space="preserve"> PAGEREF _Toc194822613 \h </w:instrText>
          </w:r>
          <w:r>
            <w:fldChar w:fldCharType="separate"/>
          </w:r>
          <w:r>
            <w:t>78</w:t>
          </w:r>
          <w:r>
            <w:fldChar w:fldCharType="end"/>
          </w:r>
          <w:r>
            <w:fldChar w:fldCharType="end"/>
          </w:r>
        </w:p>
        <w:p w14:paraId="6FD6CBD9">
          <w:pPr>
            <w:pStyle w:val="21"/>
            <w:rPr>
              <w:rFonts w:eastAsiaTheme="minorEastAsia"/>
              <w:kern w:val="2"/>
              <w:sz w:val="24"/>
              <w:szCs w:val="24"/>
              <w14:ligatures w14:val="standardContextual"/>
            </w:rPr>
          </w:pPr>
          <w:r>
            <w:fldChar w:fldCharType="begin"/>
          </w:r>
          <w:r>
            <w:instrText xml:space="preserve"> HYPERLINK \l "_Toc194822614" </w:instrText>
          </w:r>
          <w:r>
            <w:fldChar w:fldCharType="separate"/>
          </w:r>
          <w:r>
            <w:rPr>
              <w:rStyle w:val="16"/>
            </w:rPr>
            <w:t>3.4</w:t>
          </w:r>
          <w:r>
            <w:rPr>
              <w:rFonts w:eastAsiaTheme="minorEastAsia"/>
              <w:kern w:val="2"/>
              <w:sz w:val="24"/>
              <w:szCs w:val="24"/>
              <w14:ligatures w14:val="standardContextual"/>
            </w:rPr>
            <w:tab/>
          </w:r>
          <w:r>
            <w:rPr>
              <w:rStyle w:val="16"/>
            </w:rPr>
            <w:t>Location of the Study</w:t>
          </w:r>
          <w:r>
            <w:tab/>
          </w:r>
          <w:r>
            <w:fldChar w:fldCharType="begin"/>
          </w:r>
          <w:r>
            <w:instrText xml:space="preserve"> PAGEREF _Toc194822614 \h </w:instrText>
          </w:r>
          <w:r>
            <w:fldChar w:fldCharType="separate"/>
          </w:r>
          <w:r>
            <w:t>79</w:t>
          </w:r>
          <w:r>
            <w:fldChar w:fldCharType="end"/>
          </w:r>
          <w:r>
            <w:fldChar w:fldCharType="end"/>
          </w:r>
        </w:p>
        <w:p w14:paraId="1E5738F3">
          <w:pPr>
            <w:pStyle w:val="21"/>
            <w:rPr>
              <w:rFonts w:eastAsiaTheme="minorEastAsia"/>
              <w:kern w:val="2"/>
              <w:sz w:val="24"/>
              <w:szCs w:val="24"/>
              <w14:ligatures w14:val="standardContextual"/>
            </w:rPr>
          </w:pPr>
          <w:r>
            <w:fldChar w:fldCharType="begin"/>
          </w:r>
          <w:r>
            <w:instrText xml:space="preserve"> HYPERLINK \l "_Toc194822615" </w:instrText>
          </w:r>
          <w:r>
            <w:fldChar w:fldCharType="separate"/>
          </w:r>
          <w:r>
            <w:rPr>
              <w:rStyle w:val="16"/>
            </w:rPr>
            <w:t>3.5</w:t>
          </w:r>
          <w:r>
            <w:rPr>
              <w:rFonts w:eastAsiaTheme="minorEastAsia"/>
              <w:kern w:val="2"/>
              <w:sz w:val="24"/>
              <w:szCs w:val="24"/>
              <w14:ligatures w14:val="standardContextual"/>
            </w:rPr>
            <w:tab/>
          </w:r>
          <w:r>
            <w:rPr>
              <w:rStyle w:val="16"/>
            </w:rPr>
            <w:t>Target Population</w:t>
          </w:r>
          <w:r>
            <w:tab/>
          </w:r>
          <w:r>
            <w:fldChar w:fldCharType="begin"/>
          </w:r>
          <w:r>
            <w:instrText xml:space="preserve"> PAGEREF _Toc194822615 \h </w:instrText>
          </w:r>
          <w:r>
            <w:fldChar w:fldCharType="separate"/>
          </w:r>
          <w:r>
            <w:t>79</w:t>
          </w:r>
          <w:r>
            <w:fldChar w:fldCharType="end"/>
          </w:r>
          <w:r>
            <w:fldChar w:fldCharType="end"/>
          </w:r>
        </w:p>
        <w:p w14:paraId="13307229">
          <w:pPr>
            <w:pStyle w:val="21"/>
            <w:rPr>
              <w:rFonts w:eastAsiaTheme="minorEastAsia"/>
              <w:kern w:val="2"/>
              <w:sz w:val="24"/>
              <w:szCs w:val="24"/>
              <w14:ligatures w14:val="standardContextual"/>
            </w:rPr>
          </w:pPr>
          <w:r>
            <w:fldChar w:fldCharType="begin"/>
          </w:r>
          <w:r>
            <w:instrText xml:space="preserve"> HYPERLINK \l "_Toc194822616" </w:instrText>
          </w:r>
          <w:r>
            <w:fldChar w:fldCharType="separate"/>
          </w:r>
          <w:r>
            <w:rPr>
              <w:rStyle w:val="16"/>
            </w:rPr>
            <w:t>3.6</w:t>
          </w:r>
          <w:r>
            <w:rPr>
              <w:rFonts w:eastAsiaTheme="minorEastAsia"/>
              <w:kern w:val="2"/>
              <w:sz w:val="24"/>
              <w:szCs w:val="24"/>
              <w14:ligatures w14:val="standardContextual"/>
            </w:rPr>
            <w:tab/>
          </w:r>
          <w:r>
            <w:rPr>
              <w:rStyle w:val="16"/>
            </w:rPr>
            <w:t>Sampling Procedure</w:t>
          </w:r>
          <w:r>
            <w:tab/>
          </w:r>
          <w:r>
            <w:fldChar w:fldCharType="begin"/>
          </w:r>
          <w:r>
            <w:instrText xml:space="preserve"> PAGEREF _Toc194822616 \h </w:instrText>
          </w:r>
          <w:r>
            <w:fldChar w:fldCharType="separate"/>
          </w:r>
          <w:r>
            <w:t>80</w:t>
          </w:r>
          <w:r>
            <w:fldChar w:fldCharType="end"/>
          </w:r>
          <w:r>
            <w:fldChar w:fldCharType="end"/>
          </w:r>
        </w:p>
        <w:p w14:paraId="449844FE">
          <w:pPr>
            <w:pStyle w:val="21"/>
            <w:rPr>
              <w:rFonts w:eastAsiaTheme="minorEastAsia"/>
              <w:kern w:val="2"/>
              <w:sz w:val="24"/>
              <w:szCs w:val="24"/>
              <w14:ligatures w14:val="standardContextual"/>
            </w:rPr>
          </w:pPr>
          <w:r>
            <w:fldChar w:fldCharType="begin"/>
          </w:r>
          <w:r>
            <w:instrText xml:space="preserve"> HYPERLINK \l "_Toc194822617" </w:instrText>
          </w:r>
          <w:r>
            <w:fldChar w:fldCharType="separate"/>
          </w:r>
          <w:r>
            <w:rPr>
              <w:rStyle w:val="16"/>
            </w:rPr>
            <w:t>3.7</w:t>
          </w:r>
          <w:r>
            <w:rPr>
              <w:rFonts w:eastAsiaTheme="minorEastAsia"/>
              <w:kern w:val="2"/>
              <w:sz w:val="24"/>
              <w:szCs w:val="24"/>
              <w14:ligatures w14:val="standardContextual"/>
            </w:rPr>
            <w:tab/>
          </w:r>
          <w:r>
            <w:rPr>
              <w:rStyle w:val="16"/>
              <w:rFonts w:eastAsia="Times New Roman"/>
            </w:rPr>
            <w:t>The Sample</w:t>
          </w:r>
          <w:r>
            <w:tab/>
          </w:r>
          <w:r>
            <w:fldChar w:fldCharType="begin"/>
          </w:r>
          <w:r>
            <w:instrText xml:space="preserve"> PAGEREF _Toc194822617 \h </w:instrText>
          </w:r>
          <w:r>
            <w:fldChar w:fldCharType="separate"/>
          </w:r>
          <w:r>
            <w:t>81</w:t>
          </w:r>
          <w:r>
            <w:fldChar w:fldCharType="end"/>
          </w:r>
          <w:r>
            <w:fldChar w:fldCharType="end"/>
          </w:r>
        </w:p>
        <w:p w14:paraId="3CBCB68E">
          <w:pPr>
            <w:pStyle w:val="21"/>
            <w:rPr>
              <w:rFonts w:eastAsiaTheme="minorEastAsia"/>
              <w:kern w:val="2"/>
              <w:sz w:val="24"/>
              <w:szCs w:val="24"/>
              <w14:ligatures w14:val="standardContextual"/>
            </w:rPr>
          </w:pPr>
          <w:r>
            <w:fldChar w:fldCharType="begin"/>
          </w:r>
          <w:r>
            <w:instrText xml:space="preserve"> HYPERLINK \l "_Toc194822620" </w:instrText>
          </w:r>
          <w:r>
            <w:fldChar w:fldCharType="separate"/>
          </w:r>
          <w:r>
            <w:rPr>
              <w:rStyle w:val="16"/>
            </w:rPr>
            <w:t>3.8</w:t>
          </w:r>
          <w:r>
            <w:rPr>
              <w:rFonts w:eastAsiaTheme="minorEastAsia"/>
              <w:kern w:val="2"/>
              <w:sz w:val="24"/>
              <w:szCs w:val="24"/>
              <w14:ligatures w14:val="standardContextual"/>
            </w:rPr>
            <w:tab/>
          </w:r>
          <w:r>
            <w:rPr>
              <w:rStyle w:val="16"/>
            </w:rPr>
            <w:t>Research Instrument</w:t>
          </w:r>
          <w:r>
            <w:tab/>
          </w:r>
          <w:r>
            <w:fldChar w:fldCharType="begin"/>
          </w:r>
          <w:r>
            <w:instrText xml:space="preserve"> PAGEREF _Toc194822620 \h </w:instrText>
          </w:r>
          <w:r>
            <w:fldChar w:fldCharType="separate"/>
          </w:r>
          <w:r>
            <w:t>81</w:t>
          </w:r>
          <w:r>
            <w:fldChar w:fldCharType="end"/>
          </w:r>
          <w:r>
            <w:fldChar w:fldCharType="end"/>
          </w:r>
        </w:p>
        <w:p w14:paraId="2EB4292C">
          <w:pPr>
            <w:pStyle w:val="21"/>
            <w:rPr>
              <w:rFonts w:eastAsiaTheme="minorEastAsia"/>
              <w:kern w:val="2"/>
              <w:sz w:val="24"/>
              <w:szCs w:val="24"/>
              <w14:ligatures w14:val="standardContextual"/>
            </w:rPr>
          </w:pPr>
          <w:r>
            <w:fldChar w:fldCharType="begin"/>
          </w:r>
          <w:r>
            <w:instrText xml:space="preserve"> HYPERLINK \l "_Toc194822621" </w:instrText>
          </w:r>
          <w:r>
            <w:fldChar w:fldCharType="separate"/>
          </w:r>
          <w:r>
            <w:rPr>
              <w:rStyle w:val="16"/>
            </w:rPr>
            <w:t>3.9</w:t>
          </w:r>
          <w:r>
            <w:rPr>
              <w:rFonts w:eastAsiaTheme="minorEastAsia"/>
              <w:kern w:val="2"/>
              <w:sz w:val="24"/>
              <w:szCs w:val="24"/>
              <w14:ligatures w14:val="standardContextual"/>
            </w:rPr>
            <w:tab/>
          </w:r>
          <w:r>
            <w:rPr>
              <w:rStyle w:val="16"/>
            </w:rPr>
            <w:t>Validity of the Research Instruments</w:t>
          </w:r>
          <w:r>
            <w:tab/>
          </w:r>
          <w:r>
            <w:fldChar w:fldCharType="begin"/>
          </w:r>
          <w:r>
            <w:instrText xml:space="preserve"> PAGEREF _Toc194822621 \h </w:instrText>
          </w:r>
          <w:r>
            <w:fldChar w:fldCharType="separate"/>
          </w:r>
          <w:r>
            <w:t>82</w:t>
          </w:r>
          <w:r>
            <w:fldChar w:fldCharType="end"/>
          </w:r>
          <w:r>
            <w:fldChar w:fldCharType="end"/>
          </w:r>
        </w:p>
        <w:p w14:paraId="509C50AE">
          <w:pPr>
            <w:pStyle w:val="21"/>
            <w:rPr>
              <w:rFonts w:eastAsiaTheme="minorEastAsia"/>
              <w:kern w:val="2"/>
              <w:sz w:val="24"/>
              <w:szCs w:val="24"/>
              <w14:ligatures w14:val="standardContextual"/>
            </w:rPr>
          </w:pPr>
          <w:r>
            <w:fldChar w:fldCharType="begin"/>
          </w:r>
          <w:r>
            <w:instrText xml:space="preserve"> HYPERLINK \l "_Toc194822622" </w:instrText>
          </w:r>
          <w:r>
            <w:fldChar w:fldCharType="separate"/>
          </w:r>
          <w:r>
            <w:rPr>
              <w:rStyle w:val="16"/>
            </w:rPr>
            <w:t>3.10</w:t>
          </w:r>
          <w:r>
            <w:rPr>
              <w:rFonts w:eastAsiaTheme="minorEastAsia"/>
              <w:kern w:val="2"/>
              <w:sz w:val="24"/>
              <w:szCs w:val="24"/>
              <w14:ligatures w14:val="standardContextual"/>
            </w:rPr>
            <w:tab/>
          </w:r>
          <w:r>
            <w:rPr>
              <w:rStyle w:val="16"/>
            </w:rPr>
            <w:t>Reliability of the Research Instruments</w:t>
          </w:r>
          <w:r>
            <w:tab/>
          </w:r>
          <w:r>
            <w:fldChar w:fldCharType="begin"/>
          </w:r>
          <w:r>
            <w:instrText xml:space="preserve"> PAGEREF _Toc194822622 \h </w:instrText>
          </w:r>
          <w:r>
            <w:fldChar w:fldCharType="separate"/>
          </w:r>
          <w:r>
            <w:t>83</w:t>
          </w:r>
          <w:r>
            <w:fldChar w:fldCharType="end"/>
          </w:r>
          <w:r>
            <w:fldChar w:fldCharType="end"/>
          </w:r>
        </w:p>
        <w:p w14:paraId="17CFF8EF">
          <w:pPr>
            <w:pStyle w:val="21"/>
            <w:rPr>
              <w:rFonts w:eastAsiaTheme="minorEastAsia"/>
              <w:kern w:val="2"/>
              <w:sz w:val="24"/>
              <w:szCs w:val="24"/>
              <w14:ligatures w14:val="standardContextual"/>
            </w:rPr>
          </w:pPr>
          <w:r>
            <w:fldChar w:fldCharType="begin"/>
          </w:r>
          <w:r>
            <w:instrText xml:space="preserve"> HYPERLINK \l "_Toc194822623" </w:instrText>
          </w:r>
          <w:r>
            <w:fldChar w:fldCharType="separate"/>
          </w:r>
          <w:r>
            <w:rPr>
              <w:rStyle w:val="16"/>
            </w:rPr>
            <w:t>3.11</w:t>
          </w:r>
          <w:r>
            <w:rPr>
              <w:rFonts w:eastAsiaTheme="minorEastAsia"/>
              <w:kern w:val="2"/>
              <w:sz w:val="24"/>
              <w:szCs w:val="24"/>
              <w14:ligatures w14:val="standardContextual"/>
            </w:rPr>
            <w:tab/>
          </w:r>
          <w:r>
            <w:rPr>
              <w:rStyle w:val="16"/>
            </w:rPr>
            <w:t>Pilot Study</w:t>
          </w:r>
          <w:r>
            <w:tab/>
          </w:r>
          <w:r>
            <w:fldChar w:fldCharType="begin"/>
          </w:r>
          <w:r>
            <w:instrText xml:space="preserve"> PAGEREF _Toc194822623 \h </w:instrText>
          </w:r>
          <w:r>
            <w:fldChar w:fldCharType="separate"/>
          </w:r>
          <w:r>
            <w:t>84</w:t>
          </w:r>
          <w:r>
            <w:fldChar w:fldCharType="end"/>
          </w:r>
          <w:r>
            <w:fldChar w:fldCharType="end"/>
          </w:r>
        </w:p>
        <w:p w14:paraId="208D9482">
          <w:pPr>
            <w:pStyle w:val="21"/>
            <w:rPr>
              <w:rFonts w:eastAsiaTheme="minorEastAsia"/>
              <w:kern w:val="2"/>
              <w:sz w:val="24"/>
              <w:szCs w:val="24"/>
              <w14:ligatures w14:val="standardContextual"/>
            </w:rPr>
          </w:pPr>
          <w:r>
            <w:fldChar w:fldCharType="begin"/>
          </w:r>
          <w:r>
            <w:instrText xml:space="preserve"> HYPERLINK \l "_Toc194822624" </w:instrText>
          </w:r>
          <w:r>
            <w:fldChar w:fldCharType="separate"/>
          </w:r>
          <w:r>
            <w:rPr>
              <w:rStyle w:val="16"/>
            </w:rPr>
            <w:t>3.12</w:t>
          </w:r>
          <w:r>
            <w:rPr>
              <w:rFonts w:eastAsiaTheme="minorEastAsia"/>
              <w:kern w:val="2"/>
              <w:sz w:val="24"/>
              <w:szCs w:val="24"/>
              <w14:ligatures w14:val="standardContextual"/>
            </w:rPr>
            <w:tab/>
          </w:r>
          <w:r>
            <w:rPr>
              <w:rStyle w:val="16"/>
              <w:rFonts w:eastAsia="Times New Roman"/>
            </w:rPr>
            <w:t>Data Collection Procedure</w:t>
          </w:r>
          <w:r>
            <w:tab/>
          </w:r>
          <w:r>
            <w:fldChar w:fldCharType="begin"/>
          </w:r>
          <w:r>
            <w:instrText xml:space="preserve"> PAGEREF _Toc194822624 \h </w:instrText>
          </w:r>
          <w:r>
            <w:fldChar w:fldCharType="separate"/>
          </w:r>
          <w:r>
            <w:t>85</w:t>
          </w:r>
          <w:r>
            <w:fldChar w:fldCharType="end"/>
          </w:r>
          <w:r>
            <w:fldChar w:fldCharType="end"/>
          </w:r>
        </w:p>
        <w:p w14:paraId="72871517">
          <w:pPr>
            <w:pStyle w:val="21"/>
            <w:rPr>
              <w:rFonts w:eastAsiaTheme="minorEastAsia"/>
              <w:kern w:val="2"/>
              <w:sz w:val="24"/>
              <w:szCs w:val="24"/>
              <w14:ligatures w14:val="standardContextual"/>
            </w:rPr>
          </w:pPr>
          <w:r>
            <w:fldChar w:fldCharType="begin"/>
          </w:r>
          <w:r>
            <w:instrText xml:space="preserve"> HYPERLINK \l "_Toc194822625" </w:instrText>
          </w:r>
          <w:r>
            <w:fldChar w:fldCharType="separate"/>
          </w:r>
          <w:r>
            <w:rPr>
              <w:rStyle w:val="16"/>
            </w:rPr>
            <w:t>3.13</w:t>
          </w:r>
          <w:r>
            <w:rPr>
              <w:rFonts w:eastAsiaTheme="minorEastAsia"/>
              <w:kern w:val="2"/>
              <w:sz w:val="24"/>
              <w:szCs w:val="24"/>
              <w14:ligatures w14:val="standardContextual"/>
            </w:rPr>
            <w:tab/>
          </w:r>
          <w:r>
            <w:rPr>
              <w:rStyle w:val="16"/>
            </w:rPr>
            <w:t>Operational Definition of Research Variables</w:t>
          </w:r>
          <w:r>
            <w:tab/>
          </w:r>
          <w:r>
            <w:fldChar w:fldCharType="begin"/>
          </w:r>
          <w:r>
            <w:instrText xml:space="preserve"> PAGEREF _Toc194822625 \h </w:instrText>
          </w:r>
          <w:r>
            <w:fldChar w:fldCharType="separate"/>
          </w:r>
          <w:r>
            <w:t>86</w:t>
          </w:r>
          <w:r>
            <w:fldChar w:fldCharType="end"/>
          </w:r>
          <w:r>
            <w:fldChar w:fldCharType="end"/>
          </w:r>
        </w:p>
        <w:p w14:paraId="649F460E">
          <w:pPr>
            <w:pStyle w:val="21"/>
            <w:rPr>
              <w:rFonts w:eastAsiaTheme="minorEastAsia"/>
              <w:kern w:val="2"/>
              <w:sz w:val="24"/>
              <w:szCs w:val="24"/>
              <w14:ligatures w14:val="standardContextual"/>
            </w:rPr>
          </w:pPr>
          <w:r>
            <w:fldChar w:fldCharType="begin"/>
          </w:r>
          <w:r>
            <w:instrText xml:space="preserve"> HYPERLINK \l "_Toc194822628" </w:instrText>
          </w:r>
          <w:r>
            <w:fldChar w:fldCharType="separate"/>
          </w:r>
          <w:r>
            <w:rPr>
              <w:rStyle w:val="16"/>
            </w:rPr>
            <w:t>3.14</w:t>
          </w:r>
          <w:r>
            <w:rPr>
              <w:rFonts w:eastAsiaTheme="minorEastAsia"/>
              <w:kern w:val="2"/>
              <w:sz w:val="24"/>
              <w:szCs w:val="24"/>
              <w14:ligatures w14:val="standardContextual"/>
            </w:rPr>
            <w:tab/>
          </w:r>
          <w:r>
            <w:rPr>
              <w:rStyle w:val="16"/>
              <w:rFonts w:eastAsia="Times New Roman"/>
            </w:rPr>
            <w:t>Data Analysis Method</w:t>
          </w:r>
          <w:r>
            <w:tab/>
          </w:r>
          <w:r>
            <w:fldChar w:fldCharType="begin"/>
          </w:r>
          <w:r>
            <w:instrText xml:space="preserve"> PAGEREF _Toc194822628 \h </w:instrText>
          </w:r>
          <w:r>
            <w:fldChar w:fldCharType="separate"/>
          </w:r>
          <w:r>
            <w:t>87</w:t>
          </w:r>
          <w:r>
            <w:fldChar w:fldCharType="end"/>
          </w:r>
          <w:r>
            <w:fldChar w:fldCharType="end"/>
          </w:r>
        </w:p>
        <w:p w14:paraId="4D4F6FE9">
          <w:pPr>
            <w:pStyle w:val="21"/>
            <w:rPr>
              <w:rFonts w:eastAsiaTheme="minorEastAsia"/>
              <w:kern w:val="2"/>
              <w:sz w:val="24"/>
              <w:szCs w:val="24"/>
              <w14:ligatures w14:val="standardContextual"/>
            </w:rPr>
          </w:pPr>
          <w:r>
            <w:fldChar w:fldCharType="begin"/>
          </w:r>
          <w:r>
            <w:instrText xml:space="preserve"> HYPERLINK \l "_Toc194822629" </w:instrText>
          </w:r>
          <w:r>
            <w:fldChar w:fldCharType="separate"/>
          </w:r>
          <w:r>
            <w:rPr>
              <w:rStyle w:val="16"/>
              <w:rFonts w:eastAsia="Times New Roman"/>
            </w:rPr>
            <w:t>3.15</w:t>
          </w:r>
          <w:r>
            <w:rPr>
              <w:rFonts w:eastAsiaTheme="minorEastAsia"/>
              <w:kern w:val="2"/>
              <w:sz w:val="24"/>
              <w:szCs w:val="24"/>
              <w14:ligatures w14:val="standardContextual"/>
            </w:rPr>
            <w:tab/>
          </w:r>
          <w:r>
            <w:rPr>
              <w:rStyle w:val="16"/>
              <w:rFonts w:eastAsia="Times New Roman"/>
            </w:rPr>
            <w:t>Ethical Considerations</w:t>
          </w:r>
          <w:r>
            <w:tab/>
          </w:r>
          <w:r>
            <w:fldChar w:fldCharType="begin"/>
          </w:r>
          <w:r>
            <w:instrText xml:space="preserve"> PAGEREF _Toc194822629 \h </w:instrText>
          </w:r>
          <w:r>
            <w:fldChar w:fldCharType="separate"/>
          </w:r>
          <w:r>
            <w:t>89</w:t>
          </w:r>
          <w:r>
            <w:fldChar w:fldCharType="end"/>
          </w:r>
          <w:r>
            <w:fldChar w:fldCharType="end"/>
          </w:r>
        </w:p>
        <w:p w14:paraId="7B851BE7">
          <w:pPr>
            <w:pStyle w:val="21"/>
            <w:rPr>
              <w:rFonts w:eastAsiaTheme="minorEastAsia"/>
              <w:kern w:val="2"/>
              <w:sz w:val="24"/>
              <w:szCs w:val="24"/>
              <w14:ligatures w14:val="standardContextual"/>
            </w:rPr>
          </w:pPr>
          <w:r>
            <w:fldChar w:fldCharType="begin"/>
          </w:r>
          <w:r>
            <w:instrText xml:space="preserve"> HYPERLINK \l "_Toc194822630" </w:instrText>
          </w:r>
          <w:r>
            <w:fldChar w:fldCharType="separate"/>
          </w:r>
          <w:r>
            <w:rPr>
              <w:rStyle w:val="16"/>
              <w:b/>
              <w:bCs/>
            </w:rPr>
            <w:t>CHAPTER FOUR</w:t>
          </w:r>
          <w:r>
            <w:rPr>
              <w:rStyle w:val="16"/>
              <w:b/>
              <w:bCs/>
            </w:rPr>
            <w:fldChar w:fldCharType="end"/>
          </w:r>
        </w:p>
        <w:p w14:paraId="3C8C5A17">
          <w:pPr>
            <w:pStyle w:val="21"/>
            <w:rPr>
              <w:rFonts w:eastAsiaTheme="minorEastAsia"/>
              <w:kern w:val="2"/>
              <w:sz w:val="24"/>
              <w:szCs w:val="24"/>
              <w14:ligatures w14:val="standardContextual"/>
            </w:rPr>
          </w:pPr>
          <w:r>
            <w:fldChar w:fldCharType="begin"/>
          </w:r>
          <w:r>
            <w:instrText xml:space="preserve"> HYPERLINK \l "_Toc194822631" </w:instrText>
          </w:r>
          <w:r>
            <w:fldChar w:fldCharType="separate"/>
          </w:r>
          <w:r>
            <w:rPr>
              <w:rStyle w:val="16"/>
              <w:b/>
              <w:bCs/>
            </w:rPr>
            <w:t>DATA ANALYSIS RESULTS AND DISCUSSION</w:t>
          </w:r>
          <w:r>
            <w:rPr>
              <w:rStyle w:val="16"/>
              <w:b/>
              <w:bCs/>
            </w:rPr>
            <w:fldChar w:fldCharType="end"/>
          </w:r>
        </w:p>
        <w:p w14:paraId="6F68F0DB">
          <w:pPr>
            <w:pStyle w:val="21"/>
            <w:rPr>
              <w:rFonts w:eastAsiaTheme="minorEastAsia"/>
              <w:kern w:val="2"/>
              <w:sz w:val="24"/>
              <w:szCs w:val="24"/>
              <w14:ligatures w14:val="standardContextual"/>
            </w:rPr>
          </w:pPr>
          <w:r>
            <w:fldChar w:fldCharType="begin"/>
          </w:r>
          <w:r>
            <w:instrText xml:space="preserve"> HYPERLINK \l "_Toc194822636" </w:instrText>
          </w:r>
          <w:r>
            <w:fldChar w:fldCharType="separate"/>
          </w:r>
          <w:r>
            <w:rPr>
              <w:rStyle w:val="16"/>
            </w:rPr>
            <w:t>4.1.</w:t>
          </w:r>
          <w:r>
            <w:rPr>
              <w:rFonts w:eastAsiaTheme="minorEastAsia"/>
              <w:kern w:val="2"/>
              <w:sz w:val="24"/>
              <w:szCs w:val="24"/>
              <w14:ligatures w14:val="standardContextual"/>
            </w:rPr>
            <w:tab/>
          </w:r>
          <w:r>
            <w:rPr>
              <w:rStyle w:val="16"/>
            </w:rPr>
            <w:t>Overview</w:t>
          </w:r>
          <w:r>
            <w:tab/>
          </w:r>
          <w:r>
            <w:fldChar w:fldCharType="begin"/>
          </w:r>
          <w:r>
            <w:instrText xml:space="preserve"> PAGEREF _Toc194822636 \h </w:instrText>
          </w:r>
          <w:r>
            <w:fldChar w:fldCharType="separate"/>
          </w:r>
          <w:r>
            <w:t>91</w:t>
          </w:r>
          <w:r>
            <w:fldChar w:fldCharType="end"/>
          </w:r>
          <w:r>
            <w:fldChar w:fldCharType="end"/>
          </w:r>
        </w:p>
        <w:p w14:paraId="27ECECDC">
          <w:pPr>
            <w:pStyle w:val="21"/>
            <w:rPr>
              <w:rFonts w:eastAsiaTheme="minorEastAsia"/>
              <w:kern w:val="2"/>
              <w:sz w:val="24"/>
              <w:szCs w:val="24"/>
              <w14:ligatures w14:val="standardContextual"/>
            </w:rPr>
          </w:pPr>
          <w:r>
            <w:fldChar w:fldCharType="begin"/>
          </w:r>
          <w:r>
            <w:instrText xml:space="preserve"> HYPERLINK \l "_Toc194822637" </w:instrText>
          </w:r>
          <w:r>
            <w:fldChar w:fldCharType="separate"/>
          </w:r>
          <w:r>
            <w:rPr>
              <w:rStyle w:val="16"/>
            </w:rPr>
            <w:t>4.2.</w:t>
          </w:r>
          <w:r>
            <w:rPr>
              <w:rFonts w:eastAsiaTheme="minorEastAsia"/>
              <w:kern w:val="2"/>
              <w:sz w:val="24"/>
              <w:szCs w:val="24"/>
              <w14:ligatures w14:val="standardContextual"/>
            </w:rPr>
            <w:tab/>
          </w:r>
          <w:r>
            <w:rPr>
              <w:rStyle w:val="16"/>
            </w:rPr>
            <w:t>Instrument Response Rate</w:t>
          </w:r>
          <w:r>
            <w:tab/>
          </w:r>
          <w:r>
            <w:fldChar w:fldCharType="begin"/>
          </w:r>
          <w:r>
            <w:instrText xml:space="preserve"> PAGEREF _Toc194822637 \h </w:instrText>
          </w:r>
          <w:r>
            <w:fldChar w:fldCharType="separate"/>
          </w:r>
          <w:r>
            <w:t>92</w:t>
          </w:r>
          <w:r>
            <w:fldChar w:fldCharType="end"/>
          </w:r>
          <w:r>
            <w:fldChar w:fldCharType="end"/>
          </w:r>
        </w:p>
        <w:p w14:paraId="46BC33D6">
          <w:pPr>
            <w:pStyle w:val="21"/>
            <w:rPr>
              <w:rFonts w:eastAsiaTheme="minorEastAsia"/>
              <w:kern w:val="2"/>
              <w:sz w:val="24"/>
              <w:szCs w:val="24"/>
              <w14:ligatures w14:val="standardContextual"/>
            </w:rPr>
          </w:pPr>
          <w:r>
            <w:fldChar w:fldCharType="begin"/>
          </w:r>
          <w:r>
            <w:instrText xml:space="preserve"> HYPERLINK \l "_Toc194822640" </w:instrText>
          </w:r>
          <w:r>
            <w:fldChar w:fldCharType="separate"/>
          </w:r>
          <w:r>
            <w:rPr>
              <w:rStyle w:val="16"/>
            </w:rPr>
            <w:t>4.3</w:t>
          </w:r>
          <w:r>
            <w:rPr>
              <w:rFonts w:eastAsiaTheme="minorEastAsia"/>
              <w:kern w:val="2"/>
              <w:sz w:val="24"/>
              <w:szCs w:val="24"/>
              <w14:ligatures w14:val="standardContextual"/>
            </w:rPr>
            <w:tab/>
          </w:r>
          <w:r>
            <w:rPr>
              <w:rStyle w:val="16"/>
            </w:rPr>
            <w:t>Demographic Information of the Students and Teachers</w:t>
          </w:r>
          <w:r>
            <w:tab/>
          </w:r>
          <w:r>
            <w:fldChar w:fldCharType="begin"/>
          </w:r>
          <w:r>
            <w:instrText xml:space="preserve"> PAGEREF _Toc194822640 \h </w:instrText>
          </w:r>
          <w:r>
            <w:fldChar w:fldCharType="separate"/>
          </w:r>
          <w:r>
            <w:t>92</w:t>
          </w:r>
          <w:r>
            <w:fldChar w:fldCharType="end"/>
          </w:r>
          <w:r>
            <w:fldChar w:fldCharType="end"/>
          </w:r>
        </w:p>
        <w:p w14:paraId="3D1D7BF3">
          <w:pPr>
            <w:pStyle w:val="21"/>
            <w:rPr>
              <w:rFonts w:eastAsiaTheme="minorEastAsia"/>
              <w:kern w:val="2"/>
              <w:sz w:val="24"/>
              <w:szCs w:val="24"/>
              <w14:ligatures w14:val="standardContextual"/>
            </w:rPr>
          </w:pPr>
          <w:r>
            <w:fldChar w:fldCharType="begin"/>
          </w:r>
          <w:r>
            <w:instrText xml:space="preserve"> HYPERLINK \l "_Toc194822641" </w:instrText>
          </w:r>
          <w:r>
            <w:fldChar w:fldCharType="separate"/>
          </w:r>
          <w:r>
            <w:rPr>
              <w:rStyle w:val="16"/>
            </w:rPr>
            <w:t>4.3.1</w:t>
          </w:r>
          <w:r>
            <w:rPr>
              <w:rFonts w:eastAsiaTheme="minorEastAsia"/>
              <w:kern w:val="2"/>
              <w:sz w:val="24"/>
              <w:szCs w:val="24"/>
              <w14:ligatures w14:val="standardContextual"/>
            </w:rPr>
            <w:tab/>
          </w:r>
          <w:r>
            <w:rPr>
              <w:rStyle w:val="16"/>
            </w:rPr>
            <w:t>Gender of the Respondents</w:t>
          </w:r>
          <w:r>
            <w:tab/>
          </w:r>
          <w:r>
            <w:fldChar w:fldCharType="begin"/>
          </w:r>
          <w:r>
            <w:instrText xml:space="preserve"> PAGEREF _Toc194822641 \h </w:instrText>
          </w:r>
          <w:r>
            <w:fldChar w:fldCharType="separate"/>
          </w:r>
          <w:r>
            <w:t>92</w:t>
          </w:r>
          <w:r>
            <w:fldChar w:fldCharType="end"/>
          </w:r>
          <w:r>
            <w:fldChar w:fldCharType="end"/>
          </w:r>
        </w:p>
        <w:p w14:paraId="4E183932">
          <w:pPr>
            <w:pStyle w:val="21"/>
            <w:rPr>
              <w:rFonts w:eastAsiaTheme="minorEastAsia"/>
              <w:kern w:val="2"/>
              <w:sz w:val="24"/>
              <w:szCs w:val="24"/>
              <w14:ligatures w14:val="standardContextual"/>
            </w:rPr>
          </w:pPr>
          <w:r>
            <w:fldChar w:fldCharType="begin"/>
          </w:r>
          <w:r>
            <w:instrText xml:space="preserve"> HYPERLINK \l "_Toc194822643" </w:instrText>
          </w:r>
          <w:r>
            <w:fldChar w:fldCharType="separate"/>
          </w:r>
          <w:r>
            <w:rPr>
              <w:rStyle w:val="16"/>
            </w:rPr>
            <w:t>4.3.2</w:t>
          </w:r>
          <w:r>
            <w:rPr>
              <w:rFonts w:eastAsiaTheme="minorEastAsia"/>
              <w:kern w:val="2"/>
              <w:sz w:val="24"/>
              <w:szCs w:val="24"/>
              <w14:ligatures w14:val="standardContextual"/>
            </w:rPr>
            <w:tab/>
          </w:r>
          <w:r>
            <w:rPr>
              <w:rStyle w:val="16"/>
            </w:rPr>
            <w:t>Level of Study, Age and School Category</w:t>
          </w:r>
          <w:r>
            <w:tab/>
          </w:r>
          <w:r>
            <w:fldChar w:fldCharType="begin"/>
          </w:r>
          <w:r>
            <w:instrText xml:space="preserve"> PAGEREF _Toc194822643 \h </w:instrText>
          </w:r>
          <w:r>
            <w:fldChar w:fldCharType="separate"/>
          </w:r>
          <w:r>
            <w:t>93</w:t>
          </w:r>
          <w:r>
            <w:fldChar w:fldCharType="end"/>
          </w:r>
          <w:r>
            <w:fldChar w:fldCharType="end"/>
          </w:r>
        </w:p>
        <w:p w14:paraId="21F92041">
          <w:pPr>
            <w:pStyle w:val="21"/>
            <w:rPr>
              <w:rFonts w:eastAsiaTheme="minorEastAsia"/>
              <w:kern w:val="2"/>
              <w:sz w:val="24"/>
              <w:szCs w:val="24"/>
              <w14:ligatures w14:val="standardContextual"/>
            </w:rPr>
          </w:pPr>
          <w:r>
            <w:fldChar w:fldCharType="begin"/>
          </w:r>
          <w:r>
            <w:instrText xml:space="preserve"> HYPERLINK \l "_Toc194822646" </w:instrText>
          </w:r>
          <w:r>
            <w:fldChar w:fldCharType="separate"/>
          </w:r>
          <w:r>
            <w:rPr>
              <w:rStyle w:val="16"/>
            </w:rPr>
            <w:t>4.4</w:t>
          </w:r>
          <w:r>
            <w:rPr>
              <w:rFonts w:eastAsiaTheme="minorEastAsia"/>
              <w:kern w:val="2"/>
              <w:sz w:val="24"/>
              <w:szCs w:val="24"/>
              <w14:ligatures w14:val="standardContextual"/>
            </w:rPr>
            <w:tab/>
          </w:r>
          <w:r>
            <w:rPr>
              <w:rStyle w:val="16"/>
            </w:rPr>
            <w:t>Analysis, Presentation and Interpretation of Results</w:t>
          </w:r>
          <w:r>
            <w:tab/>
          </w:r>
          <w:r>
            <w:fldChar w:fldCharType="begin"/>
          </w:r>
          <w:r>
            <w:instrText xml:space="preserve"> PAGEREF _Toc194822646 \h </w:instrText>
          </w:r>
          <w:r>
            <w:fldChar w:fldCharType="separate"/>
          </w:r>
          <w:r>
            <w:t>94</w:t>
          </w:r>
          <w:r>
            <w:fldChar w:fldCharType="end"/>
          </w:r>
          <w:r>
            <w:fldChar w:fldCharType="end"/>
          </w:r>
        </w:p>
        <w:p w14:paraId="6D571C1A">
          <w:pPr>
            <w:pStyle w:val="21"/>
            <w:rPr>
              <w:rFonts w:eastAsiaTheme="minorEastAsia"/>
              <w:kern w:val="2"/>
              <w:sz w:val="24"/>
              <w:szCs w:val="24"/>
              <w14:ligatures w14:val="standardContextual"/>
            </w:rPr>
          </w:pPr>
          <w:r>
            <w:fldChar w:fldCharType="begin"/>
          </w:r>
          <w:r>
            <w:instrText xml:space="preserve"> HYPERLINK \l "_Toc194822647" </w:instrText>
          </w:r>
          <w:r>
            <w:fldChar w:fldCharType="separate"/>
          </w:r>
          <w:r>
            <w:rPr>
              <w:rStyle w:val="16"/>
            </w:rPr>
            <w:t>4.4.1</w:t>
          </w:r>
          <w:r>
            <w:rPr>
              <w:rFonts w:eastAsiaTheme="minorEastAsia"/>
              <w:kern w:val="2"/>
              <w:sz w:val="24"/>
              <w:szCs w:val="24"/>
              <w14:ligatures w14:val="standardContextual"/>
            </w:rPr>
            <w:tab/>
          </w:r>
          <w:r>
            <w:rPr>
              <w:rStyle w:val="16"/>
            </w:rPr>
            <w:t>Peer Pressure and Level of Exam Malpractices in KCSE</w:t>
          </w:r>
          <w:r>
            <w:tab/>
          </w:r>
          <w:r>
            <w:fldChar w:fldCharType="begin"/>
          </w:r>
          <w:r>
            <w:instrText xml:space="preserve"> PAGEREF _Toc194822647 \h </w:instrText>
          </w:r>
          <w:r>
            <w:fldChar w:fldCharType="separate"/>
          </w:r>
          <w:r>
            <w:t>95</w:t>
          </w:r>
          <w:r>
            <w:fldChar w:fldCharType="end"/>
          </w:r>
          <w:r>
            <w:fldChar w:fldCharType="end"/>
          </w:r>
        </w:p>
        <w:p w14:paraId="4D46FBA3">
          <w:pPr>
            <w:pStyle w:val="21"/>
            <w:rPr>
              <w:rFonts w:eastAsiaTheme="minorEastAsia"/>
              <w:kern w:val="2"/>
              <w:sz w:val="24"/>
              <w:szCs w:val="24"/>
              <w14:ligatures w14:val="standardContextual"/>
            </w:rPr>
          </w:pPr>
          <w:r>
            <w:fldChar w:fldCharType="begin"/>
          </w:r>
          <w:r>
            <w:instrText xml:space="preserve"> HYPERLINK \l "_Toc194822654" </w:instrText>
          </w:r>
          <w:r>
            <w:fldChar w:fldCharType="separate"/>
          </w:r>
          <w:r>
            <w:rPr>
              <w:rStyle w:val="16"/>
            </w:rPr>
            <w:t>4.4.2</w:t>
          </w:r>
          <w:r>
            <w:rPr>
              <w:rFonts w:eastAsiaTheme="minorEastAsia"/>
              <w:kern w:val="2"/>
              <w:sz w:val="24"/>
              <w:szCs w:val="24"/>
              <w14:ligatures w14:val="standardContextual"/>
            </w:rPr>
            <w:tab/>
          </w:r>
          <w:r>
            <w:rPr>
              <w:rStyle w:val="16"/>
            </w:rPr>
            <w:t>Parents Involvement and Level of Exam Malpractices in KCSE</w:t>
          </w:r>
          <w:r>
            <w:tab/>
          </w:r>
          <w:r>
            <w:fldChar w:fldCharType="begin"/>
          </w:r>
          <w:r>
            <w:instrText xml:space="preserve"> PAGEREF _Toc194822654 \h </w:instrText>
          </w:r>
          <w:r>
            <w:fldChar w:fldCharType="separate"/>
          </w:r>
          <w:r>
            <w:t>106</w:t>
          </w:r>
          <w:r>
            <w:fldChar w:fldCharType="end"/>
          </w:r>
          <w:r>
            <w:fldChar w:fldCharType="end"/>
          </w:r>
        </w:p>
        <w:p w14:paraId="62D0CBC6">
          <w:pPr>
            <w:pStyle w:val="21"/>
            <w:rPr>
              <w:rFonts w:eastAsiaTheme="minorEastAsia"/>
              <w:kern w:val="2"/>
              <w:sz w:val="24"/>
              <w:szCs w:val="24"/>
              <w14:ligatures w14:val="standardContextual"/>
            </w:rPr>
          </w:pPr>
          <w:r>
            <w:fldChar w:fldCharType="begin"/>
          </w:r>
          <w:r>
            <w:instrText xml:space="preserve"> HYPERLINK \l "_Toc194822661" </w:instrText>
          </w:r>
          <w:r>
            <w:fldChar w:fldCharType="separate"/>
          </w:r>
          <w:r>
            <w:rPr>
              <w:rStyle w:val="16"/>
            </w:rPr>
            <w:t>4.4.3</w:t>
          </w:r>
          <w:r>
            <w:rPr>
              <w:rFonts w:eastAsiaTheme="minorEastAsia"/>
              <w:kern w:val="2"/>
              <w:sz w:val="24"/>
              <w:szCs w:val="24"/>
              <w14:ligatures w14:val="standardContextual"/>
            </w:rPr>
            <w:tab/>
          </w:r>
          <w:r>
            <w:rPr>
              <w:rStyle w:val="16"/>
            </w:rPr>
            <w:t>Perceived Benefits and Level of Exam Malpractices in KCSE</w:t>
          </w:r>
          <w:r>
            <w:tab/>
          </w:r>
          <w:r>
            <w:fldChar w:fldCharType="begin"/>
          </w:r>
          <w:r>
            <w:instrText xml:space="preserve"> PAGEREF _Toc194822661 \h </w:instrText>
          </w:r>
          <w:r>
            <w:fldChar w:fldCharType="separate"/>
          </w:r>
          <w:r>
            <w:t>116</w:t>
          </w:r>
          <w:r>
            <w:fldChar w:fldCharType="end"/>
          </w:r>
          <w:r>
            <w:fldChar w:fldCharType="end"/>
          </w:r>
        </w:p>
        <w:p w14:paraId="5604DC9E">
          <w:pPr>
            <w:pStyle w:val="21"/>
            <w:rPr>
              <w:rFonts w:eastAsiaTheme="minorEastAsia"/>
              <w:kern w:val="2"/>
              <w:sz w:val="24"/>
              <w:szCs w:val="24"/>
              <w14:ligatures w14:val="standardContextual"/>
            </w:rPr>
          </w:pPr>
          <w:r>
            <w:fldChar w:fldCharType="begin"/>
          </w:r>
          <w:r>
            <w:instrText xml:space="preserve"> HYPERLINK \l "_Toc194822668" </w:instrText>
          </w:r>
          <w:r>
            <w:fldChar w:fldCharType="separate"/>
          </w:r>
          <w:r>
            <w:rPr>
              <w:rStyle w:val="16"/>
            </w:rPr>
            <w:t>4.4.4</w:t>
          </w:r>
          <w:r>
            <w:rPr>
              <w:rFonts w:eastAsiaTheme="minorEastAsia"/>
              <w:kern w:val="2"/>
              <w:sz w:val="24"/>
              <w:szCs w:val="24"/>
              <w14:ligatures w14:val="standardContextual"/>
            </w:rPr>
            <w:tab/>
          </w:r>
          <w:r>
            <w:rPr>
              <w:rStyle w:val="16"/>
            </w:rPr>
            <w:t>Teaching Approach and Level of Exam Malpractices in KCSE</w:t>
          </w:r>
          <w:r>
            <w:tab/>
          </w:r>
          <w:r>
            <w:fldChar w:fldCharType="begin"/>
          </w:r>
          <w:r>
            <w:instrText xml:space="preserve"> PAGEREF _Toc194822668 \h </w:instrText>
          </w:r>
          <w:r>
            <w:fldChar w:fldCharType="separate"/>
          </w:r>
          <w:r>
            <w:t>125</w:t>
          </w:r>
          <w:r>
            <w:fldChar w:fldCharType="end"/>
          </w:r>
          <w:r>
            <w:fldChar w:fldCharType="end"/>
          </w:r>
        </w:p>
        <w:p w14:paraId="54DFA215">
          <w:pPr>
            <w:pStyle w:val="21"/>
            <w:rPr>
              <w:rFonts w:eastAsiaTheme="minorEastAsia"/>
              <w:kern w:val="2"/>
              <w:sz w:val="24"/>
              <w:szCs w:val="24"/>
              <w14:ligatures w14:val="standardContextual"/>
            </w:rPr>
          </w:pPr>
          <w:r>
            <w:fldChar w:fldCharType="begin"/>
          </w:r>
          <w:r>
            <w:instrText xml:space="preserve"> HYPERLINK \l "_Toc194822675" </w:instrText>
          </w:r>
          <w:r>
            <w:fldChar w:fldCharType="separate"/>
          </w:r>
          <w:r>
            <w:rPr>
              <w:rStyle w:val="16"/>
            </w:rPr>
            <w:t>4.4.5</w:t>
          </w:r>
          <w:r>
            <w:rPr>
              <w:rFonts w:eastAsiaTheme="minorEastAsia"/>
              <w:kern w:val="2"/>
              <w:sz w:val="24"/>
              <w:szCs w:val="24"/>
              <w14:ligatures w14:val="standardContextual"/>
            </w:rPr>
            <w:tab/>
          </w:r>
          <w:r>
            <w:rPr>
              <w:rStyle w:val="16"/>
            </w:rPr>
            <w:t>Syllabus Coverage and Level of Exam Malpractices in KCSE</w:t>
          </w:r>
          <w:r>
            <w:tab/>
          </w:r>
          <w:r>
            <w:fldChar w:fldCharType="begin"/>
          </w:r>
          <w:r>
            <w:instrText xml:space="preserve"> PAGEREF _Toc194822675 \h </w:instrText>
          </w:r>
          <w:r>
            <w:fldChar w:fldCharType="separate"/>
          </w:r>
          <w:r>
            <w:t>136</w:t>
          </w:r>
          <w:r>
            <w:fldChar w:fldCharType="end"/>
          </w:r>
          <w:r>
            <w:fldChar w:fldCharType="end"/>
          </w:r>
        </w:p>
        <w:p w14:paraId="4D120BF9">
          <w:pPr>
            <w:pStyle w:val="21"/>
            <w:rPr>
              <w:rFonts w:eastAsiaTheme="minorEastAsia"/>
              <w:kern w:val="2"/>
              <w:sz w:val="24"/>
              <w:szCs w:val="24"/>
              <w14:ligatures w14:val="standardContextual"/>
            </w:rPr>
          </w:pPr>
          <w:r>
            <w:fldChar w:fldCharType="begin"/>
          </w:r>
          <w:r>
            <w:instrText xml:space="preserve"> HYPERLINK \l "_Toc194822682" </w:instrText>
          </w:r>
          <w:r>
            <w:fldChar w:fldCharType="separate"/>
          </w:r>
          <w:r>
            <w:rPr>
              <w:rStyle w:val="16"/>
            </w:rPr>
            <w:t>4.4.6</w:t>
          </w:r>
          <w:r>
            <w:rPr>
              <w:rFonts w:eastAsiaTheme="minorEastAsia"/>
              <w:kern w:val="2"/>
              <w:sz w:val="24"/>
              <w:szCs w:val="24"/>
              <w14:ligatures w14:val="standardContextual"/>
            </w:rPr>
            <w:tab/>
          </w:r>
          <w:r>
            <w:rPr>
              <w:rStyle w:val="16"/>
            </w:rPr>
            <w:t>Social Media and Level of Exam Malpractices in KCSE</w:t>
          </w:r>
          <w:r>
            <w:tab/>
          </w:r>
          <w:r>
            <w:fldChar w:fldCharType="begin"/>
          </w:r>
          <w:r>
            <w:instrText xml:space="preserve"> PAGEREF _Toc194822682 \h </w:instrText>
          </w:r>
          <w:r>
            <w:fldChar w:fldCharType="separate"/>
          </w:r>
          <w:r>
            <w:t>146</w:t>
          </w:r>
          <w:r>
            <w:fldChar w:fldCharType="end"/>
          </w:r>
          <w:r>
            <w:fldChar w:fldCharType="end"/>
          </w:r>
        </w:p>
        <w:p w14:paraId="30CB3770">
          <w:pPr>
            <w:pStyle w:val="21"/>
            <w:rPr>
              <w:rFonts w:eastAsiaTheme="minorEastAsia"/>
              <w:kern w:val="2"/>
              <w:sz w:val="24"/>
              <w:szCs w:val="24"/>
              <w14:ligatures w14:val="standardContextual"/>
            </w:rPr>
          </w:pPr>
          <w:r>
            <w:fldChar w:fldCharType="begin"/>
          </w:r>
          <w:r>
            <w:instrText xml:space="preserve"> HYPERLINK \l "_Toc194822689" </w:instrText>
          </w:r>
          <w:r>
            <w:fldChar w:fldCharType="separate"/>
          </w:r>
          <w:r>
            <w:rPr>
              <w:rStyle w:val="16"/>
            </w:rPr>
            <w:t>4.4.7</w:t>
          </w:r>
          <w:r>
            <w:rPr>
              <w:rFonts w:eastAsiaTheme="minorEastAsia"/>
              <w:kern w:val="2"/>
              <w:sz w:val="24"/>
              <w:szCs w:val="24"/>
              <w14:ligatures w14:val="standardContextual"/>
            </w:rPr>
            <w:tab/>
          </w:r>
          <w:r>
            <w:rPr>
              <w:rStyle w:val="16"/>
            </w:rPr>
            <w:t>Level of Exam Malpractices in KCSE Examinations</w:t>
          </w:r>
          <w:r>
            <w:tab/>
          </w:r>
          <w:r>
            <w:fldChar w:fldCharType="begin"/>
          </w:r>
          <w:r>
            <w:instrText xml:space="preserve"> PAGEREF _Toc194822689 \h </w:instrText>
          </w:r>
          <w:r>
            <w:fldChar w:fldCharType="separate"/>
          </w:r>
          <w:r>
            <w:t>157</w:t>
          </w:r>
          <w:r>
            <w:fldChar w:fldCharType="end"/>
          </w:r>
          <w:r>
            <w:fldChar w:fldCharType="end"/>
          </w:r>
        </w:p>
        <w:p w14:paraId="22571A44">
          <w:pPr>
            <w:pStyle w:val="21"/>
            <w:rPr>
              <w:rFonts w:eastAsiaTheme="minorEastAsia"/>
              <w:kern w:val="2"/>
              <w:sz w:val="24"/>
              <w:szCs w:val="24"/>
              <w14:ligatures w14:val="standardContextual"/>
            </w:rPr>
          </w:pPr>
          <w:r>
            <w:fldChar w:fldCharType="begin"/>
          </w:r>
          <w:r>
            <w:instrText xml:space="preserve"> HYPERLINK \l "_Toc194822692" </w:instrText>
          </w:r>
          <w:r>
            <w:fldChar w:fldCharType="separate"/>
          </w:r>
          <w:r>
            <w:rPr>
              <w:rStyle w:val="16"/>
              <w:b/>
              <w:bCs/>
            </w:rPr>
            <w:t>CHAPTER FIVE</w:t>
          </w:r>
          <w:r>
            <w:rPr>
              <w:rStyle w:val="16"/>
              <w:b/>
              <w:bCs/>
            </w:rPr>
            <w:fldChar w:fldCharType="end"/>
          </w:r>
        </w:p>
        <w:p w14:paraId="0297634C">
          <w:pPr>
            <w:pStyle w:val="21"/>
            <w:rPr>
              <w:rFonts w:eastAsiaTheme="minorEastAsia"/>
              <w:kern w:val="2"/>
              <w:sz w:val="24"/>
              <w:szCs w:val="24"/>
              <w14:ligatures w14:val="standardContextual"/>
            </w:rPr>
          </w:pPr>
          <w:r>
            <w:fldChar w:fldCharType="begin"/>
          </w:r>
          <w:r>
            <w:instrText xml:space="preserve"> HYPERLINK \l "_Toc194822693" </w:instrText>
          </w:r>
          <w:r>
            <w:fldChar w:fldCharType="separate"/>
          </w:r>
          <w:r>
            <w:rPr>
              <w:rStyle w:val="16"/>
              <w:b/>
              <w:bCs/>
            </w:rPr>
            <w:t>SUMMARY, CONCLUSIONS, AND RECOMMENDATIONS</w:t>
          </w:r>
          <w:r>
            <w:rPr>
              <w:rStyle w:val="16"/>
              <w:b/>
              <w:bCs/>
            </w:rPr>
            <w:fldChar w:fldCharType="end"/>
          </w:r>
        </w:p>
        <w:p w14:paraId="04C8FDC1">
          <w:pPr>
            <w:pStyle w:val="21"/>
            <w:rPr>
              <w:rFonts w:eastAsiaTheme="minorEastAsia"/>
              <w:kern w:val="2"/>
              <w:sz w:val="24"/>
              <w:szCs w:val="24"/>
              <w14:ligatures w14:val="standardContextual"/>
            </w:rPr>
          </w:pPr>
          <w:r>
            <w:fldChar w:fldCharType="begin"/>
          </w:r>
          <w:r>
            <w:instrText xml:space="preserve"> HYPERLINK \l "_Toc194822694" </w:instrText>
          </w:r>
          <w:r>
            <w:fldChar w:fldCharType="separate"/>
          </w:r>
          <w:r>
            <w:rPr>
              <w:rStyle w:val="16"/>
              <w:rFonts w:eastAsia="SimSun"/>
            </w:rPr>
            <w:t>5.1</w:t>
          </w:r>
          <w:r>
            <w:rPr>
              <w:rFonts w:eastAsiaTheme="minorEastAsia"/>
              <w:kern w:val="2"/>
              <w:sz w:val="24"/>
              <w:szCs w:val="24"/>
              <w14:ligatures w14:val="standardContextual"/>
            </w:rPr>
            <w:tab/>
          </w:r>
          <w:r>
            <w:rPr>
              <w:rStyle w:val="16"/>
              <w:rFonts w:eastAsia="SimSun"/>
            </w:rPr>
            <w:t>Overview</w:t>
          </w:r>
          <w:r>
            <w:tab/>
          </w:r>
          <w:r>
            <w:fldChar w:fldCharType="begin"/>
          </w:r>
          <w:r>
            <w:instrText xml:space="preserve"> PAGEREF _Toc194822694 \h </w:instrText>
          </w:r>
          <w:r>
            <w:fldChar w:fldCharType="separate"/>
          </w:r>
          <w:r>
            <w:t>161</w:t>
          </w:r>
          <w:r>
            <w:fldChar w:fldCharType="end"/>
          </w:r>
          <w:r>
            <w:fldChar w:fldCharType="end"/>
          </w:r>
        </w:p>
        <w:p w14:paraId="2DBB8FDC">
          <w:pPr>
            <w:pStyle w:val="21"/>
            <w:rPr>
              <w:rFonts w:eastAsiaTheme="minorEastAsia"/>
              <w:kern w:val="2"/>
              <w:sz w:val="24"/>
              <w:szCs w:val="24"/>
              <w14:ligatures w14:val="standardContextual"/>
            </w:rPr>
          </w:pPr>
          <w:r>
            <w:fldChar w:fldCharType="begin"/>
          </w:r>
          <w:r>
            <w:instrText xml:space="preserve"> HYPERLINK \l "_Toc194822695" </w:instrText>
          </w:r>
          <w:r>
            <w:fldChar w:fldCharType="separate"/>
          </w:r>
          <w:r>
            <w:rPr>
              <w:rStyle w:val="16"/>
            </w:rPr>
            <w:t>5.2</w:t>
          </w:r>
          <w:r>
            <w:rPr>
              <w:rFonts w:eastAsiaTheme="minorEastAsia"/>
              <w:kern w:val="2"/>
              <w:sz w:val="24"/>
              <w:szCs w:val="24"/>
              <w14:ligatures w14:val="standardContextual"/>
            </w:rPr>
            <w:tab/>
          </w:r>
          <w:r>
            <w:rPr>
              <w:rStyle w:val="16"/>
            </w:rPr>
            <w:t>Summary of the study</w:t>
          </w:r>
          <w:r>
            <w:tab/>
          </w:r>
          <w:r>
            <w:fldChar w:fldCharType="begin"/>
          </w:r>
          <w:r>
            <w:instrText xml:space="preserve"> PAGEREF _Toc194822695 \h </w:instrText>
          </w:r>
          <w:r>
            <w:fldChar w:fldCharType="separate"/>
          </w:r>
          <w:r>
            <w:t>161</w:t>
          </w:r>
          <w:r>
            <w:fldChar w:fldCharType="end"/>
          </w:r>
          <w:r>
            <w:fldChar w:fldCharType="end"/>
          </w:r>
        </w:p>
        <w:p w14:paraId="0F8AC4FB">
          <w:pPr>
            <w:pStyle w:val="21"/>
            <w:rPr>
              <w:rFonts w:eastAsiaTheme="minorEastAsia"/>
              <w:kern w:val="2"/>
              <w:sz w:val="24"/>
              <w:szCs w:val="24"/>
              <w14:ligatures w14:val="standardContextual"/>
            </w:rPr>
          </w:pPr>
          <w:r>
            <w:fldChar w:fldCharType="begin"/>
          </w:r>
          <w:r>
            <w:instrText xml:space="preserve"> HYPERLINK \l "_Toc194822696" </w:instrText>
          </w:r>
          <w:r>
            <w:fldChar w:fldCharType="separate"/>
          </w:r>
          <w:r>
            <w:rPr>
              <w:rStyle w:val="16"/>
            </w:rPr>
            <w:t>5.3</w:t>
          </w:r>
          <w:r>
            <w:rPr>
              <w:rFonts w:eastAsiaTheme="minorEastAsia"/>
              <w:kern w:val="2"/>
              <w:sz w:val="24"/>
              <w:szCs w:val="24"/>
              <w14:ligatures w14:val="standardContextual"/>
            </w:rPr>
            <w:tab/>
          </w:r>
          <w:r>
            <w:rPr>
              <w:rStyle w:val="16"/>
            </w:rPr>
            <w:t>Conclusions</w:t>
          </w:r>
          <w:r>
            <w:tab/>
          </w:r>
          <w:r>
            <w:fldChar w:fldCharType="begin"/>
          </w:r>
          <w:r>
            <w:instrText xml:space="preserve"> PAGEREF _Toc194822696 \h </w:instrText>
          </w:r>
          <w:r>
            <w:fldChar w:fldCharType="separate"/>
          </w:r>
          <w:r>
            <w:t>172</w:t>
          </w:r>
          <w:r>
            <w:fldChar w:fldCharType="end"/>
          </w:r>
          <w:r>
            <w:fldChar w:fldCharType="end"/>
          </w:r>
        </w:p>
        <w:p w14:paraId="59B38226">
          <w:pPr>
            <w:pStyle w:val="21"/>
            <w:rPr>
              <w:rFonts w:eastAsiaTheme="minorEastAsia"/>
              <w:kern w:val="2"/>
              <w:sz w:val="24"/>
              <w:szCs w:val="24"/>
              <w14:ligatures w14:val="standardContextual"/>
            </w:rPr>
          </w:pPr>
          <w:r>
            <w:fldChar w:fldCharType="begin"/>
          </w:r>
          <w:r>
            <w:instrText xml:space="preserve"> HYPERLINK \l "_Toc194822697" </w:instrText>
          </w:r>
          <w:r>
            <w:fldChar w:fldCharType="separate"/>
          </w:r>
          <w:r>
            <w:rPr>
              <w:rStyle w:val="16"/>
            </w:rPr>
            <w:t>5.4</w:t>
          </w:r>
          <w:r>
            <w:rPr>
              <w:rFonts w:eastAsiaTheme="minorEastAsia"/>
              <w:kern w:val="2"/>
              <w:sz w:val="24"/>
              <w:szCs w:val="24"/>
              <w14:ligatures w14:val="standardContextual"/>
            </w:rPr>
            <w:tab/>
          </w:r>
          <w:r>
            <w:rPr>
              <w:rStyle w:val="16"/>
            </w:rPr>
            <w:t>Recommendations</w:t>
          </w:r>
          <w:r>
            <w:tab/>
          </w:r>
          <w:r>
            <w:fldChar w:fldCharType="begin"/>
          </w:r>
          <w:r>
            <w:instrText xml:space="preserve"> PAGEREF _Toc194822697 \h </w:instrText>
          </w:r>
          <w:r>
            <w:fldChar w:fldCharType="separate"/>
          </w:r>
          <w:r>
            <w:t>174</w:t>
          </w:r>
          <w:r>
            <w:fldChar w:fldCharType="end"/>
          </w:r>
          <w:r>
            <w:fldChar w:fldCharType="end"/>
          </w:r>
        </w:p>
        <w:p w14:paraId="5694CD66">
          <w:pPr>
            <w:pStyle w:val="21"/>
            <w:rPr>
              <w:rFonts w:eastAsiaTheme="minorEastAsia"/>
              <w:kern w:val="2"/>
              <w:sz w:val="24"/>
              <w:szCs w:val="24"/>
              <w14:ligatures w14:val="standardContextual"/>
            </w:rPr>
          </w:pPr>
          <w:r>
            <w:fldChar w:fldCharType="begin"/>
          </w:r>
          <w:r>
            <w:instrText xml:space="preserve"> HYPERLINK \l "_Toc194822698" </w:instrText>
          </w:r>
          <w:r>
            <w:fldChar w:fldCharType="separate"/>
          </w:r>
          <w:r>
            <w:rPr>
              <w:rStyle w:val="16"/>
            </w:rPr>
            <w:t>5.5</w:t>
          </w:r>
          <w:r>
            <w:rPr>
              <w:rFonts w:eastAsiaTheme="minorEastAsia"/>
              <w:kern w:val="2"/>
              <w:sz w:val="24"/>
              <w:szCs w:val="24"/>
              <w14:ligatures w14:val="standardContextual"/>
            </w:rPr>
            <w:tab/>
          </w:r>
          <w:r>
            <w:rPr>
              <w:rStyle w:val="16"/>
            </w:rPr>
            <w:t>Suggestions for Further Research</w:t>
          </w:r>
          <w:r>
            <w:tab/>
          </w:r>
          <w:r>
            <w:fldChar w:fldCharType="begin"/>
          </w:r>
          <w:r>
            <w:instrText xml:space="preserve"> PAGEREF _Toc194822698 \h </w:instrText>
          </w:r>
          <w:r>
            <w:fldChar w:fldCharType="separate"/>
          </w:r>
          <w:r>
            <w:t>175</w:t>
          </w:r>
          <w:r>
            <w:fldChar w:fldCharType="end"/>
          </w:r>
          <w:r>
            <w:fldChar w:fldCharType="end"/>
          </w:r>
        </w:p>
        <w:p w14:paraId="25989F44">
          <w:pPr>
            <w:pStyle w:val="21"/>
            <w:rPr>
              <w:rFonts w:eastAsiaTheme="minorEastAsia"/>
              <w:kern w:val="2"/>
              <w:sz w:val="24"/>
              <w:szCs w:val="24"/>
              <w14:ligatures w14:val="standardContextual"/>
            </w:rPr>
          </w:pPr>
          <w:r>
            <w:fldChar w:fldCharType="begin"/>
          </w:r>
          <w:r>
            <w:instrText xml:space="preserve"> HYPERLINK \l "_Toc194822699" </w:instrText>
          </w:r>
          <w:r>
            <w:fldChar w:fldCharType="separate"/>
          </w:r>
          <w:r>
            <w:rPr>
              <w:rStyle w:val="16"/>
            </w:rPr>
            <w:t>REFERENCES:</w:t>
          </w:r>
          <w:r>
            <w:tab/>
          </w:r>
          <w:r>
            <w:fldChar w:fldCharType="begin"/>
          </w:r>
          <w:r>
            <w:instrText xml:space="preserve"> PAGEREF _Toc194822699 \h </w:instrText>
          </w:r>
          <w:r>
            <w:fldChar w:fldCharType="separate"/>
          </w:r>
          <w:r>
            <w:t>176</w:t>
          </w:r>
          <w:r>
            <w:fldChar w:fldCharType="end"/>
          </w:r>
          <w:r>
            <w:fldChar w:fldCharType="end"/>
          </w:r>
        </w:p>
        <w:p w14:paraId="6B22CC0B">
          <w:pPr>
            <w:pStyle w:val="21"/>
            <w:rPr>
              <w:rFonts w:eastAsiaTheme="minorEastAsia"/>
              <w:kern w:val="2"/>
              <w:sz w:val="24"/>
              <w:szCs w:val="24"/>
              <w14:ligatures w14:val="standardContextual"/>
            </w:rPr>
          </w:pPr>
          <w:r>
            <w:fldChar w:fldCharType="begin"/>
          </w:r>
          <w:r>
            <w:instrText xml:space="preserve"> HYPERLINK \l "_Toc194822700" </w:instrText>
          </w:r>
          <w:r>
            <w:fldChar w:fldCharType="separate"/>
          </w:r>
          <w:r>
            <w:rPr>
              <w:rStyle w:val="16"/>
            </w:rPr>
            <w:t>APPENDICES</w:t>
          </w:r>
          <w:r>
            <w:tab/>
          </w:r>
          <w:r>
            <w:fldChar w:fldCharType="begin"/>
          </w:r>
          <w:r>
            <w:instrText xml:space="preserve"> PAGEREF _Toc194822700 \h </w:instrText>
          </w:r>
          <w:r>
            <w:fldChar w:fldCharType="separate"/>
          </w:r>
          <w:r>
            <w:t>189</w:t>
          </w:r>
          <w:r>
            <w:fldChar w:fldCharType="end"/>
          </w:r>
          <w:r>
            <w:fldChar w:fldCharType="end"/>
          </w:r>
        </w:p>
        <w:p w14:paraId="30FAA1C1">
          <w:pPr>
            <w:pStyle w:val="21"/>
            <w:rPr>
              <w:rFonts w:eastAsiaTheme="minorEastAsia"/>
              <w:kern w:val="2"/>
              <w:sz w:val="24"/>
              <w:szCs w:val="24"/>
              <w14:ligatures w14:val="standardContextual"/>
            </w:rPr>
          </w:pPr>
          <w:r>
            <w:fldChar w:fldCharType="begin"/>
          </w:r>
          <w:r>
            <w:instrText xml:space="preserve"> HYPERLINK \l "_Toc194822701" </w:instrText>
          </w:r>
          <w:r>
            <w:fldChar w:fldCharType="separate"/>
          </w:r>
          <w:r>
            <w:rPr>
              <w:rStyle w:val="16"/>
            </w:rPr>
            <w:t>APPENDIX I: QUESTIONNAIRE FOR TEACHERS</w:t>
          </w:r>
          <w:r>
            <w:tab/>
          </w:r>
          <w:r>
            <w:fldChar w:fldCharType="begin"/>
          </w:r>
          <w:r>
            <w:instrText xml:space="preserve"> PAGEREF _Toc194822701 \h </w:instrText>
          </w:r>
          <w:r>
            <w:fldChar w:fldCharType="separate"/>
          </w:r>
          <w:r>
            <w:t>189</w:t>
          </w:r>
          <w:r>
            <w:fldChar w:fldCharType="end"/>
          </w:r>
          <w:r>
            <w:fldChar w:fldCharType="end"/>
          </w:r>
        </w:p>
        <w:p w14:paraId="1A1C485A">
          <w:pPr>
            <w:pStyle w:val="21"/>
            <w:rPr>
              <w:rFonts w:eastAsiaTheme="minorEastAsia"/>
              <w:kern w:val="2"/>
              <w:sz w:val="24"/>
              <w:szCs w:val="24"/>
              <w14:ligatures w14:val="standardContextual"/>
            </w:rPr>
          </w:pPr>
          <w:r>
            <w:fldChar w:fldCharType="begin"/>
          </w:r>
          <w:r>
            <w:instrText xml:space="preserve"> HYPERLINK \l "_Toc194822702" </w:instrText>
          </w:r>
          <w:r>
            <w:fldChar w:fldCharType="separate"/>
          </w:r>
          <w:r>
            <w:rPr>
              <w:rStyle w:val="16"/>
            </w:rPr>
            <w:t>APPENDIX II: QUESTIONNAIRE FOR STUDENTS</w:t>
          </w:r>
          <w:r>
            <w:tab/>
          </w:r>
          <w:r>
            <w:fldChar w:fldCharType="begin"/>
          </w:r>
          <w:r>
            <w:instrText xml:space="preserve"> PAGEREF _Toc194822702 \h </w:instrText>
          </w:r>
          <w:r>
            <w:fldChar w:fldCharType="separate"/>
          </w:r>
          <w:r>
            <w:t>192</w:t>
          </w:r>
          <w:r>
            <w:fldChar w:fldCharType="end"/>
          </w:r>
          <w:r>
            <w:fldChar w:fldCharType="end"/>
          </w:r>
        </w:p>
        <w:p w14:paraId="4A105300">
          <w:pPr>
            <w:pStyle w:val="21"/>
            <w:rPr>
              <w:rFonts w:eastAsiaTheme="minorEastAsia"/>
              <w:kern w:val="2"/>
              <w:sz w:val="24"/>
              <w:szCs w:val="24"/>
              <w14:ligatures w14:val="standardContextual"/>
            </w:rPr>
          </w:pPr>
          <w:r>
            <w:fldChar w:fldCharType="begin"/>
          </w:r>
          <w:r>
            <w:instrText xml:space="preserve"> HYPERLINK \l "_Toc194822703" </w:instrText>
          </w:r>
          <w:r>
            <w:fldChar w:fldCharType="separate"/>
          </w:r>
          <w:r>
            <w:rPr>
              <w:rStyle w:val="16"/>
            </w:rPr>
            <w:t>APPENDIX III: PRINCIPALS INTERVIEW GUIDE</w:t>
          </w:r>
          <w:r>
            <w:tab/>
          </w:r>
          <w:r>
            <w:fldChar w:fldCharType="begin"/>
          </w:r>
          <w:r>
            <w:instrText xml:space="preserve"> PAGEREF _Toc194822703 \h </w:instrText>
          </w:r>
          <w:r>
            <w:fldChar w:fldCharType="separate"/>
          </w:r>
          <w:r>
            <w:t>195</w:t>
          </w:r>
          <w:r>
            <w:fldChar w:fldCharType="end"/>
          </w:r>
          <w:r>
            <w:fldChar w:fldCharType="end"/>
          </w:r>
        </w:p>
        <w:p w14:paraId="6F4D0A94">
          <w:pPr>
            <w:pStyle w:val="21"/>
            <w:rPr>
              <w:rFonts w:eastAsiaTheme="minorEastAsia"/>
              <w:kern w:val="2"/>
              <w:sz w:val="24"/>
              <w:szCs w:val="24"/>
              <w14:ligatures w14:val="standardContextual"/>
            </w:rPr>
          </w:pPr>
          <w:r>
            <w:fldChar w:fldCharType="begin"/>
          </w:r>
          <w:r>
            <w:instrText xml:space="preserve"> HYPERLINK \l "_Toc194822704" </w:instrText>
          </w:r>
          <w:r>
            <w:fldChar w:fldCharType="separate"/>
          </w:r>
          <w:r>
            <w:rPr>
              <w:rStyle w:val="16"/>
            </w:rPr>
            <w:t>APPENDIX IV: COVERING LETTER</w:t>
          </w:r>
          <w:r>
            <w:tab/>
          </w:r>
          <w:r>
            <w:fldChar w:fldCharType="begin"/>
          </w:r>
          <w:r>
            <w:instrText xml:space="preserve"> PAGEREF _Toc194822704 \h </w:instrText>
          </w:r>
          <w:r>
            <w:fldChar w:fldCharType="separate"/>
          </w:r>
          <w:r>
            <w:t>198</w:t>
          </w:r>
          <w:r>
            <w:fldChar w:fldCharType="end"/>
          </w:r>
          <w:r>
            <w:fldChar w:fldCharType="end"/>
          </w:r>
        </w:p>
        <w:p w14:paraId="799BB8F6">
          <w:pPr>
            <w:pStyle w:val="21"/>
            <w:rPr>
              <w:rFonts w:eastAsiaTheme="minorEastAsia"/>
              <w:kern w:val="2"/>
              <w:sz w:val="24"/>
              <w:szCs w:val="24"/>
              <w14:ligatures w14:val="standardContextual"/>
            </w:rPr>
          </w:pPr>
          <w:r>
            <w:fldChar w:fldCharType="begin"/>
          </w:r>
          <w:r>
            <w:instrText xml:space="preserve"> HYPERLINK \l "_Toc194822705" </w:instrText>
          </w:r>
          <w:r>
            <w:fldChar w:fldCharType="separate"/>
          </w:r>
          <w:r>
            <w:rPr>
              <w:rStyle w:val="16"/>
            </w:rPr>
            <w:t>APPENDIX V: REQUEST TO SCHOOL PRINCIPALS</w:t>
          </w:r>
          <w:r>
            <w:tab/>
          </w:r>
          <w:r>
            <w:fldChar w:fldCharType="begin"/>
          </w:r>
          <w:r>
            <w:instrText xml:space="preserve"> PAGEREF _Toc194822705 \h </w:instrText>
          </w:r>
          <w:r>
            <w:fldChar w:fldCharType="separate"/>
          </w:r>
          <w:r>
            <w:t>199</w:t>
          </w:r>
          <w:r>
            <w:fldChar w:fldCharType="end"/>
          </w:r>
          <w:r>
            <w:fldChar w:fldCharType="end"/>
          </w:r>
        </w:p>
        <w:p w14:paraId="6613B677">
          <w:pPr>
            <w:pStyle w:val="21"/>
            <w:rPr>
              <w:rFonts w:eastAsiaTheme="minorEastAsia"/>
              <w:kern w:val="2"/>
              <w:sz w:val="24"/>
              <w:szCs w:val="24"/>
              <w14:ligatures w14:val="standardContextual"/>
            </w:rPr>
          </w:pPr>
          <w:r>
            <w:fldChar w:fldCharType="begin"/>
          </w:r>
          <w:r>
            <w:instrText xml:space="preserve"> HYPERLINK \l "_Toc194822706" </w:instrText>
          </w:r>
          <w:r>
            <w:fldChar w:fldCharType="separate"/>
          </w:r>
          <w:r>
            <w:rPr>
              <w:rStyle w:val="16"/>
            </w:rPr>
            <w:t>APPENDIX VI: SKETCH MAP SHOWING GARISSA TOWNSHIP SUB COUNTY</w:t>
          </w:r>
          <w:r>
            <w:tab/>
          </w:r>
          <w:r>
            <w:fldChar w:fldCharType="begin"/>
          </w:r>
          <w:r>
            <w:instrText xml:space="preserve"> PAGEREF _Toc194822706 \h </w:instrText>
          </w:r>
          <w:r>
            <w:fldChar w:fldCharType="separate"/>
          </w:r>
          <w:r>
            <w:t>200</w:t>
          </w:r>
          <w:r>
            <w:fldChar w:fldCharType="end"/>
          </w:r>
          <w:r>
            <w:fldChar w:fldCharType="end"/>
          </w:r>
        </w:p>
        <w:p w14:paraId="1D4BF23D">
          <w:pPr>
            <w:pStyle w:val="21"/>
            <w:rPr>
              <w:rFonts w:eastAsiaTheme="minorEastAsia"/>
              <w:kern w:val="2"/>
              <w:sz w:val="24"/>
              <w:szCs w:val="24"/>
              <w14:ligatures w14:val="standardContextual"/>
            </w:rPr>
          </w:pPr>
          <w:r>
            <w:fldChar w:fldCharType="begin"/>
          </w:r>
          <w:r>
            <w:instrText xml:space="preserve"> HYPERLINK \l "_Toc194822707" </w:instrText>
          </w:r>
          <w:r>
            <w:fldChar w:fldCharType="separate"/>
          </w:r>
          <w:r>
            <w:rPr>
              <w:rStyle w:val="16"/>
            </w:rPr>
            <w:t>APPENDIX VII: PLAGIARISM TEST</w:t>
          </w:r>
          <w:r>
            <w:tab/>
          </w:r>
          <w:r>
            <w:fldChar w:fldCharType="begin"/>
          </w:r>
          <w:r>
            <w:instrText xml:space="preserve"> PAGEREF _Toc194822707 \h </w:instrText>
          </w:r>
          <w:r>
            <w:fldChar w:fldCharType="separate"/>
          </w:r>
          <w:r>
            <w:t>201</w:t>
          </w:r>
          <w:r>
            <w:fldChar w:fldCharType="end"/>
          </w:r>
          <w:r>
            <w:fldChar w:fldCharType="end"/>
          </w:r>
        </w:p>
        <w:p w14:paraId="0598BD12">
          <w:pPr>
            <w:pStyle w:val="21"/>
            <w:rPr>
              <w:rFonts w:eastAsiaTheme="minorEastAsia"/>
              <w:kern w:val="2"/>
              <w:sz w:val="24"/>
              <w:szCs w:val="24"/>
              <w14:ligatures w14:val="standardContextual"/>
            </w:rPr>
          </w:pPr>
          <w:r>
            <w:fldChar w:fldCharType="begin"/>
          </w:r>
          <w:r>
            <w:instrText xml:space="preserve"> HYPERLINK \l "_Toc194822708" </w:instrText>
          </w:r>
          <w:r>
            <w:fldChar w:fldCharType="separate"/>
          </w:r>
          <w:r>
            <w:rPr>
              <w:rStyle w:val="16"/>
            </w:rPr>
            <w:t>APPENDIX VIII: INTRODUCTION LETTER TO ETHIC COMMITTEE</w:t>
          </w:r>
          <w:r>
            <w:tab/>
          </w:r>
          <w:r>
            <w:fldChar w:fldCharType="begin"/>
          </w:r>
          <w:r>
            <w:instrText xml:space="preserve"> PAGEREF _Toc194822708 \h </w:instrText>
          </w:r>
          <w:r>
            <w:fldChar w:fldCharType="separate"/>
          </w:r>
          <w:r>
            <w:t>202</w:t>
          </w:r>
          <w:r>
            <w:fldChar w:fldCharType="end"/>
          </w:r>
          <w:r>
            <w:fldChar w:fldCharType="end"/>
          </w:r>
        </w:p>
        <w:p w14:paraId="4F9A03C6">
          <w:pPr>
            <w:pStyle w:val="21"/>
            <w:rPr>
              <w:rFonts w:eastAsiaTheme="minorEastAsia"/>
              <w:kern w:val="2"/>
              <w:sz w:val="24"/>
              <w:szCs w:val="24"/>
              <w14:ligatures w14:val="standardContextual"/>
            </w:rPr>
          </w:pPr>
          <w:r>
            <w:fldChar w:fldCharType="begin"/>
          </w:r>
          <w:r>
            <w:instrText xml:space="preserve"> HYPERLINK \l "_Toc194822709" </w:instrText>
          </w:r>
          <w:r>
            <w:fldChar w:fldCharType="separate"/>
          </w:r>
          <w:r>
            <w:rPr>
              <w:rStyle w:val="16"/>
            </w:rPr>
            <w:t>APPENDIX IX: ETHICAL CLEARANCE LETTER</w:t>
          </w:r>
          <w:r>
            <w:tab/>
          </w:r>
          <w:r>
            <w:fldChar w:fldCharType="begin"/>
          </w:r>
          <w:r>
            <w:instrText xml:space="preserve"> PAGEREF _Toc194822709 \h </w:instrText>
          </w:r>
          <w:r>
            <w:fldChar w:fldCharType="separate"/>
          </w:r>
          <w:r>
            <w:t>203</w:t>
          </w:r>
          <w:r>
            <w:fldChar w:fldCharType="end"/>
          </w:r>
          <w:r>
            <w:fldChar w:fldCharType="end"/>
          </w:r>
        </w:p>
        <w:p w14:paraId="628FB186">
          <w:pPr>
            <w:pStyle w:val="21"/>
            <w:rPr>
              <w:rFonts w:eastAsiaTheme="minorEastAsia"/>
              <w:kern w:val="2"/>
              <w:sz w:val="24"/>
              <w:szCs w:val="24"/>
              <w14:ligatures w14:val="standardContextual"/>
            </w:rPr>
          </w:pPr>
          <w:r>
            <w:fldChar w:fldCharType="begin"/>
          </w:r>
          <w:r>
            <w:instrText xml:space="preserve"> HYPERLINK \l "_Toc194822710" </w:instrText>
          </w:r>
          <w:r>
            <w:fldChar w:fldCharType="separate"/>
          </w:r>
          <w:r>
            <w:rPr>
              <w:rStyle w:val="16"/>
            </w:rPr>
            <w:t>APPENDIX X: INTRODUCTION LETTER TO NACOSTI</w:t>
          </w:r>
          <w:r>
            <w:tab/>
          </w:r>
          <w:r>
            <w:fldChar w:fldCharType="begin"/>
          </w:r>
          <w:r>
            <w:instrText xml:space="preserve"> PAGEREF _Toc194822710 \h </w:instrText>
          </w:r>
          <w:r>
            <w:fldChar w:fldCharType="separate"/>
          </w:r>
          <w:r>
            <w:t>205</w:t>
          </w:r>
          <w:r>
            <w:fldChar w:fldCharType="end"/>
          </w:r>
          <w:r>
            <w:fldChar w:fldCharType="end"/>
          </w:r>
        </w:p>
        <w:p w14:paraId="3D9A3F6A">
          <w:pPr>
            <w:pStyle w:val="21"/>
            <w:rPr>
              <w:rFonts w:eastAsiaTheme="minorEastAsia"/>
              <w:kern w:val="2"/>
              <w:sz w:val="24"/>
              <w:szCs w:val="24"/>
              <w14:ligatures w14:val="standardContextual"/>
            </w:rPr>
          </w:pPr>
          <w:r>
            <w:fldChar w:fldCharType="begin"/>
          </w:r>
          <w:r>
            <w:instrText xml:space="preserve"> HYPERLINK \l "_Toc194822711" </w:instrText>
          </w:r>
          <w:r>
            <w:fldChar w:fldCharType="separate"/>
          </w:r>
          <w:r>
            <w:rPr>
              <w:rStyle w:val="16"/>
            </w:rPr>
            <w:t>APPENDIX XI: NACOSTI RESEARCH PERMIT</w:t>
          </w:r>
          <w:r>
            <w:tab/>
          </w:r>
          <w:r>
            <w:fldChar w:fldCharType="begin"/>
          </w:r>
          <w:r>
            <w:instrText xml:space="preserve"> PAGEREF _Toc194822711 \h </w:instrText>
          </w:r>
          <w:r>
            <w:fldChar w:fldCharType="separate"/>
          </w:r>
          <w:r>
            <w:t>206</w:t>
          </w:r>
          <w:r>
            <w:fldChar w:fldCharType="end"/>
          </w:r>
          <w:r>
            <w:fldChar w:fldCharType="end"/>
          </w:r>
        </w:p>
        <w:p w14:paraId="617FA843">
          <w:pPr>
            <w:pStyle w:val="21"/>
            <w:rPr>
              <w:rFonts w:eastAsiaTheme="minorEastAsia"/>
              <w:kern w:val="2"/>
              <w:sz w:val="24"/>
              <w:szCs w:val="24"/>
              <w14:ligatures w14:val="standardContextual"/>
            </w:rPr>
          </w:pPr>
          <w:r>
            <w:fldChar w:fldCharType="begin"/>
          </w:r>
          <w:r>
            <w:instrText xml:space="preserve"> HYPERLINK \l "_Toc194822712" </w:instrText>
          </w:r>
          <w:r>
            <w:fldChar w:fldCharType="separate"/>
          </w:r>
          <w:r>
            <w:rPr>
              <w:rStyle w:val="16"/>
            </w:rPr>
            <w:t>APPENDIX XII: CDE RESEARCH AUTHRIZATION</w:t>
          </w:r>
          <w:r>
            <w:tab/>
          </w:r>
          <w:r>
            <w:fldChar w:fldCharType="begin"/>
          </w:r>
          <w:r>
            <w:instrText xml:space="preserve"> PAGEREF _Toc194822712 \h </w:instrText>
          </w:r>
          <w:r>
            <w:fldChar w:fldCharType="separate"/>
          </w:r>
          <w:r>
            <w:t>207</w:t>
          </w:r>
          <w:r>
            <w:fldChar w:fldCharType="end"/>
          </w:r>
          <w:r>
            <w:fldChar w:fldCharType="end"/>
          </w:r>
        </w:p>
        <w:p w14:paraId="228658D8">
          <w:pPr>
            <w:rPr>
              <w:rFonts w:asciiTheme="majorBidi" w:hAnsiTheme="majorBidi" w:cstheme="majorBidi"/>
              <w:b/>
              <w:bCs/>
              <w:sz w:val="24"/>
              <w:szCs w:val="24"/>
            </w:rPr>
          </w:pPr>
          <w:r>
            <w:rPr>
              <w:rFonts w:asciiTheme="majorBidi" w:hAnsiTheme="majorBidi" w:cstheme="majorBidi"/>
              <w:b/>
              <w:bCs/>
              <w:sz w:val="24"/>
              <w:szCs w:val="24"/>
            </w:rPr>
            <w:fldChar w:fldCharType="end"/>
          </w:r>
        </w:p>
        <w:p w14:paraId="219FAB83">
          <w:pPr>
            <w:rPr>
              <w:rFonts w:asciiTheme="majorBidi" w:hAnsiTheme="majorBidi" w:cstheme="majorBidi"/>
              <w:b/>
              <w:bCs/>
              <w:sz w:val="24"/>
              <w:szCs w:val="24"/>
            </w:rPr>
          </w:pPr>
        </w:p>
        <w:p w14:paraId="24218723">
          <w:pPr>
            <w:rPr>
              <w:rFonts w:asciiTheme="majorBidi" w:hAnsiTheme="majorBidi" w:cstheme="majorBidi"/>
              <w:b/>
              <w:bCs/>
              <w:sz w:val="24"/>
              <w:szCs w:val="24"/>
            </w:rPr>
          </w:pPr>
        </w:p>
        <w:p w14:paraId="25CAF561">
          <w:pPr>
            <w:rPr>
              <w:rStyle w:val="41"/>
              <w:rFonts w:asciiTheme="majorBidi" w:hAnsiTheme="majorBidi" w:eastAsiaTheme="minorHAnsi"/>
              <w:color w:val="auto"/>
              <w:sz w:val="24"/>
              <w:szCs w:val="24"/>
            </w:rPr>
          </w:pPr>
        </w:p>
      </w:sdtContent>
    </w:sdt>
    <w:p w14:paraId="7FE28B0B">
      <w:pPr>
        <w:pStyle w:val="2"/>
        <w:jc w:val="center"/>
        <w:rPr>
          <w:rStyle w:val="41"/>
          <w:rFonts w:asciiTheme="majorBidi" w:hAnsiTheme="majorBidi"/>
          <w:b/>
          <w:bCs/>
          <w:color w:val="auto"/>
          <w:sz w:val="24"/>
          <w:szCs w:val="24"/>
        </w:rPr>
      </w:pPr>
      <w:bookmarkStart w:id="6" w:name="_Toc194822576"/>
      <w:r>
        <w:rPr>
          <w:rStyle w:val="41"/>
          <w:rFonts w:asciiTheme="majorBidi" w:hAnsiTheme="majorBidi"/>
          <w:b/>
          <w:bCs/>
          <w:color w:val="auto"/>
          <w:sz w:val="24"/>
          <w:szCs w:val="24"/>
        </w:rPr>
        <w:t>LIST OF TABLES</w:t>
      </w:r>
      <w:bookmarkEnd w:id="6"/>
    </w:p>
    <w:p w14:paraId="501CF7AB">
      <w:pPr>
        <w:pStyle w:val="21"/>
        <w:rPr>
          <w:rFonts w:eastAsiaTheme="minorEastAsia"/>
          <w:kern w:val="2"/>
          <w:sz w:val="24"/>
          <w:szCs w:val="24"/>
          <w14:ligatures w14:val="standardContextual"/>
        </w:rPr>
      </w:pPr>
      <w:r>
        <w:fldChar w:fldCharType="begin"/>
      </w:r>
      <w:r>
        <w:instrText xml:space="preserve"> HYPERLINK \l "_Toc194822618" </w:instrText>
      </w:r>
      <w:r>
        <w:fldChar w:fldCharType="separate"/>
      </w:r>
      <w:r>
        <w:rPr>
          <w:rStyle w:val="16"/>
          <w:rFonts w:eastAsia="Times New Roman"/>
          <w:color w:val="auto"/>
          <w:u w:val="none"/>
        </w:rPr>
        <w:t>Table 1:</w:t>
      </w:r>
      <w:r>
        <w:rPr>
          <w:rStyle w:val="16"/>
          <w:rFonts w:eastAsia="Times New Roman"/>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"_Toc194822619" </w:instrText>
      </w:r>
      <w:r>
        <w:fldChar w:fldCharType="separate"/>
      </w:r>
      <w:r>
        <w:rPr>
          <w:rStyle w:val="16"/>
          <w:rFonts w:eastAsia="Times New Roman"/>
          <w:i/>
          <w:iCs/>
          <w:color w:val="auto"/>
          <w:u w:val="none"/>
        </w:rPr>
        <w:t>Sample Size of the Study</w:t>
      </w:r>
      <w:r>
        <w:tab/>
      </w:r>
      <w:r>
        <w:fldChar w:fldCharType="begin"/>
      </w:r>
      <w:r>
        <w:instrText xml:space="preserve"> PAGEREF _Toc194822619 \h </w:instrText>
      </w:r>
      <w:r>
        <w:fldChar w:fldCharType="separate"/>
      </w:r>
      <w:r>
        <w:t>81</w:t>
      </w:r>
      <w:r>
        <w:fldChar w:fldCharType="end"/>
      </w:r>
      <w:r>
        <w:fldChar w:fldCharType="end"/>
      </w:r>
    </w:p>
    <w:p w14:paraId="3F435E29">
      <w:pPr>
        <w:pStyle w:val="21"/>
        <w:rPr>
          <w:rFonts w:eastAsiaTheme="minorEastAsia"/>
          <w:kern w:val="2"/>
          <w:sz w:val="24"/>
          <w:szCs w:val="24"/>
          <w14:ligatures w14:val="standardContextual"/>
        </w:rPr>
      </w:pPr>
      <w:r>
        <w:fldChar w:fldCharType="begin"/>
      </w:r>
      <w:r>
        <w:instrText xml:space="preserve"> HYPERLINK \l "_Toc194822626" </w:instrText>
      </w:r>
      <w:r>
        <w:fldChar w:fldCharType="separate"/>
      </w:r>
      <w:r>
        <w:rPr>
          <w:rStyle w:val="16"/>
          <w:rFonts w:eastAsia="Times New Roman"/>
          <w:color w:val="auto"/>
          <w:u w:val="none"/>
        </w:rPr>
        <w:t>Table 2:</w:t>
      </w:r>
      <w:r>
        <w:rPr>
          <w:rStyle w:val="16"/>
          <w:rFonts w:eastAsia="Times New Roman"/>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"_Toc194822627" </w:instrText>
      </w:r>
      <w:r>
        <w:fldChar w:fldCharType="separate"/>
      </w:r>
      <w:r>
        <w:rPr>
          <w:rStyle w:val="16"/>
          <w:i/>
          <w:iCs/>
          <w:color w:val="auto"/>
          <w:u w:val="none"/>
        </w:rPr>
        <w:t>Operational Definition of Research Variables</w:t>
      </w:r>
      <w:r>
        <w:tab/>
      </w:r>
      <w:r>
        <w:fldChar w:fldCharType="begin"/>
      </w:r>
      <w:r>
        <w:instrText xml:space="preserve"> PAGEREF _Toc194822627 \h </w:instrText>
      </w:r>
      <w:r>
        <w:fldChar w:fldCharType="separate"/>
      </w:r>
      <w:r>
        <w:t>86</w:t>
      </w:r>
      <w:r>
        <w:fldChar w:fldCharType="end"/>
      </w:r>
      <w:r>
        <w:fldChar w:fldCharType="end"/>
      </w:r>
    </w:p>
    <w:p w14:paraId="4E5B99F8">
      <w:pPr>
        <w:pStyle w:val="21"/>
        <w:rPr>
          <w:rFonts w:eastAsiaTheme="minorEastAsia"/>
          <w:kern w:val="2"/>
          <w:sz w:val="24"/>
          <w:szCs w:val="24"/>
          <w14:ligatures w14:val="standardContextual"/>
        </w:rPr>
      </w:pPr>
      <w:r>
        <w:fldChar w:fldCharType="begin"/>
      </w:r>
      <w:r>
        <w:instrText xml:space="preserve"> HYPERLINK \l "_Toc194822638" </w:instrText>
      </w:r>
      <w:r>
        <w:fldChar w:fldCharType="separate"/>
      </w:r>
      <w:r>
        <w:rPr>
          <w:rStyle w:val="16"/>
          <w:color w:val="auto"/>
          <w:u w:val="none"/>
        </w:rPr>
        <w:t>Table 3:</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"_Toc194822639" </w:instrText>
      </w:r>
      <w:r>
        <w:fldChar w:fldCharType="separate"/>
      </w:r>
      <w:r>
        <w:rPr>
          <w:rStyle w:val="16"/>
          <w:i/>
          <w:iCs/>
          <w:color w:val="auto"/>
          <w:u w:val="none"/>
        </w:rPr>
        <w:t>Response rate of the survey</w:t>
      </w:r>
      <w:r>
        <w:tab/>
      </w:r>
      <w:r>
        <w:fldChar w:fldCharType="begin"/>
      </w:r>
      <w:r>
        <w:instrText xml:space="preserve"> PAGEREF _Toc194822639 \h </w:instrText>
      </w:r>
      <w:r>
        <w:fldChar w:fldCharType="separate"/>
      </w:r>
      <w:r>
        <w:t>92</w:t>
      </w:r>
      <w:r>
        <w:fldChar w:fldCharType="end"/>
      </w:r>
      <w:r>
        <w:fldChar w:fldCharType="end"/>
      </w:r>
    </w:p>
    <w:p w14:paraId="375A273A">
      <w:pPr>
        <w:pStyle w:val="21"/>
        <w:rPr>
          <w:rFonts w:eastAsiaTheme="minorEastAsia"/>
          <w:kern w:val="2"/>
          <w:sz w:val="24"/>
          <w:szCs w:val="24"/>
          <w14:ligatures w14:val="standardContextual"/>
        </w:rPr>
      </w:pPr>
      <w:r>
        <w:fldChar w:fldCharType="begin"/>
      </w:r>
      <w:r>
        <w:instrText xml:space="preserve"> HYPERLINK \l "_Toc194822644" </w:instrText>
      </w:r>
      <w:r>
        <w:fldChar w:fldCharType="separate"/>
      </w:r>
      <w:r>
        <w:rPr>
          <w:rStyle w:val="16"/>
          <w:color w:val="auto"/>
          <w:u w:val="none"/>
        </w:rPr>
        <w:t>Table 4:</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"_Toc194822645" </w:instrText>
      </w:r>
      <w:r>
        <w:fldChar w:fldCharType="separate"/>
      </w:r>
      <w:r>
        <w:rPr>
          <w:rStyle w:val="16"/>
          <w:i/>
          <w:iCs/>
          <w:color w:val="auto"/>
          <w:u w:val="none"/>
        </w:rPr>
        <w:t>Demographic information</w:t>
      </w:r>
      <w:r>
        <w:tab/>
      </w:r>
      <w:r>
        <w:fldChar w:fldCharType="begin"/>
      </w:r>
      <w:r>
        <w:instrText xml:space="preserve"> PAGEREF _Toc194822645 \h </w:instrText>
      </w:r>
      <w:r>
        <w:fldChar w:fldCharType="separate"/>
      </w:r>
      <w:r>
        <w:t>94</w:t>
      </w:r>
      <w:r>
        <w:fldChar w:fldCharType="end"/>
      </w:r>
      <w:r>
        <w:fldChar w:fldCharType="end"/>
      </w:r>
    </w:p>
    <w:p w14:paraId="41F89E7B">
      <w:pPr>
        <w:pStyle w:val="21"/>
        <w:rPr>
          <w:rFonts w:eastAsiaTheme="minorEastAsia"/>
          <w:kern w:val="2"/>
          <w:sz w:val="24"/>
          <w:szCs w:val="24"/>
          <w14:ligatures w14:val="standardContextual"/>
        </w:rPr>
      </w:pPr>
      <w:r>
        <w:fldChar w:fldCharType="begin"/>
      </w:r>
      <w:r>
        <w:instrText xml:space="preserve"> HYPERLINK \l "_Toc194822648" </w:instrText>
      </w:r>
      <w:r>
        <w:fldChar w:fldCharType="separate"/>
      </w:r>
      <w:r>
        <w:rPr>
          <w:rStyle w:val="16"/>
          <w:color w:val="auto"/>
          <w:u w:val="none"/>
        </w:rPr>
        <w:t>Table 5:</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"_Toc194822649" </w:instrText>
      </w:r>
      <w:r>
        <w:fldChar w:fldCharType="separate"/>
      </w:r>
      <w:r>
        <w:rPr>
          <w:rStyle w:val="16"/>
          <w:i/>
          <w:iCs/>
          <w:color w:val="auto"/>
          <w:u w:val="none"/>
        </w:rPr>
        <w:t>Descriptive analysis on peer pressure and level of exam malpractices in KCSE</w:t>
      </w:r>
      <w:r>
        <w:tab/>
      </w:r>
      <w:r>
        <w:fldChar w:fldCharType="begin"/>
      </w:r>
      <w:r>
        <w:instrText xml:space="preserve"> PAGEREF _Toc194822649 \h </w:instrText>
      </w:r>
      <w:r>
        <w:fldChar w:fldCharType="separate"/>
      </w:r>
      <w:r>
        <w:t>96</w:t>
      </w:r>
      <w:r>
        <w:fldChar w:fldCharType="end"/>
      </w:r>
      <w:r>
        <w:fldChar w:fldCharType="end"/>
      </w:r>
    </w:p>
    <w:p w14:paraId="54C5FF53">
      <w:pPr>
        <w:pStyle w:val="21"/>
        <w:rPr>
          <w:rFonts w:eastAsiaTheme="minorEastAsia"/>
          <w:kern w:val="2"/>
          <w:sz w:val="24"/>
          <w:szCs w:val="24"/>
          <w14:ligatures w14:val="standardContextual"/>
        </w:rPr>
      </w:pPr>
      <w:r>
        <w:fldChar w:fldCharType="begin"/>
      </w:r>
      <w:r>
        <w:instrText xml:space="preserve"> HYPERLINK \l "_Toc194822650" </w:instrText>
      </w:r>
      <w:r>
        <w:fldChar w:fldCharType="separate"/>
      </w:r>
      <w:r>
        <w:rPr>
          <w:rStyle w:val="16"/>
          <w:color w:val="auto"/>
          <w:u w:val="none"/>
        </w:rPr>
        <w:t>Table 6:</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"_Toc194822651" </w:instrText>
      </w:r>
      <w:r>
        <w:fldChar w:fldCharType="separate"/>
      </w:r>
      <w:r>
        <w:rPr>
          <w:rStyle w:val="16"/>
          <w:i/>
          <w:iCs/>
          <w:color w:val="auto"/>
          <w:u w:val="none"/>
        </w:rPr>
        <w:t>Mean and standard deviation of peer influence items</w:t>
      </w:r>
      <w:r>
        <w:tab/>
      </w:r>
      <w:r>
        <w:fldChar w:fldCharType="begin"/>
      </w:r>
      <w:r>
        <w:instrText xml:space="preserve"> PAGEREF _Toc194822651 \h </w:instrText>
      </w:r>
      <w:r>
        <w:fldChar w:fldCharType="separate"/>
      </w:r>
      <w:r>
        <w:t>101</w:t>
      </w:r>
      <w:r>
        <w:fldChar w:fldCharType="end"/>
      </w:r>
      <w:r>
        <w:fldChar w:fldCharType="end"/>
      </w:r>
    </w:p>
    <w:p w14:paraId="3496FF6D">
      <w:pPr>
        <w:pStyle w:val="21"/>
        <w:rPr>
          <w:rFonts w:eastAsiaTheme="minorEastAsia"/>
          <w:kern w:val="2"/>
          <w:sz w:val="24"/>
          <w:szCs w:val="24"/>
          <w14:ligatures w14:val="standardContextual"/>
        </w:rPr>
      </w:pPr>
      <w:r>
        <w:fldChar w:fldCharType="begin"/>
      </w:r>
      <w:r>
        <w:instrText xml:space="preserve"> HYPERLINK \l "_Toc194822652" </w:instrText>
      </w:r>
      <w:r>
        <w:fldChar w:fldCharType="separate"/>
      </w:r>
      <w:r>
        <w:rPr>
          <w:rStyle w:val="16"/>
          <w:color w:val="auto"/>
          <w:u w:val="none"/>
        </w:rPr>
        <w:t>Table 7:</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"_Toc194822653" </w:instrText>
      </w:r>
      <w:r>
        <w:fldChar w:fldCharType="separate"/>
      </w:r>
      <w:r>
        <w:rPr>
          <w:rStyle w:val="16"/>
          <w:i/>
          <w:iCs/>
          <w:color w:val="auto"/>
          <w:u w:val="none"/>
        </w:rPr>
        <w:t>Correlation analysis of peer pressure and level of exam malpractices in KCSE</w:t>
      </w:r>
      <w:r>
        <w:tab/>
      </w:r>
      <w:r>
        <w:fldChar w:fldCharType="begin"/>
      </w:r>
      <w:r>
        <w:instrText xml:space="preserve"> PAGEREF _Toc194822653 \h </w:instrText>
      </w:r>
      <w:r>
        <w:fldChar w:fldCharType="separate"/>
      </w:r>
      <w:r>
        <w:t>103</w:t>
      </w:r>
      <w:r>
        <w:fldChar w:fldCharType="end"/>
      </w:r>
      <w:r>
        <w:fldChar w:fldCharType="end"/>
      </w:r>
    </w:p>
    <w:p w14:paraId="4D6C3C6A">
      <w:pPr>
        <w:pStyle w:val="21"/>
        <w:rPr>
          <w:rFonts w:eastAsiaTheme="minorEastAsia"/>
          <w:kern w:val="2"/>
          <w:sz w:val="24"/>
          <w:szCs w:val="24"/>
          <w14:ligatures w14:val="standardContextual"/>
        </w:rPr>
      </w:pPr>
      <w:r>
        <w:fldChar w:fldCharType="begin"/>
      </w:r>
      <w:r>
        <w:instrText xml:space="preserve"> HYPERLINK \l "_Toc194822655" </w:instrText>
      </w:r>
      <w:r>
        <w:fldChar w:fldCharType="separate"/>
      </w:r>
      <w:r>
        <w:rPr>
          <w:rStyle w:val="16"/>
          <w:color w:val="auto"/>
          <w:u w:val="none"/>
        </w:rPr>
        <w:t>Table 8:</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"_Toc194822656" </w:instrText>
      </w:r>
      <w:r>
        <w:fldChar w:fldCharType="separate"/>
      </w:r>
      <w:r>
        <w:rPr>
          <w:rStyle w:val="16"/>
          <w:i/>
          <w:iCs/>
          <w:color w:val="auto"/>
          <w:u w:val="none"/>
        </w:rPr>
        <w:t>Descriptive analysis on parents’ involvement and Level of Exam Malpractices in KCSE</w:t>
      </w:r>
      <w:r>
        <w:tab/>
      </w:r>
      <w:r>
        <w:fldChar w:fldCharType="begin"/>
      </w:r>
      <w:r>
        <w:instrText xml:space="preserve"> PAGEREF _Toc194822656 \h </w:instrText>
      </w:r>
      <w:r>
        <w:fldChar w:fldCharType="separate"/>
      </w:r>
      <w:r>
        <w:t>106</w:t>
      </w:r>
      <w:r>
        <w:fldChar w:fldCharType="end"/>
      </w:r>
      <w:r>
        <w:fldChar w:fldCharType="end"/>
      </w:r>
    </w:p>
    <w:p w14:paraId="2E8B9213">
      <w:pPr>
        <w:pStyle w:val="21"/>
        <w:rPr>
          <w:rFonts w:eastAsiaTheme="minorEastAsia"/>
          <w:kern w:val="2"/>
          <w:sz w:val="24"/>
          <w:szCs w:val="24"/>
          <w14:ligatures w14:val="standardContextual"/>
        </w:rPr>
      </w:pPr>
      <w:r>
        <w:fldChar w:fldCharType="begin"/>
      </w:r>
      <w:r>
        <w:instrText xml:space="preserve"> HYPERLINK \l "_Toc194822657" </w:instrText>
      </w:r>
      <w:r>
        <w:fldChar w:fldCharType="separate"/>
      </w:r>
      <w:r>
        <w:rPr>
          <w:rStyle w:val="16"/>
          <w:color w:val="auto"/>
          <w:u w:val="none"/>
        </w:rPr>
        <w:t>Table 9:</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"_Toc194822658" </w:instrText>
      </w:r>
      <w:r>
        <w:fldChar w:fldCharType="separate"/>
      </w:r>
      <w:r>
        <w:rPr>
          <w:rStyle w:val="16"/>
          <w:i/>
          <w:iCs/>
          <w:color w:val="auto"/>
          <w:u w:val="none"/>
        </w:rPr>
        <w:t>Mean and standard deviation of parent involvement items</w:t>
      </w:r>
      <w:r>
        <w:tab/>
      </w:r>
      <w:r>
        <w:fldChar w:fldCharType="begin"/>
      </w:r>
      <w:r>
        <w:instrText xml:space="preserve"> PAGEREF _Toc194822658 \h </w:instrText>
      </w:r>
      <w:r>
        <w:fldChar w:fldCharType="separate"/>
      </w:r>
      <w:r>
        <w:t>111</w:t>
      </w:r>
      <w:r>
        <w:fldChar w:fldCharType="end"/>
      </w:r>
      <w:r>
        <w:fldChar w:fldCharType="end"/>
      </w:r>
    </w:p>
    <w:p w14:paraId="46F96A18">
      <w:pPr>
        <w:pStyle w:val="21"/>
        <w:rPr>
          <w:rFonts w:eastAsiaTheme="minorEastAsia"/>
          <w:kern w:val="2"/>
          <w:sz w:val="24"/>
          <w:szCs w:val="24"/>
          <w14:ligatures w14:val="standardContextual"/>
        </w:rPr>
      </w:pPr>
      <w:r>
        <w:fldChar w:fldCharType="begin"/>
      </w:r>
      <w:r>
        <w:instrText xml:space="preserve"> HYPERLINK \l "_Toc194822659" </w:instrText>
      </w:r>
      <w:r>
        <w:fldChar w:fldCharType="separate"/>
      </w:r>
      <w:r>
        <w:rPr>
          <w:rStyle w:val="16"/>
          <w:color w:val="auto"/>
          <w:u w:val="none"/>
        </w:rPr>
        <w:t>Table 10:</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"_Toc194822660" </w:instrText>
      </w:r>
      <w:r>
        <w:fldChar w:fldCharType="separate"/>
      </w:r>
      <w:r>
        <w:rPr>
          <w:rStyle w:val="16"/>
          <w:i/>
          <w:iCs/>
          <w:color w:val="auto"/>
          <w:u w:val="none"/>
        </w:rPr>
        <w:t>Correlation analysis of parent involvement and</w:t>
      </w:r>
      <w:r>
        <w:rPr>
          <w:rStyle w:val="16"/>
          <w:color w:val="auto"/>
          <w:u w:val="none"/>
        </w:rPr>
        <w:t xml:space="preserve"> </w:t>
      </w:r>
      <w:r>
        <w:rPr>
          <w:rStyle w:val="16"/>
          <w:i/>
          <w:iCs/>
          <w:color w:val="auto"/>
          <w:u w:val="none"/>
        </w:rPr>
        <w:t>Level of Exam Malpractices in KCSE</w:t>
      </w:r>
      <w:r>
        <w:tab/>
      </w:r>
      <w:r>
        <w:fldChar w:fldCharType="begin"/>
      </w:r>
      <w:r>
        <w:instrText xml:space="preserve"> PAGEREF _Toc194822660 \h </w:instrText>
      </w:r>
      <w:r>
        <w:fldChar w:fldCharType="separate"/>
      </w:r>
      <w:r>
        <w:t>113</w:t>
      </w:r>
      <w:r>
        <w:fldChar w:fldCharType="end"/>
      </w:r>
      <w:r>
        <w:fldChar w:fldCharType="end"/>
      </w:r>
    </w:p>
    <w:p w14:paraId="54B35CE5">
      <w:pPr>
        <w:pStyle w:val="21"/>
        <w:rPr>
          <w:rFonts w:eastAsiaTheme="minorEastAsia"/>
          <w:kern w:val="2"/>
          <w:sz w:val="24"/>
          <w:szCs w:val="24"/>
          <w14:ligatures w14:val="standardContextual"/>
        </w:rPr>
      </w:pPr>
      <w:r>
        <w:fldChar w:fldCharType="begin"/>
      </w:r>
      <w:r>
        <w:instrText xml:space="preserve"> HYPERLINK \l "_Toc194822662" </w:instrText>
      </w:r>
      <w:r>
        <w:fldChar w:fldCharType="separate"/>
      </w:r>
      <w:r>
        <w:rPr>
          <w:rStyle w:val="16"/>
          <w:color w:val="auto"/>
          <w:u w:val="none"/>
        </w:rPr>
        <w:t>Table 11:</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"_Toc194822663" </w:instrText>
      </w:r>
      <w:r>
        <w:fldChar w:fldCharType="separate"/>
      </w:r>
      <w:r>
        <w:rPr>
          <w:rStyle w:val="16"/>
          <w:i/>
          <w:iCs/>
          <w:color w:val="auto"/>
          <w:u w:val="none"/>
        </w:rPr>
        <w:t>Descriptive analysis on Perceived benefits</w:t>
      </w:r>
      <w:r>
        <w:rPr>
          <w:rStyle w:val="16"/>
          <w:color w:val="auto"/>
          <w:u w:val="none"/>
        </w:rPr>
        <w:t xml:space="preserve"> </w:t>
      </w:r>
      <w:r>
        <w:rPr>
          <w:rStyle w:val="16"/>
          <w:i/>
          <w:iCs/>
          <w:color w:val="auto"/>
          <w:u w:val="none"/>
        </w:rPr>
        <w:t>and Level of Exam Malpractices in KCSE</w:t>
      </w:r>
      <w:r>
        <w:tab/>
      </w:r>
      <w:r>
        <w:fldChar w:fldCharType="begin"/>
      </w:r>
      <w:r>
        <w:instrText xml:space="preserve"> PAGEREF _Toc194822663 \h </w:instrText>
      </w:r>
      <w:r>
        <w:fldChar w:fldCharType="separate"/>
      </w:r>
      <w:r>
        <w:t>117</w:t>
      </w:r>
      <w:r>
        <w:fldChar w:fldCharType="end"/>
      </w:r>
      <w:r>
        <w:fldChar w:fldCharType="end"/>
      </w:r>
    </w:p>
    <w:p w14:paraId="0DA204F1">
      <w:pPr>
        <w:pStyle w:val="21"/>
        <w:rPr>
          <w:rFonts w:eastAsiaTheme="minorEastAsia"/>
          <w:kern w:val="2"/>
          <w:sz w:val="24"/>
          <w:szCs w:val="24"/>
          <w14:ligatures w14:val="standardContextual"/>
        </w:rPr>
      </w:pPr>
      <w:r>
        <w:fldChar w:fldCharType="begin"/>
      </w:r>
      <w:r>
        <w:instrText xml:space="preserve"> HYPERLINK \l "_Toc194822664" </w:instrText>
      </w:r>
      <w:r>
        <w:fldChar w:fldCharType="separate"/>
      </w:r>
      <w:r>
        <w:rPr>
          <w:rStyle w:val="16"/>
          <w:color w:val="auto"/>
          <w:u w:val="none"/>
        </w:rPr>
        <w:t>Table 12:</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"_Toc194822665" </w:instrText>
      </w:r>
      <w:r>
        <w:fldChar w:fldCharType="separate"/>
      </w:r>
      <w:r>
        <w:rPr>
          <w:rStyle w:val="16"/>
          <w:i/>
          <w:iCs/>
          <w:color w:val="auto"/>
          <w:u w:val="none"/>
        </w:rPr>
        <w:t>Mean and standard deviation of perceived benefits items</w:t>
      </w:r>
      <w:r>
        <w:tab/>
      </w:r>
      <w:r>
        <w:fldChar w:fldCharType="begin"/>
      </w:r>
      <w:r>
        <w:instrText xml:space="preserve"> PAGEREF _Toc194822665 \h </w:instrText>
      </w:r>
      <w:r>
        <w:fldChar w:fldCharType="separate"/>
      </w:r>
      <w:r>
        <w:t>121</w:t>
      </w:r>
      <w:r>
        <w:fldChar w:fldCharType="end"/>
      </w:r>
      <w:r>
        <w:fldChar w:fldCharType="end"/>
      </w:r>
    </w:p>
    <w:p w14:paraId="0729F888">
      <w:pPr>
        <w:pStyle w:val="21"/>
        <w:rPr>
          <w:rFonts w:eastAsiaTheme="minorEastAsia"/>
          <w:kern w:val="2"/>
          <w:sz w:val="24"/>
          <w:szCs w:val="24"/>
          <w14:ligatures w14:val="standardContextual"/>
        </w:rPr>
      </w:pPr>
      <w:r>
        <w:fldChar w:fldCharType="begin"/>
      </w:r>
      <w:r>
        <w:instrText xml:space="preserve"> HYPERLINK \l "_Toc194822666" </w:instrText>
      </w:r>
      <w:r>
        <w:fldChar w:fldCharType="separate"/>
      </w:r>
      <w:r>
        <w:rPr>
          <w:rStyle w:val="16"/>
          <w:color w:val="auto"/>
          <w:u w:val="none"/>
        </w:rPr>
        <w:t>Table 13:</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"_Toc194822667" </w:instrText>
      </w:r>
      <w:r>
        <w:fldChar w:fldCharType="separate"/>
      </w:r>
      <w:r>
        <w:rPr>
          <w:rStyle w:val="16"/>
          <w:i/>
          <w:iCs/>
          <w:color w:val="auto"/>
          <w:u w:val="none"/>
        </w:rPr>
        <w:t>Correlation analysis of perceived benefits and Level of Exam Malpractices in KCSE</w:t>
      </w:r>
      <w:r>
        <w:tab/>
      </w:r>
      <w:r>
        <w:fldChar w:fldCharType="begin"/>
      </w:r>
      <w:r>
        <w:instrText xml:space="preserve"> PAGEREF _Toc194822667 \h </w:instrText>
      </w:r>
      <w:r>
        <w:fldChar w:fldCharType="separate"/>
      </w:r>
      <w:r>
        <w:t>123</w:t>
      </w:r>
      <w:r>
        <w:fldChar w:fldCharType="end"/>
      </w:r>
      <w:r>
        <w:fldChar w:fldCharType="end"/>
      </w:r>
    </w:p>
    <w:p w14:paraId="019E7E24">
      <w:pPr>
        <w:pStyle w:val="21"/>
        <w:rPr>
          <w:rFonts w:eastAsiaTheme="minorEastAsia"/>
          <w:kern w:val="2"/>
          <w:sz w:val="24"/>
          <w:szCs w:val="24"/>
          <w14:ligatures w14:val="standardContextual"/>
        </w:rPr>
      </w:pPr>
      <w:r>
        <w:fldChar w:fldCharType="begin"/>
      </w:r>
      <w:r>
        <w:instrText xml:space="preserve"> HYPERLINK \l "_Toc194822669" </w:instrText>
      </w:r>
      <w:r>
        <w:fldChar w:fldCharType="separate"/>
      </w:r>
      <w:r>
        <w:rPr>
          <w:rStyle w:val="16"/>
          <w:color w:val="auto"/>
          <w:u w:val="none"/>
        </w:rPr>
        <w:t>Table 14:</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"_Toc194822670" </w:instrText>
      </w:r>
      <w:r>
        <w:fldChar w:fldCharType="separate"/>
      </w:r>
      <w:r>
        <w:rPr>
          <w:rStyle w:val="16"/>
          <w:i/>
          <w:iCs/>
          <w:color w:val="auto"/>
          <w:u w:val="none"/>
        </w:rPr>
        <w:t>Descriptive analysis on teaching approach</w:t>
      </w:r>
      <w:r>
        <w:rPr>
          <w:rStyle w:val="16"/>
          <w:color w:val="auto"/>
          <w:u w:val="none"/>
        </w:rPr>
        <w:t xml:space="preserve"> </w:t>
      </w:r>
      <w:r>
        <w:rPr>
          <w:rStyle w:val="16"/>
          <w:i/>
          <w:iCs/>
          <w:color w:val="auto"/>
          <w:u w:val="none"/>
        </w:rPr>
        <w:t>and Level of Exam Malpractices in KCSE</w:t>
      </w:r>
      <w:r>
        <w:tab/>
      </w:r>
      <w:r>
        <w:fldChar w:fldCharType="begin"/>
      </w:r>
      <w:r>
        <w:instrText xml:space="preserve"> PAGEREF _Toc194822670 \h </w:instrText>
      </w:r>
      <w:r>
        <w:fldChar w:fldCharType="separate"/>
      </w:r>
      <w:r>
        <w:t>126</w:t>
      </w:r>
      <w:r>
        <w:fldChar w:fldCharType="end"/>
      </w:r>
      <w:r>
        <w:fldChar w:fldCharType="end"/>
      </w:r>
    </w:p>
    <w:p w14:paraId="6C202F38">
      <w:pPr>
        <w:pStyle w:val="21"/>
        <w:rPr>
          <w:rFonts w:eastAsiaTheme="minorEastAsia"/>
          <w:kern w:val="2"/>
          <w:sz w:val="24"/>
          <w:szCs w:val="24"/>
          <w14:ligatures w14:val="standardContextual"/>
        </w:rPr>
      </w:pPr>
      <w:r>
        <w:fldChar w:fldCharType="begin"/>
      </w:r>
      <w:r>
        <w:instrText xml:space="preserve"> HYPERLINK \l "_Toc194822671" </w:instrText>
      </w:r>
      <w:r>
        <w:fldChar w:fldCharType="separate"/>
      </w:r>
      <w:r>
        <w:rPr>
          <w:rStyle w:val="16"/>
          <w:color w:val="auto"/>
          <w:u w:val="none"/>
        </w:rPr>
        <w:t>Table 15:</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"_Toc194822672" </w:instrText>
      </w:r>
      <w:r>
        <w:fldChar w:fldCharType="separate"/>
      </w:r>
      <w:r>
        <w:rPr>
          <w:rStyle w:val="16"/>
          <w:i/>
          <w:iCs/>
          <w:color w:val="auto"/>
          <w:u w:val="none"/>
        </w:rPr>
        <w:t>Mean and standard deviation of teaching approach item</w:t>
      </w:r>
      <w:r>
        <w:tab/>
      </w:r>
      <w:r>
        <w:fldChar w:fldCharType="begin"/>
      </w:r>
      <w:r>
        <w:instrText xml:space="preserve"> PAGEREF _Toc194822672 \h </w:instrText>
      </w:r>
      <w:r>
        <w:fldChar w:fldCharType="separate"/>
      </w:r>
      <w:r>
        <w:t>132</w:t>
      </w:r>
      <w:r>
        <w:fldChar w:fldCharType="end"/>
      </w:r>
      <w:r>
        <w:fldChar w:fldCharType="end"/>
      </w:r>
    </w:p>
    <w:p w14:paraId="578629E1">
      <w:pPr>
        <w:pStyle w:val="21"/>
        <w:rPr>
          <w:rFonts w:eastAsiaTheme="minorEastAsia"/>
          <w:kern w:val="2"/>
          <w:sz w:val="24"/>
          <w:szCs w:val="24"/>
          <w14:ligatures w14:val="standardContextual"/>
        </w:rPr>
      </w:pPr>
      <w:r>
        <w:fldChar w:fldCharType="begin"/>
      </w:r>
      <w:r>
        <w:instrText xml:space="preserve"> HYPERLINK \l "_Toc194822673" </w:instrText>
      </w:r>
      <w:r>
        <w:fldChar w:fldCharType="separate"/>
      </w:r>
      <w:r>
        <w:rPr>
          <w:rStyle w:val="16"/>
          <w:color w:val="auto"/>
          <w:u w:val="none"/>
        </w:rPr>
        <w:t>Table 16:</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"_Toc194822674" </w:instrText>
      </w:r>
      <w:r>
        <w:fldChar w:fldCharType="separate"/>
      </w:r>
      <w:r>
        <w:rPr>
          <w:rStyle w:val="16"/>
          <w:i/>
          <w:iCs/>
          <w:color w:val="auto"/>
          <w:u w:val="none"/>
        </w:rPr>
        <w:t>Correlation analysis of teaching approach and Level of Exam Malpractices in KCSE</w:t>
      </w:r>
      <w:r>
        <w:tab/>
      </w:r>
      <w:r>
        <w:fldChar w:fldCharType="begin"/>
      </w:r>
      <w:r>
        <w:instrText xml:space="preserve"> PAGEREF _Toc194822674 \h </w:instrText>
      </w:r>
      <w:r>
        <w:fldChar w:fldCharType="separate"/>
      </w:r>
      <w:r>
        <w:t>134</w:t>
      </w:r>
      <w:r>
        <w:fldChar w:fldCharType="end"/>
      </w:r>
      <w:r>
        <w:fldChar w:fldCharType="end"/>
      </w:r>
    </w:p>
    <w:p w14:paraId="413471AB">
      <w:pPr>
        <w:pStyle w:val="21"/>
        <w:rPr>
          <w:rFonts w:eastAsiaTheme="minorEastAsia"/>
          <w:kern w:val="2"/>
          <w:sz w:val="24"/>
          <w:szCs w:val="24"/>
          <w14:ligatures w14:val="standardContextual"/>
        </w:rPr>
      </w:pPr>
      <w:r>
        <w:fldChar w:fldCharType="begin"/>
      </w:r>
      <w:r>
        <w:instrText xml:space="preserve"> HYPERLINK \l "_Toc194822676" </w:instrText>
      </w:r>
      <w:r>
        <w:fldChar w:fldCharType="separate"/>
      </w:r>
      <w:r>
        <w:rPr>
          <w:rStyle w:val="16"/>
          <w:color w:val="auto"/>
          <w:u w:val="none"/>
        </w:rPr>
        <w:t>Table 17:</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"_Toc194822677" </w:instrText>
      </w:r>
      <w:r>
        <w:fldChar w:fldCharType="separate"/>
      </w:r>
      <w:r>
        <w:rPr>
          <w:rStyle w:val="16"/>
          <w:i/>
          <w:iCs/>
          <w:color w:val="auto"/>
          <w:u w:val="none"/>
        </w:rPr>
        <w:t>Descriptive analysis on Syllabus coverage and Level of Exam Malpractices in KCSE</w:t>
      </w:r>
      <w:r>
        <w:tab/>
      </w:r>
      <w:r>
        <w:fldChar w:fldCharType="begin"/>
      </w:r>
      <w:r>
        <w:instrText xml:space="preserve"> PAGEREF _Toc194822677 \h </w:instrText>
      </w:r>
      <w:r>
        <w:fldChar w:fldCharType="separate"/>
      </w:r>
      <w:r>
        <w:t>137</w:t>
      </w:r>
      <w:r>
        <w:fldChar w:fldCharType="end"/>
      </w:r>
      <w:r>
        <w:fldChar w:fldCharType="end"/>
      </w:r>
    </w:p>
    <w:p w14:paraId="67F4AEF1">
      <w:pPr>
        <w:pStyle w:val="21"/>
        <w:rPr>
          <w:rFonts w:eastAsiaTheme="minorEastAsia"/>
          <w:kern w:val="2"/>
          <w:sz w:val="24"/>
          <w:szCs w:val="24"/>
          <w14:ligatures w14:val="standardContextual"/>
        </w:rPr>
      </w:pPr>
      <w:r>
        <w:fldChar w:fldCharType="begin"/>
      </w:r>
      <w:r>
        <w:instrText xml:space="preserve"> HYPERLINK \l "_Toc194822678" </w:instrText>
      </w:r>
      <w:r>
        <w:fldChar w:fldCharType="separate"/>
      </w:r>
      <w:r>
        <w:rPr>
          <w:rStyle w:val="16"/>
          <w:color w:val="auto"/>
          <w:u w:val="none"/>
        </w:rPr>
        <w:t>Table 18:</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"_Toc194822679" </w:instrText>
      </w:r>
      <w:r>
        <w:fldChar w:fldCharType="separate"/>
      </w:r>
      <w:r>
        <w:rPr>
          <w:rStyle w:val="16"/>
          <w:i/>
          <w:iCs/>
          <w:color w:val="auto"/>
          <w:u w:val="none"/>
        </w:rPr>
        <w:t>Mean and standard deviation of syllabus coverage items</w:t>
      </w:r>
      <w:r>
        <w:tab/>
      </w:r>
      <w:r>
        <w:fldChar w:fldCharType="begin"/>
      </w:r>
      <w:r>
        <w:instrText xml:space="preserve"> PAGEREF _Toc194822679 \h </w:instrText>
      </w:r>
      <w:r>
        <w:fldChar w:fldCharType="separate"/>
      </w:r>
      <w:r>
        <w:t>141</w:t>
      </w:r>
      <w:r>
        <w:fldChar w:fldCharType="end"/>
      </w:r>
      <w:r>
        <w:fldChar w:fldCharType="end"/>
      </w:r>
    </w:p>
    <w:p w14:paraId="57BD3481">
      <w:pPr>
        <w:pStyle w:val="21"/>
        <w:rPr>
          <w:rFonts w:eastAsiaTheme="minorEastAsia"/>
          <w:kern w:val="2"/>
          <w:sz w:val="24"/>
          <w:szCs w:val="24"/>
          <w14:ligatures w14:val="standardContextual"/>
        </w:rPr>
      </w:pPr>
      <w:r>
        <w:fldChar w:fldCharType="begin"/>
      </w:r>
      <w:r>
        <w:instrText xml:space="preserve"> HYPERLINK \l "_Toc194822680" </w:instrText>
      </w:r>
      <w:r>
        <w:fldChar w:fldCharType="separate"/>
      </w:r>
      <w:r>
        <w:rPr>
          <w:rStyle w:val="16"/>
          <w:color w:val="auto"/>
          <w:u w:val="none"/>
        </w:rPr>
        <w:t>Table 19:</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"_Toc194822681" </w:instrText>
      </w:r>
      <w:r>
        <w:fldChar w:fldCharType="separate"/>
      </w:r>
      <w:r>
        <w:rPr>
          <w:rStyle w:val="16"/>
          <w:i/>
          <w:iCs/>
          <w:color w:val="auto"/>
          <w:u w:val="none"/>
        </w:rPr>
        <w:t>Correlation analysis of syllabus coverage and Level of Exam Malpractices in KCSE</w:t>
      </w:r>
      <w:r>
        <w:tab/>
      </w:r>
      <w:r>
        <w:fldChar w:fldCharType="begin"/>
      </w:r>
      <w:r>
        <w:instrText xml:space="preserve"> PAGEREF _Toc194822681 \h </w:instrText>
      </w:r>
      <w:r>
        <w:fldChar w:fldCharType="separate"/>
      </w:r>
      <w:r>
        <w:t>143</w:t>
      </w:r>
      <w:r>
        <w:fldChar w:fldCharType="end"/>
      </w:r>
      <w:r>
        <w:fldChar w:fldCharType="end"/>
      </w:r>
    </w:p>
    <w:p w14:paraId="1F390B8D">
      <w:pPr>
        <w:pStyle w:val="21"/>
        <w:rPr>
          <w:rFonts w:eastAsiaTheme="minorEastAsia"/>
          <w:kern w:val="2"/>
          <w:sz w:val="24"/>
          <w:szCs w:val="24"/>
          <w14:ligatures w14:val="standardContextual"/>
        </w:rPr>
      </w:pPr>
      <w:r>
        <w:fldChar w:fldCharType="begin"/>
      </w:r>
      <w:r>
        <w:instrText xml:space="preserve"> HYPERLINK \l "_Toc194822683" </w:instrText>
      </w:r>
      <w:r>
        <w:fldChar w:fldCharType="separate"/>
      </w:r>
      <w:r>
        <w:rPr>
          <w:rStyle w:val="16"/>
          <w:color w:val="auto"/>
          <w:u w:val="none"/>
        </w:rPr>
        <w:t>Table 20:</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"_Toc194822684" </w:instrText>
      </w:r>
      <w:r>
        <w:fldChar w:fldCharType="separate"/>
      </w:r>
      <w:r>
        <w:rPr>
          <w:rStyle w:val="16"/>
          <w:i/>
          <w:iCs/>
          <w:color w:val="auto"/>
          <w:u w:val="none"/>
        </w:rPr>
        <w:t>Descriptive analysis on social media and level of exam malpractices in KCSE</w:t>
      </w:r>
      <w:r>
        <w:tab/>
      </w:r>
      <w:r>
        <w:fldChar w:fldCharType="begin"/>
      </w:r>
      <w:r>
        <w:instrText xml:space="preserve"> PAGEREF _Toc194822684 \h </w:instrText>
      </w:r>
      <w:r>
        <w:fldChar w:fldCharType="separate"/>
      </w:r>
      <w:r>
        <w:t>146</w:t>
      </w:r>
      <w:r>
        <w:fldChar w:fldCharType="end"/>
      </w:r>
      <w:r>
        <w:fldChar w:fldCharType="end"/>
      </w:r>
    </w:p>
    <w:p w14:paraId="54BACA34">
      <w:pPr>
        <w:pStyle w:val="21"/>
        <w:rPr>
          <w:rFonts w:eastAsiaTheme="minorEastAsia"/>
          <w:kern w:val="2"/>
          <w:sz w:val="24"/>
          <w:szCs w:val="24"/>
          <w14:ligatures w14:val="standardContextual"/>
        </w:rPr>
      </w:pPr>
      <w:r>
        <w:fldChar w:fldCharType="begin"/>
      </w:r>
      <w:r>
        <w:instrText xml:space="preserve"> HYPERLINK \l "_Toc194822685" </w:instrText>
      </w:r>
      <w:r>
        <w:fldChar w:fldCharType="separate"/>
      </w:r>
      <w:r>
        <w:rPr>
          <w:rStyle w:val="16"/>
          <w:color w:val="auto"/>
          <w:u w:val="none"/>
        </w:rPr>
        <w:t>Table 21:</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"_Toc194822686" </w:instrText>
      </w:r>
      <w:r>
        <w:fldChar w:fldCharType="separate"/>
      </w:r>
      <w:r>
        <w:rPr>
          <w:rStyle w:val="16"/>
          <w:i/>
          <w:iCs/>
          <w:color w:val="auto"/>
          <w:u w:val="none"/>
        </w:rPr>
        <w:t>Mean and standard deviation of social media items</w:t>
      </w:r>
      <w:r>
        <w:tab/>
      </w:r>
      <w:r>
        <w:fldChar w:fldCharType="begin"/>
      </w:r>
      <w:r>
        <w:instrText xml:space="preserve"> PAGEREF _Toc194822686 \h </w:instrText>
      </w:r>
      <w:r>
        <w:fldChar w:fldCharType="separate"/>
      </w:r>
      <w:r>
        <w:t>152</w:t>
      </w:r>
      <w:r>
        <w:fldChar w:fldCharType="end"/>
      </w:r>
      <w:r>
        <w:fldChar w:fldCharType="end"/>
      </w:r>
    </w:p>
    <w:p w14:paraId="26BF5A9D">
      <w:pPr>
        <w:pStyle w:val="21"/>
        <w:rPr>
          <w:rFonts w:eastAsiaTheme="minorEastAsia"/>
          <w:kern w:val="2"/>
          <w:sz w:val="24"/>
          <w:szCs w:val="24"/>
          <w14:ligatures w14:val="standardContextual"/>
        </w:rPr>
      </w:pPr>
      <w:r>
        <w:fldChar w:fldCharType="begin"/>
      </w:r>
      <w:r>
        <w:instrText xml:space="preserve"> HYPERLINK \l "_Toc194822687" </w:instrText>
      </w:r>
      <w:r>
        <w:fldChar w:fldCharType="separate"/>
      </w:r>
      <w:r>
        <w:rPr>
          <w:rStyle w:val="16"/>
          <w:color w:val="auto"/>
          <w:u w:val="none"/>
        </w:rPr>
        <w:t>Table 22:</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"_Toc194822688" </w:instrText>
      </w:r>
      <w:r>
        <w:fldChar w:fldCharType="separate"/>
      </w:r>
      <w:r>
        <w:rPr>
          <w:rStyle w:val="16"/>
          <w:i/>
          <w:iCs/>
          <w:color w:val="auto"/>
          <w:u w:val="none"/>
        </w:rPr>
        <w:t>Correlation analysis of social media and examination integrity</w:t>
      </w:r>
      <w:r>
        <w:tab/>
      </w:r>
      <w:r>
        <w:fldChar w:fldCharType="begin"/>
      </w:r>
      <w:r>
        <w:instrText xml:space="preserve"> PAGEREF _Toc194822688 \h </w:instrText>
      </w:r>
      <w:r>
        <w:fldChar w:fldCharType="separate"/>
      </w:r>
      <w:r>
        <w:t>154</w:t>
      </w:r>
      <w:r>
        <w:fldChar w:fldCharType="end"/>
      </w:r>
      <w:r>
        <w:fldChar w:fldCharType="end"/>
      </w:r>
    </w:p>
    <w:p w14:paraId="3483167D">
      <w:pPr>
        <w:pStyle w:val="21"/>
        <w:rPr>
          <w:rFonts w:eastAsiaTheme="minorEastAsia"/>
          <w:kern w:val="2"/>
          <w:sz w:val="24"/>
          <w:szCs w:val="24"/>
          <w14:ligatures w14:val="standardContextual"/>
        </w:rPr>
      </w:pPr>
      <w:r>
        <w:fldChar w:fldCharType="begin"/>
      </w:r>
      <w:r>
        <w:instrText xml:space="preserve"> HYPERLINK \l "_Toc194822690" </w:instrText>
      </w:r>
      <w:r>
        <w:fldChar w:fldCharType="separate"/>
      </w:r>
      <w:r>
        <w:rPr>
          <w:rStyle w:val="16"/>
          <w:color w:val="auto"/>
          <w:u w:val="none"/>
        </w:rPr>
        <w:t>Table 23:</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"_Toc194822691" </w:instrText>
      </w:r>
      <w:r>
        <w:fldChar w:fldCharType="separate"/>
      </w:r>
      <w:r>
        <w:rPr>
          <w:rStyle w:val="16"/>
          <w:i/>
          <w:iCs/>
          <w:color w:val="auto"/>
          <w:u w:val="none"/>
        </w:rPr>
        <w:t>Descriptive analysis on exam malpractices in KCSE examinations</w:t>
      </w:r>
      <w:r>
        <w:tab/>
      </w:r>
      <w:r>
        <w:fldChar w:fldCharType="begin"/>
      </w:r>
      <w:r>
        <w:instrText xml:space="preserve"> PAGEREF _Toc194822691 \h </w:instrText>
      </w:r>
      <w:r>
        <w:fldChar w:fldCharType="separate"/>
      </w:r>
      <w:r>
        <w:t>158</w:t>
      </w:r>
      <w:r>
        <w:fldChar w:fldCharType="end"/>
      </w:r>
      <w:r>
        <w:fldChar w:fldCharType="end"/>
      </w:r>
    </w:p>
    <w:p w14:paraId="684E9A86">
      <w:pPr>
        <w:rPr>
          <w:rFonts w:asciiTheme="majorBidi" w:hAnsiTheme="majorBidi" w:cstheme="majorBidi"/>
          <w:sz w:val="24"/>
          <w:szCs w:val="24"/>
        </w:rPr>
      </w:pPr>
    </w:p>
    <w:p w14:paraId="3F41D48B">
      <w:pPr>
        <w:rPr>
          <w:rFonts w:asciiTheme="majorBidi" w:hAnsiTheme="majorBidi" w:cstheme="majorBidi"/>
          <w:sz w:val="24"/>
          <w:szCs w:val="24"/>
        </w:rPr>
      </w:pPr>
    </w:p>
    <w:p w14:paraId="5BA217E0">
      <w:pPr>
        <w:rPr>
          <w:rFonts w:asciiTheme="majorBidi" w:hAnsiTheme="majorBidi" w:cstheme="majorBidi"/>
          <w:sz w:val="24"/>
          <w:szCs w:val="24"/>
        </w:rPr>
      </w:pPr>
    </w:p>
    <w:p w14:paraId="68826636">
      <w:pPr>
        <w:rPr>
          <w:rFonts w:asciiTheme="majorBidi" w:hAnsiTheme="majorBidi" w:cstheme="majorBidi"/>
          <w:sz w:val="24"/>
          <w:szCs w:val="24"/>
        </w:rPr>
      </w:pPr>
    </w:p>
    <w:p w14:paraId="0E07F9E9">
      <w:pPr>
        <w:rPr>
          <w:rFonts w:asciiTheme="majorBidi" w:hAnsiTheme="majorBidi" w:cstheme="majorBidi"/>
          <w:sz w:val="24"/>
          <w:szCs w:val="24"/>
        </w:rPr>
      </w:pPr>
    </w:p>
    <w:p w14:paraId="17DA7475">
      <w:pPr>
        <w:rPr>
          <w:rFonts w:asciiTheme="majorBidi" w:hAnsiTheme="majorBidi" w:cstheme="majorBidi"/>
          <w:sz w:val="24"/>
          <w:szCs w:val="24"/>
        </w:rPr>
      </w:pPr>
    </w:p>
    <w:p w14:paraId="4D1D869F">
      <w:pPr>
        <w:pStyle w:val="2"/>
        <w:jc w:val="center"/>
        <w:rPr>
          <w:rStyle w:val="41"/>
          <w:rFonts w:asciiTheme="majorBidi" w:hAnsiTheme="majorBidi"/>
          <w:b/>
          <w:bCs/>
          <w:color w:val="auto"/>
          <w:sz w:val="24"/>
          <w:szCs w:val="24"/>
        </w:rPr>
      </w:pPr>
      <w:bookmarkStart w:id="7" w:name="_Toc194822577"/>
      <w:r>
        <w:rPr>
          <w:rStyle w:val="41"/>
          <w:rFonts w:asciiTheme="majorBidi" w:hAnsiTheme="majorBidi"/>
          <w:b/>
          <w:bCs/>
          <w:color w:val="auto"/>
          <w:sz w:val="24"/>
          <w:szCs w:val="24"/>
        </w:rPr>
        <w:t>LIST OF FIGURES</w:t>
      </w:r>
      <w:bookmarkEnd w:id="7"/>
    </w:p>
    <w:p w14:paraId="54B23746">
      <w:pPr>
        <w:pStyle w:val="21"/>
        <w:rPr>
          <w:rFonts w:eastAsiaTheme="minorEastAsia"/>
          <w:kern w:val="2"/>
          <w:sz w:val="24"/>
          <w:szCs w:val="24"/>
          <w14:ligatures w14:val="standardContextual"/>
        </w:rPr>
      </w:pPr>
      <w:r>
        <w:fldChar w:fldCharType="begin"/>
      </w:r>
      <w:r>
        <w:instrText xml:space="preserve"> HYPERLINK \l "_Toc194822592" </w:instrText>
      </w:r>
      <w:r>
        <w:fldChar w:fldCharType="separate"/>
      </w:r>
      <w:r>
        <w:rPr>
          <w:rStyle w:val="16"/>
          <w:i/>
          <w:iCs/>
          <w:color w:val="auto"/>
          <w:u w:val="none"/>
        </w:rPr>
        <w:t xml:space="preserve">Figure </w:t>
      </w:r>
      <w:r>
        <w:rPr>
          <w:rStyle w:val="16"/>
          <w:color w:val="auto"/>
          <w:u w:val="none"/>
        </w:rPr>
        <w:t>1: Conceptual framework</w:t>
      </w:r>
      <w:r>
        <w:tab/>
      </w:r>
      <w:r>
        <w:fldChar w:fldCharType="begin"/>
      </w:r>
      <w:r>
        <w:instrText xml:space="preserve"> PAGEREF _Toc194822592 \h </w:instrText>
      </w:r>
      <w:r>
        <w:fldChar w:fldCharType="separate"/>
      </w:r>
      <w:r>
        <w:t>14</w:t>
      </w:r>
      <w:r>
        <w:fldChar w:fldCharType="end"/>
      </w:r>
      <w:r>
        <w:fldChar w:fldCharType="end"/>
      </w:r>
    </w:p>
    <w:p w14:paraId="53FF653A">
      <w:pPr>
        <w:pStyle w:val="21"/>
        <w:rPr>
          <w:rFonts w:eastAsiaTheme="minorEastAsia"/>
          <w:kern w:val="2"/>
          <w:sz w:val="24"/>
          <w:szCs w:val="24"/>
          <w14:ligatures w14:val="standardContextual"/>
        </w:rPr>
      </w:pPr>
      <w:r>
        <w:fldChar w:fldCharType="begin"/>
      </w:r>
      <w:r>
        <w:instrText xml:space="preserve"> HYPERLINK \l "_Toc194822642" </w:instrText>
      </w:r>
      <w:r>
        <w:fldChar w:fldCharType="separate"/>
      </w:r>
      <w:r>
        <w:rPr>
          <w:rStyle w:val="16"/>
          <w:color w:val="auto"/>
          <w:u w:val="none"/>
        </w:rPr>
        <w:t>Figure 2: Demographic information</w:t>
      </w:r>
      <w:r>
        <w:tab/>
      </w:r>
      <w:r>
        <w:fldChar w:fldCharType="begin"/>
      </w:r>
      <w:r>
        <w:instrText xml:space="preserve"> PAGEREF _Toc194822642 \h </w:instrText>
      </w:r>
      <w:r>
        <w:fldChar w:fldCharType="separate"/>
      </w:r>
      <w:r>
        <w:t>93</w:t>
      </w:r>
      <w:r>
        <w:fldChar w:fldCharType="end"/>
      </w:r>
      <w:r>
        <w:fldChar w:fldCharType="end"/>
      </w:r>
    </w:p>
    <w:p w14:paraId="00C24FEB">
      <w:pPr>
        <w:spacing w:line="480" w:lineRule="auto"/>
        <w:ind w:left="1260" w:hanging="1260"/>
        <w:jc w:val="both"/>
        <w:rPr>
          <w:rStyle w:val="41"/>
          <w:rFonts w:asciiTheme="majorBidi" w:hAnsiTheme="majorBidi"/>
          <w:color w:val="auto"/>
          <w:sz w:val="24"/>
          <w:szCs w:val="24"/>
        </w:rPr>
      </w:pPr>
    </w:p>
    <w:p w14:paraId="398088CB">
      <w:pPr>
        <w:spacing w:line="480" w:lineRule="auto"/>
        <w:ind w:left="1260" w:hanging="1260"/>
        <w:jc w:val="both"/>
        <w:rPr>
          <w:rStyle w:val="41"/>
          <w:rFonts w:asciiTheme="majorBidi" w:hAnsiTheme="majorBidi"/>
          <w:color w:val="auto"/>
          <w:sz w:val="24"/>
          <w:szCs w:val="24"/>
        </w:rPr>
      </w:pPr>
    </w:p>
    <w:p w14:paraId="130CA3D9">
      <w:pPr>
        <w:spacing w:line="480" w:lineRule="auto"/>
        <w:ind w:left="1260" w:hanging="1260"/>
        <w:jc w:val="both"/>
        <w:rPr>
          <w:rStyle w:val="41"/>
          <w:rFonts w:asciiTheme="majorBidi" w:hAnsiTheme="majorBidi"/>
          <w:color w:val="auto"/>
          <w:sz w:val="24"/>
          <w:szCs w:val="24"/>
        </w:rPr>
      </w:pPr>
    </w:p>
    <w:p w14:paraId="66F68170">
      <w:pPr>
        <w:spacing w:line="480" w:lineRule="auto"/>
        <w:ind w:left="1260" w:hanging="1260"/>
        <w:jc w:val="both"/>
        <w:rPr>
          <w:rStyle w:val="41"/>
          <w:rFonts w:asciiTheme="majorBidi" w:hAnsiTheme="majorBidi"/>
          <w:color w:val="auto"/>
          <w:sz w:val="24"/>
          <w:szCs w:val="24"/>
        </w:rPr>
      </w:pPr>
    </w:p>
    <w:p w14:paraId="19D09C14">
      <w:pPr>
        <w:spacing w:line="480" w:lineRule="auto"/>
        <w:ind w:left="1260" w:hanging="1260"/>
        <w:jc w:val="both"/>
        <w:rPr>
          <w:rStyle w:val="41"/>
          <w:rFonts w:asciiTheme="majorBidi" w:hAnsiTheme="majorBidi"/>
          <w:color w:val="auto"/>
          <w:sz w:val="24"/>
          <w:szCs w:val="24"/>
        </w:rPr>
      </w:pPr>
    </w:p>
    <w:p w14:paraId="73005E70">
      <w:pPr>
        <w:spacing w:line="480" w:lineRule="auto"/>
        <w:ind w:left="1260" w:hanging="1260"/>
        <w:jc w:val="both"/>
        <w:rPr>
          <w:rStyle w:val="41"/>
          <w:rFonts w:asciiTheme="majorBidi" w:hAnsiTheme="majorBidi"/>
          <w:color w:val="auto"/>
          <w:sz w:val="24"/>
          <w:szCs w:val="24"/>
        </w:rPr>
      </w:pPr>
    </w:p>
    <w:p w14:paraId="7033F136">
      <w:pPr>
        <w:spacing w:line="480" w:lineRule="auto"/>
        <w:ind w:left="1260" w:hanging="1260"/>
        <w:jc w:val="both"/>
        <w:rPr>
          <w:rStyle w:val="41"/>
          <w:rFonts w:asciiTheme="majorBidi" w:hAnsiTheme="majorBidi"/>
          <w:color w:val="auto"/>
          <w:sz w:val="24"/>
          <w:szCs w:val="24"/>
        </w:rPr>
      </w:pPr>
    </w:p>
    <w:p w14:paraId="13B98EA5">
      <w:pPr>
        <w:spacing w:line="480" w:lineRule="auto"/>
        <w:jc w:val="both"/>
        <w:rPr>
          <w:rStyle w:val="41"/>
          <w:rFonts w:asciiTheme="majorBidi" w:hAnsiTheme="majorBidi"/>
          <w:color w:val="auto"/>
          <w:sz w:val="24"/>
          <w:szCs w:val="24"/>
        </w:rPr>
      </w:pPr>
    </w:p>
    <w:p w14:paraId="50A20451">
      <w:pPr>
        <w:spacing w:line="480" w:lineRule="auto"/>
        <w:jc w:val="both"/>
        <w:rPr>
          <w:rStyle w:val="41"/>
          <w:rFonts w:asciiTheme="majorBidi" w:hAnsiTheme="majorBidi"/>
          <w:color w:val="auto"/>
          <w:sz w:val="24"/>
          <w:szCs w:val="24"/>
        </w:rPr>
      </w:pPr>
    </w:p>
    <w:p w14:paraId="728C6FFD">
      <w:pPr>
        <w:spacing w:line="480" w:lineRule="auto"/>
        <w:jc w:val="both"/>
        <w:rPr>
          <w:rStyle w:val="41"/>
          <w:rFonts w:asciiTheme="majorBidi" w:hAnsiTheme="majorBidi"/>
          <w:color w:val="auto"/>
          <w:sz w:val="24"/>
          <w:szCs w:val="24"/>
        </w:rPr>
      </w:pPr>
    </w:p>
    <w:p w14:paraId="10B13194">
      <w:pPr>
        <w:spacing w:line="480" w:lineRule="auto"/>
        <w:jc w:val="both"/>
        <w:rPr>
          <w:rStyle w:val="41"/>
          <w:rFonts w:asciiTheme="majorBidi" w:hAnsiTheme="majorBidi"/>
          <w:color w:val="auto"/>
          <w:sz w:val="24"/>
          <w:szCs w:val="24"/>
        </w:rPr>
      </w:pPr>
    </w:p>
    <w:p w14:paraId="6FC4C10B">
      <w:pPr>
        <w:spacing w:line="480" w:lineRule="auto"/>
        <w:jc w:val="both"/>
        <w:rPr>
          <w:rStyle w:val="41"/>
          <w:rFonts w:asciiTheme="majorBidi" w:hAnsiTheme="majorBidi"/>
          <w:color w:val="auto"/>
          <w:sz w:val="24"/>
          <w:szCs w:val="24"/>
        </w:rPr>
      </w:pPr>
    </w:p>
    <w:p w14:paraId="1AADBF32">
      <w:pPr>
        <w:spacing w:line="480" w:lineRule="auto"/>
        <w:jc w:val="both"/>
        <w:rPr>
          <w:rStyle w:val="41"/>
          <w:rFonts w:asciiTheme="majorBidi" w:hAnsiTheme="majorBidi"/>
          <w:color w:val="auto"/>
          <w:sz w:val="24"/>
          <w:szCs w:val="24"/>
        </w:rPr>
      </w:pPr>
    </w:p>
    <w:p w14:paraId="4EA73FD5">
      <w:pPr>
        <w:pStyle w:val="2"/>
        <w:spacing w:after="240"/>
        <w:jc w:val="center"/>
        <w:rPr>
          <w:rFonts w:asciiTheme="majorBidi" w:hAnsiTheme="majorBidi"/>
          <w:color w:val="auto"/>
          <w:sz w:val="24"/>
          <w:szCs w:val="24"/>
        </w:rPr>
      </w:pPr>
      <w:bookmarkStart w:id="8" w:name="_Toc194822578"/>
      <w:r>
        <w:rPr>
          <w:rStyle w:val="41"/>
          <w:rFonts w:asciiTheme="majorBidi" w:hAnsiTheme="majorBidi"/>
          <w:b/>
          <w:bCs/>
          <w:color w:val="auto"/>
          <w:sz w:val="24"/>
          <w:szCs w:val="24"/>
        </w:rPr>
        <w:t>LIST OF ABBREVIATIONS AND ACRONYMS</w:t>
      </w:r>
      <w:bookmarkEnd w:id="5"/>
      <w:bookmarkEnd w:id="8"/>
    </w:p>
    <w:p w14:paraId="48ADDC9E">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CAK</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Communication Authority of Kenya </w:t>
      </w:r>
    </w:p>
    <w:p w14:paraId="50F56261">
      <w:pPr>
        <w:spacing w:after="0" w:line="480" w:lineRule="auto"/>
        <w:ind w:left="1260" w:hanging="1260"/>
        <w:jc w:val="both"/>
        <w:rPr>
          <w:rFonts w:asciiTheme="majorBidi" w:hAnsiTheme="majorBidi" w:cstheme="majorBidi"/>
          <w:sz w:val="24"/>
          <w:szCs w:val="24"/>
        </w:rPr>
      </w:pPr>
      <w:r>
        <w:rPr>
          <w:rFonts w:eastAsia="Calibri" w:asciiTheme="majorBidi" w:hAnsiTheme="majorBidi" w:cstheme="majorBidi"/>
          <w:bCs/>
          <w:sz w:val="24"/>
          <w:szCs w:val="24"/>
          <w:lang w:val="en-GB"/>
        </w:rPr>
        <w:t>CDE</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County Director of Education</w:t>
      </w:r>
    </w:p>
    <w:p w14:paraId="70CBF9ED">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DCI</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Directorate of Criminal Investigation</w:t>
      </w:r>
    </w:p>
    <w:p w14:paraId="5C3FFF5E">
      <w:pPr>
        <w:spacing w:after="0" w:line="480" w:lineRule="auto"/>
        <w:ind w:left="1260" w:hanging="1260"/>
        <w:jc w:val="both"/>
        <w:rPr>
          <w:rStyle w:val="19"/>
          <w:rFonts w:asciiTheme="majorBidi" w:hAnsiTheme="majorBidi" w:cstheme="majorBidi"/>
          <w:b w:val="0"/>
          <w:bCs w:val="0"/>
          <w:sz w:val="24"/>
          <w:szCs w:val="24"/>
        </w:rPr>
      </w:pPr>
      <w:r>
        <w:rPr>
          <w:rFonts w:asciiTheme="majorBidi" w:hAnsiTheme="majorBidi" w:cstheme="majorBidi"/>
          <w:sz w:val="24"/>
          <w:szCs w:val="24"/>
          <w:shd w:val="clear" w:color="auto" w:fill="FFFFFF"/>
        </w:rPr>
        <w:t>JISC</w:t>
      </w:r>
      <w:r>
        <w:rPr>
          <w:rFonts w:asciiTheme="majorBidi" w:hAnsiTheme="majorBidi" w:cstheme="majorBidi"/>
          <w:sz w:val="24"/>
          <w:szCs w:val="24"/>
          <w:shd w:val="clear" w:color="auto" w:fill="FFFFFF"/>
        </w:rPr>
        <w:tab/>
      </w:r>
      <w:r>
        <w:rPr>
          <w:rFonts w:asciiTheme="majorBidi" w:hAnsiTheme="majorBidi" w:cstheme="majorBidi"/>
          <w:sz w:val="24"/>
          <w:szCs w:val="24"/>
          <w:shd w:val="clear" w:color="auto" w:fill="FFFFFF"/>
        </w:rPr>
        <w:tab/>
      </w:r>
      <w:r>
        <w:rPr>
          <w:rFonts w:asciiTheme="majorBidi" w:hAnsiTheme="majorBidi" w:cstheme="majorBidi"/>
          <w:sz w:val="24"/>
          <w:szCs w:val="24"/>
          <w:shd w:val="clear" w:color="auto" w:fill="FFFFFF"/>
        </w:rPr>
        <w:tab/>
      </w:r>
      <w:r>
        <w:rPr>
          <w:rFonts w:asciiTheme="majorBidi" w:hAnsiTheme="majorBidi" w:cstheme="majorBidi"/>
          <w:sz w:val="24"/>
          <w:szCs w:val="24"/>
          <w:shd w:val="clear" w:color="auto" w:fill="FFFFFF"/>
        </w:rPr>
        <w:t xml:space="preserve">Joint Information Systems Committee </w:t>
      </w:r>
    </w:p>
    <w:p w14:paraId="1E34A62C">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KCSE</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Kenya Certificate of Secondary Education  </w:t>
      </w:r>
    </w:p>
    <w:p w14:paraId="64D7A479">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KICD</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Kenya Institute of Curriculum Development</w:t>
      </w:r>
    </w:p>
    <w:p w14:paraId="3FCDA287">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KNEC</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Kenya National Examination Council </w:t>
      </w:r>
    </w:p>
    <w:p w14:paraId="4EE0F673">
      <w:pPr>
        <w:spacing w:after="0" w:line="480" w:lineRule="auto"/>
        <w:ind w:left="2127" w:hanging="2127"/>
        <w:jc w:val="both"/>
        <w:rPr>
          <w:rFonts w:asciiTheme="majorBidi" w:hAnsiTheme="majorBidi" w:cstheme="majorBidi"/>
          <w:sz w:val="24"/>
          <w:szCs w:val="24"/>
        </w:rPr>
      </w:pPr>
      <w:r>
        <w:rPr>
          <w:rFonts w:eastAsia="Calibri" w:asciiTheme="majorBidi" w:hAnsiTheme="majorBidi" w:cstheme="majorBidi"/>
          <w:bCs/>
          <w:sz w:val="24"/>
          <w:szCs w:val="24"/>
          <w:lang w:val="en-GB"/>
        </w:rPr>
        <w:t>LU-ISERC</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Laikipia University Institutional Scientific Ethics Review Committee</w:t>
      </w:r>
      <w:r>
        <w:rPr>
          <w:rFonts w:asciiTheme="majorBidi" w:hAnsiTheme="majorBidi" w:cstheme="majorBidi"/>
          <w:sz w:val="24"/>
          <w:szCs w:val="24"/>
        </w:rPr>
        <w:t xml:space="preserve"> </w:t>
      </w:r>
    </w:p>
    <w:p w14:paraId="275B78B7">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MINA</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Ministry of Interior and National Administration </w:t>
      </w:r>
    </w:p>
    <w:p w14:paraId="7B32BD46">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MoE</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Ministry of Education </w:t>
      </w:r>
    </w:p>
    <w:p w14:paraId="64941A7E">
      <w:pPr>
        <w:spacing w:after="0" w:line="480" w:lineRule="auto"/>
        <w:ind w:left="1260" w:hanging="1260"/>
        <w:jc w:val="both"/>
        <w:rPr>
          <w:rFonts w:asciiTheme="majorBidi" w:hAnsiTheme="majorBidi" w:cstheme="majorBidi"/>
          <w:sz w:val="24"/>
          <w:szCs w:val="24"/>
        </w:rPr>
      </w:pPr>
      <w:r>
        <w:rPr>
          <w:rFonts w:eastAsia="Calibri" w:asciiTheme="majorBidi" w:hAnsiTheme="majorBidi" w:cstheme="majorBidi"/>
          <w:bCs/>
          <w:sz w:val="24"/>
          <w:szCs w:val="24"/>
          <w:lang w:val="en-GB"/>
        </w:rPr>
        <w:t>NACOSTI</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 xml:space="preserve">National Commission for Science Technology and Innovation </w:t>
      </w:r>
    </w:p>
    <w:p w14:paraId="20C93B8D">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NEWS</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North Eastern Welfare Society</w:t>
      </w:r>
    </w:p>
    <w:p w14:paraId="62FE59A7">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PCD</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Peer Cheating Detector </w:t>
      </w:r>
    </w:p>
    <w:p w14:paraId="52C235CE">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PDC</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Parliamentary Departmental Committee</w:t>
      </w:r>
    </w:p>
    <w:p w14:paraId="366E0FBC">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PWPER</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Presidential Working Party on Education Reform</w:t>
      </w:r>
    </w:p>
    <w:p w14:paraId="60E93181">
      <w:pPr>
        <w:spacing w:after="0" w:line="480" w:lineRule="auto"/>
        <w:ind w:left="2127" w:hanging="2127"/>
        <w:jc w:val="both"/>
        <w:rPr>
          <w:rFonts w:asciiTheme="majorBidi" w:hAnsiTheme="majorBidi" w:cstheme="majorBidi"/>
          <w:sz w:val="24"/>
          <w:szCs w:val="24"/>
        </w:rPr>
      </w:pPr>
      <w:r>
        <w:rPr>
          <w:rFonts w:eastAsia="Calibri" w:asciiTheme="majorBidi" w:hAnsiTheme="majorBidi" w:cstheme="majorBidi"/>
          <w:bCs/>
          <w:sz w:val="24"/>
          <w:szCs w:val="24"/>
          <w:lang w:val="en-GB"/>
        </w:rPr>
        <w:t>GaU-REPLICO</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 xml:space="preserve">Garissa University Research, Postgradaute Linkages And Community Outreach </w:t>
      </w:r>
    </w:p>
    <w:p w14:paraId="6D1D1806">
      <w:pPr>
        <w:spacing w:after="0" w:line="480" w:lineRule="auto"/>
        <w:ind w:left="1260" w:hanging="1260"/>
        <w:jc w:val="both"/>
        <w:rPr>
          <w:rFonts w:asciiTheme="majorBidi" w:hAnsiTheme="majorBidi" w:cstheme="majorBidi"/>
          <w:sz w:val="24"/>
          <w:szCs w:val="24"/>
        </w:rPr>
      </w:pPr>
      <w:r>
        <w:rPr>
          <w:rFonts w:eastAsia="Calibri" w:asciiTheme="majorBidi" w:hAnsiTheme="majorBidi" w:cstheme="majorBidi"/>
          <w:bCs/>
          <w:sz w:val="24"/>
          <w:szCs w:val="24"/>
          <w:lang w:val="en-GB"/>
        </w:rPr>
        <w:t>SCDE</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Sub- County Director of Education</w:t>
      </w:r>
      <w:r>
        <w:rPr>
          <w:rFonts w:asciiTheme="majorBidi" w:hAnsiTheme="majorBidi" w:cstheme="majorBidi"/>
          <w:sz w:val="24"/>
          <w:szCs w:val="24"/>
        </w:rPr>
        <w:t xml:space="preserve"> </w:t>
      </w:r>
    </w:p>
    <w:p w14:paraId="102F892E">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SEN</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Special Educational Needs</w:t>
      </w:r>
    </w:p>
    <w:p w14:paraId="0AAE6BE0">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TSC</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Teacher Service Commission </w:t>
      </w:r>
    </w:p>
    <w:p w14:paraId="606D32C3">
      <w:pPr>
        <w:spacing w:after="0" w:line="480" w:lineRule="auto"/>
        <w:ind w:left="1260" w:hanging="1260"/>
        <w:jc w:val="both"/>
        <w:rPr>
          <w:rFonts w:eastAsia="Calibri" w:asciiTheme="majorBidi" w:hAnsiTheme="majorBidi" w:cstheme="majorBidi"/>
          <w:bCs/>
          <w:sz w:val="24"/>
          <w:szCs w:val="24"/>
          <w:lang w:val="en-GB"/>
        </w:rPr>
      </w:pPr>
      <w:r>
        <w:rPr>
          <w:rFonts w:asciiTheme="majorBidi" w:hAnsiTheme="majorBidi" w:cstheme="majorBidi"/>
          <w:sz w:val="24"/>
          <w:szCs w:val="24"/>
        </w:rPr>
        <w:t>UNESCO</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United Nations Educational, Scientific and Cultural Organization</w:t>
      </w:r>
      <w:r>
        <w:rPr>
          <w:rFonts w:eastAsia="Calibri" w:asciiTheme="majorBidi" w:hAnsiTheme="majorBidi" w:cstheme="majorBidi"/>
          <w:bCs/>
          <w:sz w:val="24"/>
          <w:szCs w:val="24"/>
          <w:lang w:val="en-GB"/>
        </w:rPr>
        <w:t xml:space="preserve"> </w:t>
      </w:r>
    </w:p>
    <w:p w14:paraId="0BBCA42C">
      <w:pPr>
        <w:pStyle w:val="2"/>
        <w:spacing w:before="0" w:line="480" w:lineRule="auto"/>
        <w:jc w:val="center"/>
        <w:rPr>
          <w:rFonts w:asciiTheme="majorBidi" w:hAnsiTheme="majorBidi"/>
          <w:color w:val="auto"/>
          <w:sz w:val="24"/>
          <w:szCs w:val="24"/>
        </w:rPr>
      </w:pPr>
      <w:bookmarkStart w:id="9" w:name="_Toc164927689"/>
      <w:bookmarkStart w:id="10" w:name="_Toc194822579"/>
      <w:r>
        <w:rPr>
          <w:rFonts w:asciiTheme="majorBidi" w:hAnsiTheme="majorBidi"/>
          <w:color w:val="auto"/>
          <w:sz w:val="24"/>
          <w:szCs w:val="24"/>
        </w:rPr>
        <w:t>ABSTRACT</w:t>
      </w:r>
      <w:bookmarkEnd w:id="9"/>
      <w:bookmarkEnd w:id="10"/>
    </w:p>
    <w:p w14:paraId="5EF2D438">
      <w:pPr>
        <w:spacing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This research project investigated the Determinants of Academic Integrity and Examination Malpractices in Secondary Schools in Garissa Township Sub- County. The study seeks to explore the factors that influence academic integrity and examination malpractices, including but not limited to teachers and students’ practices, school administration and community involvement. The research was guided by six objectives:</w:t>
      </w:r>
      <w:r>
        <w:rPr>
          <w:rFonts w:asciiTheme="majorBidi" w:hAnsiTheme="majorBidi" w:cstheme="majorBidi"/>
          <w:b/>
          <w:bCs/>
          <w:sz w:val="24"/>
          <w:szCs w:val="24"/>
        </w:rPr>
        <w:t xml:space="preserve"> </w:t>
      </w:r>
      <w:r>
        <w:rPr>
          <w:rFonts w:asciiTheme="majorBidi" w:hAnsiTheme="majorBidi" w:cstheme="majorBidi"/>
          <w:sz w:val="24"/>
          <w:szCs w:val="24"/>
        </w:rPr>
        <w:t xml:space="preserve">to establish relationship between peer pressure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in Garissa Township Sub County, to assess relationship between parents involvement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examine how perceived benefits of cheating correlates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 to assess teaching approaches in relation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determine how syllabus coverage 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establish relationship between social media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The study's significance lies in its potential to address critical issues and bring about positive changes on educational system by fostering a culture of academic integrity and ensuring a fair and credible examination process.</w:t>
      </w:r>
      <w:r>
        <w:rPr>
          <w:rFonts w:asciiTheme="majorBidi" w:hAnsiTheme="majorBidi" w:cstheme="majorBidi"/>
          <w:b/>
          <w:bCs/>
          <w:sz w:val="24"/>
          <w:szCs w:val="24"/>
        </w:rPr>
        <w:t xml:space="preserve"> </w:t>
      </w:r>
      <w:r>
        <w:rPr>
          <w:rFonts w:asciiTheme="majorBidi" w:hAnsiTheme="majorBidi" w:cstheme="majorBidi"/>
          <w:sz w:val="24"/>
          <w:szCs w:val="24"/>
        </w:rPr>
        <w:t xml:space="preserve">The study adopted descriptive survey design to investigate the </w:t>
      </w:r>
      <w:r>
        <w:rPr>
          <w:rFonts w:eastAsia="Times New Roman" w:asciiTheme="majorBidi" w:hAnsiTheme="majorBidi" w:cstheme="majorBidi"/>
          <w:sz w:val="24"/>
          <w:szCs w:val="24"/>
        </w:rPr>
        <w:t>determinants of academic integrity and examination malpractices</w:t>
      </w:r>
      <w:r>
        <w:rPr>
          <w:rFonts w:asciiTheme="majorBidi" w:hAnsiTheme="majorBidi" w:cstheme="majorBidi"/>
          <w:sz w:val="24"/>
          <w:szCs w:val="24"/>
        </w:rPr>
        <w:t xml:space="preserve"> </w:t>
      </w:r>
      <w:r>
        <w:rPr>
          <w:rFonts w:eastAsia="Times New Roman" w:asciiTheme="majorBidi" w:hAnsiTheme="majorBidi" w:cstheme="majorBidi"/>
          <w:sz w:val="24"/>
          <w:szCs w:val="24"/>
        </w:rPr>
        <w:t xml:space="preserve">in secondary schools. It focused on </w:t>
      </w:r>
      <w:r>
        <w:rPr>
          <w:rFonts w:asciiTheme="majorBidi" w:hAnsiTheme="majorBidi" w:cstheme="majorBidi"/>
          <w:sz w:val="24"/>
          <w:szCs w:val="24"/>
        </w:rPr>
        <w:t>mixed method research approach to combine quantitative and qualitative approaches so as to gather both numerical data on prevalence and in-depth insight</w:t>
      </w:r>
      <w:r>
        <w:rPr>
          <w:rFonts w:eastAsia="Times New Roman" w:asciiTheme="majorBidi" w:hAnsiTheme="majorBidi" w:cstheme="majorBidi"/>
          <w:sz w:val="24"/>
          <w:szCs w:val="24"/>
        </w:rPr>
        <w:t>. Respondents were</w:t>
      </w:r>
      <w:r>
        <w:rPr>
          <w:rFonts w:asciiTheme="majorBidi" w:hAnsiTheme="majorBidi" w:cstheme="majorBidi"/>
          <w:sz w:val="24"/>
          <w:szCs w:val="24"/>
        </w:rPr>
        <w:t xml:space="preserve"> sampled using stratified and simple random sampling. There was a sample of 11 schools out of 38 (30% of 38 schools), consisting of 4 boys’ schools, 3 girls’ schools and 4 mixed schools. Thus 11 Principals were selected using census, 55 teachers and 77 students’ representatives were also selected using simple random sampling. The data was collected using structured questionnaires for teachers and students’ representatives while principals had face to face interviews. Descriptive data was analyzed using frequencies, mean, percentages and pie charts. Pearson correlation was used to analyze quantitative data and test hypothesis</w:t>
      </w:r>
      <w:r>
        <w:rPr>
          <w:rFonts w:asciiTheme="majorBidi" w:hAnsiTheme="majorBidi" w:cstheme="majorBidi"/>
          <w:b/>
          <w:bCs/>
          <w:sz w:val="24"/>
          <w:szCs w:val="24"/>
        </w:rPr>
        <w:t xml:space="preserve"> </w:t>
      </w:r>
      <w:r>
        <w:rPr>
          <w:rFonts w:asciiTheme="majorBidi" w:hAnsiTheme="majorBidi" w:cstheme="majorBidi"/>
          <w:sz w:val="24"/>
          <w:szCs w:val="24"/>
        </w:rPr>
        <w:t xml:space="preserve">while qualitative data was analyzed verbatim. Research findings indicated that all the independent variables were significantly related to the dependent variable. Peer pressure was moderately correlated with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(r=0.446, p&lt;.05</w:t>
      </w:r>
      <w:r>
        <w:rPr>
          <w:rFonts w:asciiTheme="majorBidi" w:hAnsiTheme="majorBidi" w:cstheme="majorBidi"/>
          <w:sz w:val="24"/>
          <w:szCs w:val="24"/>
        </w:rPr>
        <w:t xml:space="preserve">); parent involvement and perceived benefits were also moderately correlated with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 xml:space="preserve">(r=0.301, p&lt;.05 </w:t>
      </w:r>
      <w:r>
        <w:rPr>
          <w:rFonts w:asciiTheme="majorBidi" w:hAnsiTheme="majorBidi" w:cstheme="majorBidi"/>
          <w:sz w:val="24"/>
          <w:szCs w:val="24"/>
        </w:rPr>
        <w:t>and</w:t>
      </w:r>
      <w:r>
        <w:rPr>
          <w:rFonts w:asciiTheme="majorBidi" w:hAnsiTheme="majorBidi" w:cstheme="majorBidi"/>
          <w:i/>
          <w:iCs/>
          <w:sz w:val="24"/>
          <w:szCs w:val="24"/>
        </w:rPr>
        <w:t xml:space="preserve"> r=0.329, p&lt;0.05</w:t>
      </w:r>
      <w:r>
        <w:rPr>
          <w:rFonts w:asciiTheme="majorBidi" w:hAnsiTheme="majorBidi" w:cstheme="majorBidi"/>
          <w:sz w:val="24"/>
          <w:szCs w:val="24"/>
        </w:rPr>
        <w:t xml:space="preserve"> respectively</w:t>
      </w:r>
      <w:r>
        <w:rPr>
          <w:rFonts w:asciiTheme="majorBidi" w:hAnsiTheme="majorBidi" w:cstheme="majorBidi"/>
          <w:i/>
          <w:iCs/>
          <w:sz w:val="24"/>
          <w:szCs w:val="24"/>
        </w:rPr>
        <w:t>)</w:t>
      </w:r>
      <w:r>
        <w:rPr>
          <w:rFonts w:asciiTheme="majorBidi" w:hAnsiTheme="majorBidi" w:cstheme="majorBidi"/>
          <w:sz w:val="24"/>
          <w:szCs w:val="24"/>
        </w:rPr>
        <w:t xml:space="preserve">. Similarly, teaching approach and syllabus coverage were moderately correlated with level of </w:t>
      </w:r>
      <w:r>
        <w:rPr>
          <w:rFonts w:eastAsia="Times New Roman" w:asciiTheme="majorBidi" w:hAnsiTheme="majorBidi" w:cstheme="majorBidi"/>
          <w:sz w:val="24"/>
          <w:szCs w:val="24"/>
        </w:rPr>
        <w:t xml:space="preserve">academic integrity and examination malpractices </w:t>
      </w:r>
      <w:r>
        <w:rPr>
          <w:rFonts w:asciiTheme="majorBidi" w:hAnsiTheme="majorBidi" w:cstheme="majorBidi"/>
          <w:sz w:val="24"/>
          <w:szCs w:val="24"/>
        </w:rPr>
        <w:t>(</w:t>
      </w:r>
      <w:r>
        <w:rPr>
          <w:rFonts w:asciiTheme="majorBidi" w:hAnsiTheme="majorBidi" w:cstheme="majorBidi"/>
          <w:i/>
          <w:iCs/>
          <w:sz w:val="24"/>
          <w:szCs w:val="24"/>
        </w:rPr>
        <w:t xml:space="preserve">r=0.462, p&lt;0.05 </w:t>
      </w:r>
      <w:r>
        <w:rPr>
          <w:rFonts w:asciiTheme="majorBidi" w:hAnsiTheme="majorBidi" w:cstheme="majorBidi"/>
          <w:sz w:val="24"/>
          <w:szCs w:val="24"/>
        </w:rPr>
        <w:t>and</w:t>
      </w:r>
      <w:r>
        <w:rPr>
          <w:rFonts w:asciiTheme="majorBidi" w:hAnsiTheme="majorBidi" w:cstheme="majorBidi"/>
          <w:i/>
          <w:iCs/>
          <w:sz w:val="24"/>
          <w:szCs w:val="24"/>
        </w:rPr>
        <w:t xml:space="preserve"> r=0.334, p&lt;0.05</w:t>
      </w:r>
      <w:r>
        <w:rPr>
          <w:rFonts w:asciiTheme="majorBidi" w:hAnsiTheme="majorBidi" w:cstheme="majorBidi"/>
          <w:sz w:val="24"/>
          <w:szCs w:val="24"/>
        </w:rPr>
        <w:t xml:space="preserve"> respectively). Lastly social media was positively correlated to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r=0.479, p&lt;0.05</w:t>
      </w:r>
      <w:r>
        <w:rPr>
          <w:rFonts w:asciiTheme="majorBidi" w:hAnsiTheme="majorBidi" w:cstheme="majorBidi"/>
          <w:sz w:val="24"/>
          <w:szCs w:val="24"/>
        </w:rPr>
        <w:t xml:space="preserve">). </w:t>
      </w:r>
      <w:r>
        <w:rPr>
          <w:rFonts w:eastAsia="Times New Roman" w:asciiTheme="majorBidi" w:hAnsiTheme="majorBidi" w:cstheme="majorBidi"/>
          <w:sz w:val="24"/>
          <w:szCs w:val="24"/>
        </w:rPr>
        <w:t>Ethical standards were adhered to protect the confidentiality and anonymity of participants. The findings of this study will contribute to the existing body of knowledge on academic integrity and examination malpractices</w:t>
      </w:r>
      <w:r>
        <w:rPr>
          <w:rFonts w:asciiTheme="majorBidi" w:hAnsiTheme="majorBidi" w:cstheme="majorBidi"/>
          <w:sz w:val="24"/>
          <w:szCs w:val="24"/>
        </w:rPr>
        <w:t xml:space="preserve"> </w:t>
      </w:r>
      <w:r>
        <w:rPr>
          <w:rFonts w:eastAsia="Times New Roman" w:asciiTheme="majorBidi" w:hAnsiTheme="majorBidi" w:cstheme="majorBidi"/>
          <w:sz w:val="24"/>
          <w:szCs w:val="24"/>
        </w:rPr>
        <w:t>and unearth what contributes to cheating in examinations in secondary schools in Garissa Township sub-county.</w:t>
      </w:r>
    </w:p>
    <w:p w14:paraId="24C456F1">
      <w:pPr>
        <w:pStyle w:val="2"/>
        <w:spacing w:after="240"/>
        <w:rPr>
          <w:rFonts w:asciiTheme="majorBidi" w:hAnsiTheme="majorBidi"/>
          <w:color w:val="auto"/>
          <w:sz w:val="24"/>
          <w:szCs w:val="24"/>
        </w:rPr>
        <w:sectPr>
          <w:type w:val="continuous"/>
          <w:pgSz w:w="12240" w:h="15840"/>
          <w:pgMar w:top="1440" w:right="1800" w:bottom="1440" w:left="1800" w:header="720" w:footer="720" w:gutter="0"/>
          <w:pgNumType w:fmt="lowerRoman" w:start="1"/>
          <w:cols w:space="720" w:num="1"/>
          <w:docGrid w:linePitch="360" w:charSpace="0"/>
        </w:sectPr>
      </w:pPr>
    </w:p>
    <w:p w14:paraId="1B4812ED">
      <w:pPr>
        <w:pStyle w:val="2"/>
        <w:spacing w:after="240"/>
        <w:jc w:val="center"/>
        <w:rPr>
          <w:rFonts w:asciiTheme="majorBidi" w:hAnsiTheme="majorBidi"/>
          <w:color w:val="auto"/>
          <w:sz w:val="24"/>
          <w:szCs w:val="24"/>
        </w:rPr>
      </w:pPr>
      <w:bookmarkStart w:id="11" w:name="_Toc194822580"/>
      <w:r>
        <w:rPr>
          <w:rFonts w:asciiTheme="majorBidi" w:hAnsiTheme="majorBidi"/>
          <w:color w:val="auto"/>
          <w:sz w:val="24"/>
          <w:szCs w:val="24"/>
        </w:rPr>
        <w:t>CHAPTER ONE</w:t>
      </w:r>
      <w:bookmarkEnd w:id="11"/>
    </w:p>
    <w:p w14:paraId="370ACA7E">
      <w:pPr>
        <w:pStyle w:val="2"/>
        <w:spacing w:after="240"/>
        <w:jc w:val="center"/>
        <w:rPr>
          <w:rFonts w:asciiTheme="majorBidi" w:hAnsiTheme="majorBidi"/>
          <w:color w:val="auto"/>
          <w:sz w:val="24"/>
          <w:szCs w:val="24"/>
        </w:rPr>
      </w:pPr>
      <w:bookmarkStart w:id="12" w:name="_Toc194822581"/>
      <w:r>
        <w:rPr>
          <w:rFonts w:asciiTheme="majorBidi" w:hAnsiTheme="majorBidi"/>
          <w:color w:val="auto"/>
          <w:sz w:val="24"/>
          <w:szCs w:val="24"/>
        </w:rPr>
        <w:t>INTRODUCTION</w:t>
      </w:r>
      <w:bookmarkEnd w:id="12"/>
    </w:p>
    <w:p w14:paraId="340706AF">
      <w:pPr>
        <w:pStyle w:val="2"/>
        <w:numPr>
          <w:ilvl w:val="0"/>
          <w:numId w:val="1"/>
        </w:numPr>
        <w:ind w:hanging="720"/>
        <w:rPr>
          <w:rFonts w:eastAsia="Times New Roman" w:asciiTheme="majorBidi" w:hAnsiTheme="majorBidi"/>
          <w:color w:val="auto"/>
          <w:sz w:val="24"/>
          <w:szCs w:val="24"/>
        </w:rPr>
      </w:pPr>
      <w:bookmarkStart w:id="13" w:name="_Toc194822582"/>
      <w:r>
        <w:rPr>
          <w:rFonts w:eastAsia="Times New Roman" w:asciiTheme="majorBidi" w:hAnsiTheme="majorBidi"/>
          <w:color w:val="auto"/>
          <w:sz w:val="24"/>
          <w:szCs w:val="24"/>
        </w:rPr>
        <w:t>Overview</w:t>
      </w:r>
      <w:bookmarkEnd w:id="13"/>
      <w:r>
        <w:rPr>
          <w:rFonts w:eastAsia="Times New Roman" w:asciiTheme="majorBidi" w:hAnsiTheme="majorBidi"/>
          <w:color w:val="auto"/>
          <w:sz w:val="24"/>
          <w:szCs w:val="24"/>
        </w:rPr>
        <w:t xml:space="preserve"> </w:t>
      </w:r>
    </w:p>
    <w:p w14:paraId="0C984949">
      <w:pPr>
        <w:spacing w:before="100" w:beforeAutospacing="1" w:after="100" w:afterAutospacing="1" w:line="480" w:lineRule="auto"/>
        <w:jc w:val="both"/>
        <w:rPr>
          <w:rFonts w:asciiTheme="majorBidi" w:hAnsiTheme="majorBidi" w:cstheme="majorBidi"/>
          <w:sz w:val="24"/>
          <w:szCs w:val="24"/>
        </w:rPr>
      </w:pPr>
      <w:r>
        <w:rPr>
          <w:rFonts w:asciiTheme="majorBidi" w:hAnsiTheme="majorBidi" w:cstheme="majorBidi"/>
          <w:sz w:val="24"/>
          <w:szCs w:val="24"/>
        </w:rPr>
        <w:t>Examinations are the cornerstone of any education system, playing a critical role in evaluating students' knowledge, skills, and academic progress. Maintaining the integrity of these examinations is paramount to ensure that educational outcomes are both credible and equitable. This research project aims to investigate the factors that influence academic integrity and examination malpractices in secondary schools located within Garissa Township Sub County, Kenya.</w:t>
      </w:r>
    </w:p>
    <w:p w14:paraId="4940239A">
      <w:pPr>
        <w:pStyle w:val="2"/>
        <w:numPr>
          <w:ilvl w:val="0"/>
          <w:numId w:val="1"/>
        </w:numPr>
        <w:ind w:hanging="720"/>
        <w:rPr>
          <w:rFonts w:eastAsia="Times New Roman" w:asciiTheme="majorBidi" w:hAnsiTheme="majorBidi"/>
          <w:color w:val="auto"/>
          <w:sz w:val="24"/>
          <w:szCs w:val="24"/>
        </w:rPr>
      </w:pPr>
      <w:bookmarkStart w:id="14" w:name="_Toc194822583"/>
      <w:r>
        <w:rPr>
          <w:rFonts w:eastAsia="Times New Roman" w:asciiTheme="majorBidi" w:hAnsiTheme="majorBidi"/>
          <w:color w:val="auto"/>
          <w:sz w:val="24"/>
          <w:szCs w:val="24"/>
        </w:rPr>
        <w:t>Background to the Study</w:t>
      </w:r>
      <w:bookmarkEnd w:id="14"/>
    </w:p>
    <w:p w14:paraId="3CA2999F">
      <w:pPr>
        <w:spacing w:before="100" w:beforeAutospacing="1" w:after="100" w:afterAutospacing="1" w:line="480" w:lineRule="auto"/>
        <w:jc w:val="both"/>
        <w:rPr>
          <w:rFonts w:eastAsia="Times New Roman" w:asciiTheme="majorBidi" w:hAnsiTheme="majorBidi" w:cstheme="majorBidi"/>
          <w:sz w:val="24"/>
          <w:szCs w:val="24"/>
        </w:rPr>
      </w:pPr>
      <w:r>
        <w:rPr>
          <w:rFonts w:asciiTheme="majorBidi" w:hAnsiTheme="majorBidi" w:cstheme="majorBidi"/>
          <w:sz w:val="24"/>
          <w:szCs w:val="24"/>
        </w:rPr>
        <w:t>Academic</w:t>
      </w:r>
      <w:r>
        <w:rPr>
          <w:rFonts w:eastAsia="Times New Roman" w:asciiTheme="majorBidi" w:hAnsiTheme="majorBidi" w:cstheme="majorBidi"/>
          <w:sz w:val="24"/>
          <w:szCs w:val="24"/>
        </w:rPr>
        <w:t xml:space="preserve"> integrity refers to the ethical conduct and fairness in the process of administering and evaluating examinations,</w:t>
      </w:r>
      <w:r>
        <w:rPr>
          <w:rFonts w:asciiTheme="majorBidi" w:hAnsiTheme="majorBidi" w:cstheme="majorBidi"/>
          <w:sz w:val="24"/>
          <w:szCs w:val="24"/>
        </w:rPr>
        <w:t xml:space="preserve"> it is a commitment to fundamental moral values such as honesty, trust, fairness, decency, respect and responsibility (Keohane, 1999)</w:t>
      </w:r>
      <w:r>
        <w:rPr>
          <w:rFonts w:eastAsia="Times New Roman" w:asciiTheme="majorBidi" w:hAnsiTheme="majorBidi" w:cstheme="majorBidi"/>
          <w:sz w:val="24"/>
          <w:szCs w:val="24"/>
        </w:rPr>
        <w:t>.</w:t>
      </w:r>
      <w:r>
        <w:rPr>
          <w:rFonts w:asciiTheme="majorBidi" w:hAnsiTheme="majorBidi" w:cstheme="majorBidi"/>
          <w:sz w:val="24"/>
          <w:szCs w:val="24"/>
        </w:rPr>
        <w:t xml:space="preserve"> </w:t>
      </w:r>
      <w:r>
        <w:rPr>
          <w:rFonts w:eastAsia="Times New Roman" w:asciiTheme="majorBidi" w:hAnsiTheme="majorBidi" w:cstheme="majorBidi"/>
          <w:sz w:val="24"/>
          <w:szCs w:val="24"/>
        </w:rPr>
        <w:t>Examination malpractice maybe defined as deliberate wrong doing by the exam takers contrary to the examination rules in which some candidates may get an unfair advantage or disadvantage (Wilayat, 2009). This may allow some students to get good results by any fraudulent means and this may encourage mediocrity since those students who got such results by fraudulent means may be rated equal to those who really struggled and worked hard on their own to excel. Examination malpractice is any form of fraudulent activity by a learner with the mindset of getting better results than their actual level of intelligence and academics performance elaborates Lawal et. al. (2015).</w:t>
      </w:r>
      <w:r>
        <w:rPr>
          <w:rFonts w:asciiTheme="majorBidi" w:hAnsiTheme="majorBidi" w:cstheme="majorBidi"/>
          <w:sz w:val="24"/>
          <w:szCs w:val="24"/>
        </w:rPr>
        <w:t xml:space="preserve"> Academic dishonesty is a prevalent phenomenon, one that has increased in recent years. One of the reasons for this is the rise in online teaching and use of technology, which make such behavior easier (Blau &amp; Eshet-Alkalai, 2017).</w:t>
      </w:r>
      <w:r>
        <w:rPr>
          <w:rFonts w:eastAsia="Times New Roman" w:asciiTheme="majorBidi" w:hAnsiTheme="majorBidi" w:cstheme="majorBidi"/>
          <w:sz w:val="24"/>
          <w:szCs w:val="24"/>
        </w:rPr>
        <w:t xml:space="preserve"> It is essential for ensuring that educational assessments accurately reflect students’ knowledge and skills, thus upholding the credibility and validity of the entire education system. Academic dishonesty is a critical issue that has implications not only for the individual students involved but also for the integrity of the education system as a whole. It poses</w:t>
      </w:r>
      <w:r>
        <w:rPr>
          <w:rFonts w:asciiTheme="majorBidi" w:hAnsiTheme="majorBidi" w:cstheme="majorBidi"/>
          <w:sz w:val="24"/>
          <w:szCs w:val="24"/>
        </w:rPr>
        <w:t xml:space="preserve"> a significant challenge to the integrity of educational systems worldwide. Maintaining academic integrity is a problem that affects all educational institutions, as transgressions of academic ethics frequently result in problems. These transgressions include cases of cheating, plagiarism, credential fraud, and improper behavior in relation to policy changes (Denisova-Schmidt, 2016). </w:t>
      </w:r>
      <w:r>
        <w:rPr>
          <w:rFonts w:eastAsia="Times New Roman" w:asciiTheme="majorBidi" w:hAnsiTheme="majorBidi" w:cstheme="majorBidi"/>
          <w:sz w:val="24"/>
          <w:szCs w:val="24"/>
        </w:rPr>
        <w:t xml:space="preserve">Its prevalence in Africa is a growing concern </w:t>
      </w:r>
      <w:r>
        <w:rPr>
          <w:rFonts w:asciiTheme="majorBidi" w:hAnsiTheme="majorBidi" w:cstheme="majorBidi"/>
          <w:sz w:val="24"/>
          <w:szCs w:val="24"/>
        </w:rPr>
        <w:t xml:space="preserve">that can undermine the credibility and quality of education and </w:t>
      </w:r>
      <w:r>
        <w:rPr>
          <w:rFonts w:eastAsia="Times New Roman" w:asciiTheme="majorBidi" w:hAnsiTheme="majorBidi" w:cstheme="majorBidi"/>
          <w:sz w:val="24"/>
          <w:szCs w:val="24"/>
        </w:rPr>
        <w:t xml:space="preserve">educational institutions </w:t>
      </w:r>
      <w:r>
        <w:rPr>
          <w:rFonts w:asciiTheme="majorBidi" w:hAnsiTheme="majorBidi" w:cstheme="majorBidi"/>
          <w:sz w:val="24"/>
          <w:szCs w:val="24"/>
        </w:rPr>
        <w:t xml:space="preserve">in any region and the </w:t>
      </w:r>
      <w:r>
        <w:rPr>
          <w:rFonts w:eastAsia="Times New Roman" w:asciiTheme="majorBidi" w:hAnsiTheme="majorBidi" w:cstheme="majorBidi"/>
          <w:sz w:val="24"/>
          <w:szCs w:val="24"/>
        </w:rPr>
        <w:t xml:space="preserve">world at large, </w:t>
      </w:r>
      <w:r>
        <w:rPr>
          <w:rFonts w:asciiTheme="majorBidi" w:hAnsiTheme="majorBidi" w:cstheme="majorBidi"/>
          <w:sz w:val="24"/>
          <w:szCs w:val="24"/>
        </w:rPr>
        <w:t>and Kenya is not an exception.</w:t>
      </w:r>
    </w:p>
    <w:p w14:paraId="6A3FF02D">
      <w:pPr>
        <w:spacing w:before="240"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In Kenya, the Kenya National Examination Council (KNEC) was mandated to carry out the national examinations both at the primary school and the secondary school level as explained by (Ingolo, 2009). The council set strict rules to curb the menace of examination malpractice in Kenya that imposed very strict rules and heavy penalties for those who engage in the examination malpractices as described by Kithuka (2004). In recent years, the education system in Kenya has witnessed significant growth and development, yet challenges persist, particularly concerning academic integrity and examination malpractices in secondary schools</w:t>
      </w:r>
      <w:r>
        <w:rPr>
          <w:rFonts w:asciiTheme="majorBidi" w:hAnsiTheme="majorBidi" w:cstheme="majorBidi"/>
          <w:sz w:val="24"/>
          <w:szCs w:val="24"/>
        </w:rPr>
        <w:t xml:space="preserve"> (KICD 2019)</w:t>
      </w:r>
      <w:r>
        <w:rPr>
          <w:rFonts w:eastAsia="Times New Roman" w:asciiTheme="majorBidi" w:hAnsiTheme="majorBidi" w:cstheme="majorBidi"/>
          <w:sz w:val="24"/>
          <w:szCs w:val="24"/>
        </w:rPr>
        <w:t xml:space="preserve">. </w:t>
      </w:r>
    </w:p>
    <w:p w14:paraId="1024A60D">
      <w:pPr>
        <w:spacing w:before="240" w:after="100" w:afterAutospacing="1" w:line="480" w:lineRule="auto"/>
        <w:jc w:val="both"/>
        <w:rPr>
          <w:rFonts w:eastAsia="Times New Roman" w:asciiTheme="majorBidi" w:hAnsiTheme="majorBidi" w:cstheme="majorBidi"/>
          <w:sz w:val="24"/>
          <w:szCs w:val="24"/>
        </w:rPr>
      </w:pPr>
      <w:r>
        <w:rPr>
          <w:rFonts w:asciiTheme="majorBidi" w:hAnsiTheme="majorBidi" w:cstheme="majorBidi"/>
          <w:sz w:val="24"/>
          <w:szCs w:val="24"/>
        </w:rPr>
        <w:t>The report of Parliamentary Departmental Committee (PDC 2023) on examination malpractice exposed many cases of cheating in Kenya Certificate of Secondary Education (KCSE) examinations in a number of counties including Garissa (Education news hub, 2023). The report indicated that Multy-Agency Approach involving the Ministry of Interior and National Administration (MINA), the Directorate of Criminal Investigation (DCI), Communication Authority of Kenya (CAK), Ministry of Education (MoE) and The Kenya National Examination Council (KNEC) in the management of examination was not effective in curbing examination malpractices as intended</w:t>
      </w:r>
      <w:r>
        <w:rPr>
          <w:rStyle w:val="57"/>
          <w:rFonts w:asciiTheme="majorBidi" w:hAnsiTheme="majorBidi" w:cstheme="majorBidi"/>
          <w:sz w:val="24"/>
          <w:szCs w:val="24"/>
        </w:rPr>
        <w:t xml:space="preserve"> (Serfine</w:t>
      </w:r>
      <w:r>
        <w:rPr>
          <w:rStyle w:val="58"/>
          <w:rFonts w:asciiTheme="majorBidi" w:hAnsiTheme="majorBidi" w:cstheme="majorBidi"/>
          <w:sz w:val="24"/>
          <w:szCs w:val="24"/>
        </w:rPr>
        <w:t xml:space="preserve"> 2023)</w:t>
      </w:r>
      <w:r>
        <w:rPr>
          <w:rFonts w:asciiTheme="majorBidi" w:hAnsiTheme="majorBidi" w:cstheme="majorBidi"/>
          <w:sz w:val="24"/>
          <w:szCs w:val="24"/>
        </w:rPr>
        <w:t>.</w:t>
      </w:r>
      <w:r>
        <w:rPr>
          <w:rFonts w:eastAsia="Times New Roman" w:asciiTheme="majorBidi" w:hAnsiTheme="majorBidi" w:cstheme="majorBidi"/>
          <w:sz w:val="24"/>
          <w:szCs w:val="24"/>
        </w:rPr>
        <w:t xml:space="preserve"> </w:t>
      </w:r>
    </w:p>
    <w:p w14:paraId="44EC37F6">
      <w:pPr>
        <w:spacing w:before="240" w:after="100" w:afterAutospacing="1" w:line="480" w:lineRule="auto"/>
        <w:jc w:val="both"/>
        <w:rPr>
          <w:rFonts w:asciiTheme="majorBidi" w:hAnsiTheme="majorBidi" w:cstheme="majorBidi"/>
          <w:color w:val="000000"/>
          <w:sz w:val="24"/>
          <w:szCs w:val="24"/>
        </w:rPr>
      </w:pPr>
      <w:r>
        <w:rPr>
          <w:rFonts w:eastAsia="Times New Roman" w:asciiTheme="majorBidi" w:hAnsiTheme="majorBidi" w:cstheme="majorBidi"/>
          <w:sz w:val="24"/>
          <w:szCs w:val="24"/>
        </w:rPr>
        <w:t>Garissa Township Sub County, located in Kenya, mirrors the broader challenges faced by the nation. The region’s secondary schools are grappling with issues related to examination integrity, including instances of cheating, teacher bias, inadequate supervision, and external pressures (PWPER 2023). These challenges compromise the fairness of examinations and raise questions about the legitimacy of students' achievements.</w:t>
      </w:r>
      <w:r>
        <w:rPr>
          <w:rFonts w:asciiTheme="majorBidi" w:hAnsiTheme="majorBidi" w:cstheme="majorBidi"/>
          <w:sz w:val="24"/>
          <w:szCs w:val="24"/>
        </w:rPr>
        <w:t xml:space="preserve"> In the year 2013 two hundred and nine students got their results cancelled, in 2014 another one hundred and thirty-eight students got their results cancelled and further twenty-nine students got their results cancelled in 2015 (Daro, 2021).</w:t>
      </w:r>
      <w:r>
        <w:rPr>
          <w:rFonts w:asciiTheme="majorBidi" w:hAnsiTheme="majorBidi" w:cstheme="majorBidi"/>
          <w:color w:val="000000"/>
          <w:sz w:val="24"/>
          <w:szCs w:val="24"/>
        </w:rPr>
        <w:t xml:space="preserve"> </w:t>
      </w:r>
    </w:p>
    <w:p w14:paraId="352BB1FB">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Examination malpractice may have several impacts. Makaula (2018) asserts that it is a threat to dependability and legality of education system and in the long run also threatens the sincerity of the examination. On top of causing a significant harm on the intellectual and moral development of the students. Examination malpractice may also damage the authority in charge of conducting the examination (Makaula, 2018). That is why Kenyans have been questioning the Kenya national examination council as to how such examination could be leaked to the candidates. (Phiri &amp; Nakamba ,2015) examination malpractice has been associated with long term consequences on the Kenyan students since it may lead to the breeding of corrupt students who are not properly developed morally and would not have the capacity to criticize those who indulge in such malpractices since they themselves are culprits. Petters and Okon (2014) explains that students who engage in the examination malpractices are very lazy and may not work hard in school and this is attested by the fact that the reading culture has reduced among the students as has been shown by the results in most of the subjects. Hence examination malpractice must be stopped by all means to ensure that the education system produces the right candidates who are responsible enough and are well prepared to take up several responsibilities in the society </w:t>
      </w:r>
      <w:r>
        <w:rPr>
          <w:rFonts w:asciiTheme="majorBidi" w:hAnsiTheme="majorBidi" w:cstheme="majorBidi"/>
          <w:sz w:val="24"/>
          <w:szCs w:val="24"/>
        </w:rPr>
        <w:t>(Daro, 2021).</w:t>
      </w:r>
      <w:r>
        <w:rPr>
          <w:rFonts w:asciiTheme="majorBidi" w:hAnsiTheme="majorBidi" w:cstheme="majorBidi"/>
          <w:color w:val="000000"/>
          <w:sz w:val="24"/>
          <w:szCs w:val="24"/>
        </w:rPr>
        <w:t xml:space="preserve"> </w:t>
      </w:r>
    </w:p>
    <w:p w14:paraId="6857CD50">
      <w:pPr>
        <w:spacing w:line="480" w:lineRule="auto"/>
        <w:jc w:val="both"/>
        <w:rPr>
          <w:rFonts w:asciiTheme="majorBidi" w:hAnsiTheme="majorBidi" w:cstheme="majorBidi"/>
          <w:sz w:val="24"/>
          <w:szCs w:val="24"/>
        </w:rPr>
      </w:pPr>
      <w:r>
        <w:rPr>
          <w:rFonts w:asciiTheme="majorBidi" w:hAnsiTheme="majorBidi" w:cstheme="majorBidi"/>
          <w:sz w:val="24"/>
          <w:szCs w:val="24"/>
        </w:rPr>
        <w:t>For the last few years, KNEC has been doing much to curb cheating in schools in national exams e.g. not allowing anyone in school except principal (center manager) and deputies, ensuring the school gates are wide open between 8 am and 4 pm, severely punishing center managers found in exam irregularity, transferring invigilators and supervisors, having two exams per day to avoid early exam exposure, no extra question papers, among many other measures. They have closed all the loopholes of exam cheating between the container and exam center, but they have done little with what really happens at the exam room. some of the principals are very honest. They prefer honest results. They improve genuinely and drop genuinely while others are not honest.</w:t>
      </w:r>
      <w:r>
        <w:rPr>
          <w:rFonts w:asciiTheme="majorBidi" w:hAnsiTheme="majorBidi" w:cstheme="majorBidi"/>
          <w:color w:val="000000"/>
          <w:sz w:val="24"/>
          <w:szCs w:val="24"/>
        </w:rPr>
        <w:tab/>
      </w:r>
    </w:p>
    <w:p w14:paraId="0B6C5BD2">
      <w:pPr>
        <w:spacing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Examination malpractices became widespread and was reported in almost all the countries around the world. And hence the researcher studied in the context of behavioral variables such as </w:t>
      </w:r>
      <w:r>
        <w:rPr>
          <w:rStyle w:val="19"/>
          <w:rFonts w:asciiTheme="majorBidi" w:hAnsiTheme="majorBidi" w:cstheme="majorBidi"/>
          <w:b w:val="0"/>
          <w:bCs w:val="0"/>
          <w:sz w:val="24"/>
          <w:szCs w:val="24"/>
        </w:rPr>
        <w:t xml:space="preserve">peer pressure, parental involvement, perceived benefit, teachers’ approaches, syllabus coverage and social media. </w:t>
      </w:r>
      <w:r>
        <w:rPr>
          <w:rFonts w:asciiTheme="majorBidi" w:hAnsiTheme="majorBidi" w:cstheme="majorBidi"/>
          <w:color w:val="000000"/>
          <w:sz w:val="24"/>
          <w:szCs w:val="24"/>
        </w:rPr>
        <w:t xml:space="preserve">This research focused on academic integrity and examination malpractices in general in order to allow the researcher to find out how determinants such </w:t>
      </w:r>
      <w:r>
        <w:rPr>
          <w:rStyle w:val="19"/>
          <w:rFonts w:asciiTheme="majorBidi" w:hAnsiTheme="majorBidi" w:cstheme="majorBidi"/>
          <w:b w:val="0"/>
          <w:bCs w:val="0"/>
          <w:sz w:val="24"/>
          <w:szCs w:val="24"/>
        </w:rPr>
        <w:t xml:space="preserve">peer pressure, parental involvement, perceived benefit, teachers approach, syllabus coverage and social media </w:t>
      </w:r>
      <w:r>
        <w:rPr>
          <w:rFonts w:asciiTheme="majorBidi" w:hAnsiTheme="majorBidi" w:cstheme="majorBidi"/>
          <w:color w:val="000000"/>
          <w:sz w:val="24"/>
          <w:szCs w:val="24"/>
        </w:rPr>
        <w:t>influence examination integrity.</w:t>
      </w:r>
    </w:p>
    <w:p w14:paraId="570B2E07">
      <w:pPr>
        <w:spacing w:before="100" w:beforeAutospacing="1"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background of this study was grounded by the need to understand the underlying determinants that contributed to the erosion of academic integrity in secondary schools within Garissa Township Sub County. Several factors, such as socioeconomic disparities, lack of resources, cultural influences, and the pressure to excel or create a complex environment where maintaining academic integrity and examination malpractices becomes challenging. Understanding these contextual factors is essential for developing effective strategies to promote academic integrity and curb examination malpractices in secondary schools within Garissa Township Sub County</w:t>
      </w:r>
      <w:r>
        <w:rPr>
          <w:rFonts w:asciiTheme="majorBidi" w:hAnsiTheme="majorBidi" w:cstheme="majorBidi"/>
          <w:sz w:val="24"/>
          <w:szCs w:val="24"/>
        </w:rPr>
        <w:t xml:space="preserve"> to have fair, transparent, and credible examination.</w:t>
      </w:r>
      <w:r>
        <w:rPr>
          <w:rFonts w:eastAsia="Times New Roman" w:asciiTheme="majorBidi" w:hAnsiTheme="majorBidi" w:cstheme="majorBidi"/>
          <w:sz w:val="24"/>
          <w:szCs w:val="24"/>
        </w:rPr>
        <w:t xml:space="preserve"> By delving into the root causes of the problem, this research aims to contribute valuable insights that can inform policy-making, improve educational practices, and foster a fair and credible examination system for the benefit of students and the community.</w:t>
      </w:r>
    </w:p>
    <w:p w14:paraId="62F198DC">
      <w:pPr>
        <w:pStyle w:val="2"/>
        <w:numPr>
          <w:ilvl w:val="0"/>
          <w:numId w:val="1"/>
        </w:numPr>
        <w:spacing w:line="480" w:lineRule="auto"/>
        <w:ind w:hanging="720"/>
        <w:rPr>
          <w:rFonts w:asciiTheme="majorBidi" w:hAnsiTheme="majorBidi"/>
          <w:color w:val="auto"/>
          <w:sz w:val="24"/>
          <w:szCs w:val="24"/>
        </w:rPr>
      </w:pPr>
      <w:bookmarkStart w:id="15" w:name="_Toc194822584"/>
      <w:r>
        <w:rPr>
          <w:rFonts w:asciiTheme="majorBidi" w:hAnsiTheme="majorBidi"/>
          <w:color w:val="auto"/>
          <w:sz w:val="24"/>
          <w:szCs w:val="24"/>
        </w:rPr>
        <w:t>Statement of the Problem</w:t>
      </w:r>
      <w:bookmarkEnd w:id="15"/>
    </w:p>
    <w:p w14:paraId="6982135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issue of exam malpractices has been a challenge for quite sometimes in Garissa Township Sub-County. The parliamentary departmental committee (2023) report on examination malpractice exposed many cases of cheating in KCSE examinations in a number of counties including Garissa. However, the report did not give detailed information on the causes of examinations malpractices. The integrity of examinations in secondary schools within the Sub County is facing challenges that pose students credibility on pursuing high level courses like medicine and engineering due to false grades.  Addressing these challenges is imperative to ensure a fair, transparent, and credible examination system in secondary schools within Garissa Township Sub County. This study was aimed to explore the determinants contributing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providing insights from Garissa Township sub-county that can inform policies, interventions, and educational practices to safeguard the authenticity of examinations and promote a culture of academic honesty and integrity among students.</w:t>
      </w:r>
    </w:p>
    <w:p w14:paraId="3E2D3EF5">
      <w:pPr>
        <w:pStyle w:val="2"/>
        <w:numPr>
          <w:ilvl w:val="0"/>
          <w:numId w:val="1"/>
        </w:numPr>
        <w:spacing w:line="480" w:lineRule="auto"/>
        <w:ind w:hanging="720"/>
        <w:rPr>
          <w:rFonts w:asciiTheme="majorBidi" w:hAnsiTheme="majorBidi"/>
          <w:color w:val="auto"/>
          <w:sz w:val="24"/>
          <w:szCs w:val="24"/>
        </w:rPr>
      </w:pPr>
      <w:r>
        <w:rPr>
          <w:rFonts w:asciiTheme="majorBidi" w:hAnsiTheme="majorBidi"/>
          <w:color w:val="auto"/>
          <w:sz w:val="24"/>
          <w:szCs w:val="24"/>
        </w:rPr>
        <w:t xml:space="preserve"> </w:t>
      </w:r>
      <w:bookmarkStart w:id="16" w:name="_Toc194822585"/>
      <w:r>
        <w:rPr>
          <w:rFonts w:asciiTheme="majorBidi" w:hAnsiTheme="majorBidi"/>
          <w:color w:val="auto"/>
          <w:sz w:val="24"/>
          <w:szCs w:val="24"/>
        </w:rPr>
        <w:t>Purpose of the Study</w:t>
      </w:r>
      <w:bookmarkEnd w:id="16"/>
    </w:p>
    <w:p w14:paraId="68D51FFB">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purpose of this research was to investigate and analyze the determinants of academic integrity and examination malpractices in secondary schools within Garissa Township Sub County, Kenya. It seeks to provide a holistic understanding of the factors that influence academic integrity and examination malpractices in secondary schools in Garissa Township Sub County. </w:t>
      </w:r>
    </w:p>
    <w:p w14:paraId="5338DE5D">
      <w:pPr>
        <w:pStyle w:val="30"/>
        <w:numPr>
          <w:ilvl w:val="0"/>
          <w:numId w:val="2"/>
        </w:numPr>
        <w:pBdr>
          <w:bottom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Top of Form</w:t>
      </w:r>
    </w:p>
    <w:p w14:paraId="47B76B21">
      <w:pPr>
        <w:pStyle w:val="30"/>
        <w:numPr>
          <w:ilvl w:val="0"/>
          <w:numId w:val="2"/>
        </w:numPr>
        <w:pBdr>
          <w:top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Bottom of Form</w:t>
      </w:r>
    </w:p>
    <w:p w14:paraId="6295A68E">
      <w:pPr>
        <w:pStyle w:val="2"/>
        <w:numPr>
          <w:ilvl w:val="0"/>
          <w:numId w:val="1"/>
        </w:numPr>
        <w:spacing w:line="480" w:lineRule="auto"/>
        <w:ind w:hanging="720"/>
        <w:rPr>
          <w:rFonts w:asciiTheme="majorBidi" w:hAnsiTheme="majorBidi"/>
          <w:color w:val="auto"/>
          <w:sz w:val="24"/>
          <w:szCs w:val="24"/>
        </w:rPr>
      </w:pPr>
      <w:bookmarkStart w:id="17" w:name="_Toc194822586"/>
      <w:r>
        <w:rPr>
          <w:rFonts w:asciiTheme="majorBidi" w:hAnsiTheme="majorBidi"/>
          <w:color w:val="auto"/>
          <w:sz w:val="24"/>
          <w:szCs w:val="24"/>
        </w:rPr>
        <w:t>Objectives of the Study</w:t>
      </w:r>
      <w:bookmarkEnd w:id="17"/>
    </w:p>
    <w:p w14:paraId="22238010">
      <w:pPr>
        <w:spacing w:after="0" w:line="480" w:lineRule="auto"/>
        <w:jc w:val="both"/>
        <w:rPr>
          <w:rFonts w:asciiTheme="majorBidi" w:hAnsiTheme="majorBidi" w:cstheme="majorBidi"/>
          <w:sz w:val="24"/>
          <w:szCs w:val="24"/>
        </w:rPr>
      </w:pPr>
      <w:r>
        <w:rPr>
          <w:rFonts w:asciiTheme="majorBidi" w:hAnsiTheme="majorBidi" w:cstheme="majorBidi"/>
          <w:sz w:val="24"/>
          <w:szCs w:val="24"/>
        </w:rPr>
        <w:t>The objectives of this thesis were as follows:</w:t>
      </w:r>
    </w:p>
    <w:p w14:paraId="46F49D8F">
      <w:pPr>
        <w:pStyle w:val="17"/>
        <w:numPr>
          <w:ilvl w:val="0"/>
          <w:numId w:val="3"/>
        </w:numPr>
        <w:spacing w:before="0" w:beforeAutospacing="0" w:line="480" w:lineRule="auto"/>
        <w:jc w:val="both"/>
        <w:rPr>
          <w:rFonts w:asciiTheme="majorBidi" w:hAnsiTheme="majorBidi" w:cstheme="majorBidi"/>
        </w:rPr>
      </w:pPr>
      <w:r>
        <w:rPr>
          <w:rFonts w:asciiTheme="majorBidi" w:hAnsiTheme="majorBidi" w:cstheme="majorBidi"/>
        </w:rPr>
        <w:t>To establish relationship between peer pressure and academic integrity and examination malpractices in secondary schools in Garissa Township Sub County</w:t>
      </w:r>
    </w:p>
    <w:p w14:paraId="314D562F">
      <w:pPr>
        <w:pStyle w:val="17"/>
        <w:numPr>
          <w:ilvl w:val="0"/>
          <w:numId w:val="3"/>
        </w:numPr>
        <w:spacing w:line="480" w:lineRule="auto"/>
        <w:jc w:val="both"/>
        <w:rPr>
          <w:rFonts w:asciiTheme="majorBidi" w:hAnsiTheme="majorBidi" w:cstheme="majorBidi"/>
        </w:rPr>
      </w:pPr>
      <w:r>
        <w:rPr>
          <w:rFonts w:asciiTheme="majorBidi" w:hAnsiTheme="majorBidi" w:cstheme="majorBidi"/>
        </w:rPr>
        <w:t xml:space="preserve">To assess relationship between parents’ involvement and academic integrity and examination malpractices in secondary schools in Garissa Township Sub County </w:t>
      </w:r>
    </w:p>
    <w:p w14:paraId="7EF01DBD">
      <w:pPr>
        <w:pStyle w:val="17"/>
        <w:numPr>
          <w:ilvl w:val="0"/>
          <w:numId w:val="3"/>
        </w:numPr>
        <w:spacing w:line="480" w:lineRule="auto"/>
        <w:jc w:val="both"/>
        <w:rPr>
          <w:rFonts w:asciiTheme="majorBidi" w:hAnsiTheme="majorBidi" w:cstheme="majorBidi"/>
        </w:rPr>
      </w:pPr>
      <w:r>
        <w:rPr>
          <w:rFonts w:asciiTheme="majorBidi" w:hAnsiTheme="majorBidi" w:cstheme="majorBidi"/>
        </w:rPr>
        <w:t>To examine how perceived benefits of cheating correlates to academic integrity and examination malpractices in secondary schools in Garissa Township Sub County</w:t>
      </w:r>
    </w:p>
    <w:p w14:paraId="5CB1E59A">
      <w:pPr>
        <w:pStyle w:val="17"/>
        <w:numPr>
          <w:ilvl w:val="0"/>
          <w:numId w:val="3"/>
        </w:numPr>
        <w:spacing w:line="480" w:lineRule="auto"/>
        <w:jc w:val="both"/>
        <w:rPr>
          <w:rFonts w:asciiTheme="majorBidi" w:hAnsiTheme="majorBidi" w:cstheme="majorBidi"/>
        </w:rPr>
      </w:pPr>
      <w:r>
        <w:rPr>
          <w:rFonts w:asciiTheme="majorBidi" w:hAnsiTheme="majorBidi" w:cstheme="majorBidi"/>
        </w:rPr>
        <w:t xml:space="preserve">To assess teaching approaches that contributes to academic integrity and examination malpractices in secondary schools in Garissa Township Sub County </w:t>
      </w:r>
    </w:p>
    <w:p w14:paraId="2FC22E39">
      <w:pPr>
        <w:pStyle w:val="17"/>
        <w:numPr>
          <w:ilvl w:val="0"/>
          <w:numId w:val="3"/>
        </w:numPr>
        <w:spacing w:line="480" w:lineRule="auto"/>
        <w:jc w:val="both"/>
        <w:rPr>
          <w:rFonts w:asciiTheme="majorBidi" w:hAnsiTheme="majorBidi" w:cstheme="majorBidi"/>
        </w:rPr>
      </w:pPr>
      <w:r>
        <w:rPr>
          <w:rFonts w:asciiTheme="majorBidi" w:hAnsiTheme="majorBidi" w:cstheme="majorBidi"/>
        </w:rPr>
        <w:t>To determine how syllabus coverage relates to academic integrity and examination malpractices in secondary schools in Garissa Township Sub County</w:t>
      </w:r>
    </w:p>
    <w:p w14:paraId="4773FC0D">
      <w:pPr>
        <w:pStyle w:val="17"/>
        <w:numPr>
          <w:ilvl w:val="0"/>
          <w:numId w:val="3"/>
        </w:numPr>
        <w:spacing w:line="480" w:lineRule="auto"/>
        <w:jc w:val="both"/>
        <w:rPr>
          <w:rFonts w:asciiTheme="majorBidi" w:hAnsiTheme="majorBidi" w:cstheme="majorBidi"/>
        </w:rPr>
      </w:pPr>
      <w:r>
        <w:rPr>
          <w:rFonts w:asciiTheme="majorBidi" w:hAnsiTheme="majorBidi" w:cstheme="majorBidi"/>
        </w:rPr>
        <w:t>To establish relationship between social media and academic integrity and examination malpractices in secondary</w:t>
      </w:r>
      <w:r>
        <w:rPr>
          <w:rFonts w:asciiTheme="majorBidi" w:hAnsiTheme="majorBidi" w:cstheme="majorBidi"/>
          <w:b/>
          <w:bCs/>
        </w:rPr>
        <w:t xml:space="preserve"> </w:t>
      </w:r>
      <w:r>
        <w:rPr>
          <w:rFonts w:asciiTheme="majorBidi" w:hAnsiTheme="majorBidi" w:cstheme="majorBidi"/>
        </w:rPr>
        <w:t>schools in Garissa Township Sub County</w:t>
      </w:r>
      <w:r>
        <w:rPr>
          <w:rFonts w:asciiTheme="majorBidi" w:hAnsiTheme="majorBidi" w:cstheme="majorBidi"/>
          <w:b/>
          <w:bCs/>
        </w:rPr>
        <w:t xml:space="preserve"> </w:t>
      </w:r>
    </w:p>
    <w:p w14:paraId="4799532B">
      <w:pPr>
        <w:pStyle w:val="2"/>
        <w:numPr>
          <w:ilvl w:val="0"/>
          <w:numId w:val="1"/>
        </w:numPr>
        <w:spacing w:before="0" w:line="480" w:lineRule="auto"/>
        <w:ind w:hanging="720"/>
        <w:rPr>
          <w:rFonts w:asciiTheme="majorBidi" w:hAnsiTheme="majorBidi"/>
          <w:color w:val="auto"/>
          <w:sz w:val="24"/>
          <w:szCs w:val="24"/>
        </w:rPr>
      </w:pPr>
      <w:bookmarkStart w:id="18" w:name="_Toc194822587"/>
      <w:r>
        <w:rPr>
          <w:rFonts w:asciiTheme="majorBidi" w:hAnsiTheme="majorBidi"/>
          <w:color w:val="auto"/>
          <w:sz w:val="24"/>
          <w:szCs w:val="24"/>
        </w:rPr>
        <w:t>Research Questions</w:t>
      </w:r>
      <w:bookmarkEnd w:id="18"/>
    </w:p>
    <w:p w14:paraId="6018674B">
      <w:pPr>
        <w:pStyle w:val="17"/>
        <w:spacing w:before="0" w:beforeAutospacing="0" w:after="240" w:afterAutospacing="0" w:line="480" w:lineRule="auto"/>
        <w:ind w:left="360" w:hanging="90"/>
        <w:jc w:val="both"/>
        <w:rPr>
          <w:rFonts w:asciiTheme="majorBidi" w:hAnsiTheme="majorBidi" w:cstheme="majorBidi"/>
        </w:rPr>
      </w:pPr>
      <w:r>
        <w:rPr>
          <w:rFonts w:asciiTheme="majorBidi" w:hAnsiTheme="majorBidi" w:cstheme="majorBidi"/>
        </w:rPr>
        <w:t>The researcher was endeavored to answer the following research questions:</w:t>
      </w:r>
    </w:p>
    <w:p w14:paraId="233F9DD0">
      <w:pPr>
        <w:pStyle w:val="17"/>
        <w:numPr>
          <w:ilvl w:val="0"/>
          <w:numId w:val="4"/>
        </w:numPr>
        <w:spacing w:before="0" w:beforeAutospacing="0" w:line="480" w:lineRule="auto"/>
        <w:jc w:val="both"/>
        <w:rPr>
          <w:rFonts w:asciiTheme="majorBidi" w:hAnsiTheme="majorBidi" w:cstheme="majorBidi"/>
        </w:rPr>
      </w:pPr>
      <w:r>
        <w:rPr>
          <w:rFonts w:asciiTheme="majorBidi" w:hAnsiTheme="majorBidi" w:cstheme="majorBidi"/>
        </w:rPr>
        <w:t>What is the relationship between peer pressure and academic integrity and examination malpractices in secondary schools in Garissa Township Sub County?</w:t>
      </w:r>
    </w:p>
    <w:p w14:paraId="5A95E7D0">
      <w:pPr>
        <w:pStyle w:val="17"/>
        <w:numPr>
          <w:ilvl w:val="0"/>
          <w:numId w:val="4"/>
        </w:numPr>
        <w:spacing w:line="480" w:lineRule="auto"/>
        <w:jc w:val="both"/>
        <w:rPr>
          <w:rFonts w:asciiTheme="majorBidi" w:hAnsiTheme="majorBidi" w:cstheme="majorBidi"/>
        </w:rPr>
      </w:pPr>
      <w:r>
        <w:rPr>
          <w:rFonts w:asciiTheme="majorBidi" w:hAnsiTheme="majorBidi" w:cstheme="majorBidi"/>
        </w:rPr>
        <w:t xml:space="preserve">What is the relationship between parents’ involvement and academic integrity and examination malpractices in secondary schools in Garissa Township Sub County? </w:t>
      </w:r>
    </w:p>
    <w:p w14:paraId="43EAF9B1">
      <w:pPr>
        <w:pStyle w:val="17"/>
        <w:numPr>
          <w:ilvl w:val="0"/>
          <w:numId w:val="4"/>
        </w:numPr>
        <w:spacing w:line="480" w:lineRule="auto"/>
        <w:jc w:val="both"/>
        <w:rPr>
          <w:rFonts w:asciiTheme="majorBidi" w:hAnsiTheme="majorBidi" w:cstheme="majorBidi"/>
        </w:rPr>
      </w:pPr>
      <w:r>
        <w:rPr>
          <w:rFonts w:asciiTheme="majorBidi" w:hAnsiTheme="majorBidi" w:cstheme="majorBidi"/>
        </w:rPr>
        <w:t>How do perceived benefits correlates to academic integrity and examination malpractices in secondary schools in Garissa Township Sub County?</w:t>
      </w:r>
    </w:p>
    <w:p w14:paraId="2879E10E">
      <w:pPr>
        <w:pStyle w:val="17"/>
        <w:numPr>
          <w:ilvl w:val="0"/>
          <w:numId w:val="4"/>
        </w:numPr>
        <w:spacing w:line="480" w:lineRule="auto"/>
        <w:jc w:val="both"/>
        <w:rPr>
          <w:rFonts w:asciiTheme="majorBidi" w:hAnsiTheme="majorBidi" w:cstheme="majorBidi"/>
        </w:rPr>
      </w:pPr>
      <w:r>
        <w:rPr>
          <w:rFonts w:asciiTheme="majorBidi" w:hAnsiTheme="majorBidi" w:cstheme="majorBidi"/>
        </w:rPr>
        <w:t>What are teaching approaches that contribute to academic integrity and examination malpractices in secondary schools in Garissa Township Sub County?</w:t>
      </w:r>
    </w:p>
    <w:p w14:paraId="66BBA32F">
      <w:pPr>
        <w:pStyle w:val="17"/>
        <w:numPr>
          <w:ilvl w:val="0"/>
          <w:numId w:val="4"/>
        </w:numPr>
        <w:spacing w:line="480" w:lineRule="auto"/>
        <w:jc w:val="both"/>
        <w:rPr>
          <w:rFonts w:asciiTheme="majorBidi" w:hAnsiTheme="majorBidi" w:cstheme="majorBidi"/>
        </w:rPr>
      </w:pPr>
      <w:r>
        <w:rPr>
          <w:rFonts w:asciiTheme="majorBidi" w:hAnsiTheme="majorBidi" w:cstheme="majorBidi"/>
        </w:rPr>
        <w:t>How does syllabus coverage relates to academic integrity and examination malpractices in secondary schools in Garissa Township Sub County?</w:t>
      </w:r>
    </w:p>
    <w:p w14:paraId="47703EC1">
      <w:pPr>
        <w:pStyle w:val="17"/>
        <w:numPr>
          <w:ilvl w:val="0"/>
          <w:numId w:val="4"/>
        </w:numPr>
        <w:spacing w:line="480" w:lineRule="auto"/>
        <w:jc w:val="both"/>
        <w:rPr>
          <w:rFonts w:asciiTheme="majorBidi" w:hAnsiTheme="majorBidi" w:cstheme="majorBidi"/>
        </w:rPr>
      </w:pPr>
      <w:r>
        <w:rPr>
          <w:rFonts w:asciiTheme="majorBidi" w:hAnsiTheme="majorBidi" w:cstheme="majorBidi"/>
        </w:rPr>
        <w:t>What is the relationship between social media and academic integrity and examination malpractices in secondary</w:t>
      </w:r>
      <w:r>
        <w:rPr>
          <w:rFonts w:asciiTheme="majorBidi" w:hAnsiTheme="majorBidi" w:cstheme="majorBidi"/>
          <w:b/>
          <w:bCs/>
        </w:rPr>
        <w:t xml:space="preserve"> </w:t>
      </w:r>
      <w:r>
        <w:rPr>
          <w:rFonts w:asciiTheme="majorBidi" w:hAnsiTheme="majorBidi" w:cstheme="majorBidi"/>
        </w:rPr>
        <w:t>schools in Garissa Township Sub County?</w:t>
      </w:r>
    </w:p>
    <w:p w14:paraId="3824558B">
      <w:pPr>
        <w:pStyle w:val="2"/>
        <w:numPr>
          <w:ilvl w:val="0"/>
          <w:numId w:val="1"/>
        </w:numPr>
        <w:spacing w:line="480" w:lineRule="auto"/>
        <w:ind w:hanging="720"/>
        <w:rPr>
          <w:rFonts w:asciiTheme="majorBidi" w:hAnsiTheme="majorBidi"/>
          <w:color w:val="auto"/>
          <w:sz w:val="24"/>
          <w:szCs w:val="24"/>
        </w:rPr>
      </w:pPr>
      <w:bookmarkStart w:id="19" w:name="_Toc194822588"/>
      <w:r>
        <w:rPr>
          <w:rFonts w:asciiTheme="majorBidi" w:hAnsiTheme="majorBidi"/>
          <w:color w:val="auto"/>
          <w:sz w:val="24"/>
          <w:szCs w:val="24"/>
        </w:rPr>
        <w:t>Research Hypothesis</w:t>
      </w:r>
      <w:bookmarkEnd w:id="19"/>
    </w:p>
    <w:p w14:paraId="64F290C2">
      <w:pPr>
        <w:spacing w:after="0" w:line="480" w:lineRule="auto"/>
        <w:jc w:val="both"/>
        <w:rPr>
          <w:rFonts w:asciiTheme="majorBidi" w:hAnsiTheme="majorBidi" w:cstheme="majorBidi"/>
          <w:sz w:val="24"/>
          <w:szCs w:val="24"/>
        </w:rPr>
      </w:pPr>
      <w:r>
        <w:rPr>
          <w:rFonts w:asciiTheme="majorBidi" w:hAnsiTheme="majorBidi" w:cstheme="majorBidi"/>
          <w:sz w:val="24"/>
          <w:szCs w:val="24"/>
        </w:rPr>
        <w:t>The research was premised on the following null hypotheses:</w:t>
      </w:r>
    </w:p>
    <w:p w14:paraId="48A84575">
      <w:pPr>
        <w:spacing w:after="0" w:line="480" w:lineRule="auto"/>
        <w:jc w:val="both"/>
        <w:rPr>
          <w:rFonts w:asciiTheme="majorBidi" w:hAnsiTheme="majorBidi" w:cstheme="majorBidi"/>
          <w:sz w:val="24"/>
          <w:szCs w:val="24"/>
        </w:rPr>
      </w:pPr>
      <w:r>
        <w:rPr>
          <w:rFonts w:asciiTheme="majorBidi" w:hAnsiTheme="majorBidi" w:cstheme="majorBidi"/>
          <w:sz w:val="24"/>
          <w:szCs w:val="24"/>
        </w:rPr>
        <w:t>H</w:t>
      </w:r>
      <w:r>
        <w:rPr>
          <w:rFonts w:asciiTheme="majorBidi" w:hAnsiTheme="majorBidi" w:cstheme="majorBidi"/>
          <w:sz w:val="24"/>
          <w:szCs w:val="24"/>
          <w:vertAlign w:val="subscript"/>
        </w:rPr>
        <w:t>01</w:t>
      </w:r>
      <w:r>
        <w:rPr>
          <w:rFonts w:asciiTheme="majorBidi" w:hAnsiTheme="majorBidi" w:cstheme="majorBidi"/>
          <w:sz w:val="24"/>
          <w:szCs w:val="24"/>
        </w:rPr>
        <w:t>: There is no significant relationship between peer pressure and academic integrity and examination malpractices in secondary schools in Garissa Township Sub County.</w:t>
      </w:r>
    </w:p>
    <w:p w14:paraId="7A7D7151">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02</w:t>
      </w:r>
      <w:r>
        <w:rPr>
          <w:rFonts w:asciiTheme="majorBidi" w:hAnsiTheme="majorBidi" w:cstheme="majorBidi"/>
        </w:rPr>
        <w:t xml:space="preserve">: There is no significant relationship between parents’ involvement and academic integrity and examination malpractices in secondary schools in Garissa Township Sub County </w:t>
      </w:r>
    </w:p>
    <w:p w14:paraId="39712C22">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03</w:t>
      </w:r>
      <w:r>
        <w:rPr>
          <w:rFonts w:asciiTheme="majorBidi" w:hAnsiTheme="majorBidi" w:cstheme="majorBidi"/>
        </w:rPr>
        <w:t>: There is no significant relationship between perceived benefits and academic integrity and examination malpractices in secondary schools in Garissa Township Sub County.</w:t>
      </w:r>
    </w:p>
    <w:p w14:paraId="45B6E9FF">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04</w:t>
      </w:r>
      <w:r>
        <w:rPr>
          <w:rFonts w:asciiTheme="majorBidi" w:hAnsiTheme="majorBidi" w:cstheme="majorBidi"/>
        </w:rPr>
        <w:t xml:space="preserve">: </w:t>
      </w:r>
      <w:bookmarkStart w:id="20" w:name="_Hlk194611536"/>
      <w:r>
        <w:rPr>
          <w:rFonts w:asciiTheme="majorBidi" w:hAnsiTheme="majorBidi" w:cstheme="majorBidi"/>
        </w:rPr>
        <w:t>There is no significant relationship between teaching approaches and academic integrity and examination malpractices in secondary schools in Garissa Township Sub County.</w:t>
      </w:r>
    </w:p>
    <w:bookmarkEnd w:id="20"/>
    <w:p w14:paraId="153BA6B8">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05</w:t>
      </w:r>
      <w:r>
        <w:rPr>
          <w:rFonts w:asciiTheme="majorBidi" w:hAnsiTheme="majorBidi" w:cstheme="majorBidi"/>
        </w:rPr>
        <w:t>: There is no significant relationship between syllabus coverage and academic integrity and examination malpractices in secondary schools in Garissa Township Sub County.</w:t>
      </w:r>
    </w:p>
    <w:p w14:paraId="2C779479">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06</w:t>
      </w:r>
      <w:r>
        <w:rPr>
          <w:rFonts w:asciiTheme="majorBidi" w:hAnsiTheme="majorBidi" w:cstheme="majorBidi"/>
        </w:rPr>
        <w:t xml:space="preserve">: There is no significant relationship between social media and academic integrity and examination malpractices in secondary schools in Garissa Township Sub County </w:t>
      </w:r>
    </w:p>
    <w:p w14:paraId="02879F35">
      <w:pPr>
        <w:pStyle w:val="2"/>
        <w:numPr>
          <w:ilvl w:val="0"/>
          <w:numId w:val="1"/>
        </w:numPr>
        <w:spacing w:line="480" w:lineRule="auto"/>
        <w:ind w:hanging="720"/>
        <w:rPr>
          <w:rFonts w:asciiTheme="majorBidi" w:hAnsiTheme="majorBidi"/>
          <w:color w:val="auto"/>
          <w:sz w:val="24"/>
          <w:szCs w:val="24"/>
        </w:rPr>
      </w:pPr>
      <w:bookmarkStart w:id="21" w:name="_Toc194822589"/>
      <w:r>
        <w:rPr>
          <w:rFonts w:asciiTheme="majorBidi" w:hAnsiTheme="majorBidi"/>
          <w:color w:val="auto"/>
          <w:sz w:val="24"/>
          <w:szCs w:val="24"/>
        </w:rPr>
        <w:t>Significance of the Study</w:t>
      </w:r>
      <w:bookmarkEnd w:id="21"/>
    </w:p>
    <w:p w14:paraId="62CAC035">
      <w:pPr>
        <w:spacing w:line="480" w:lineRule="auto"/>
        <w:jc w:val="both"/>
        <w:rPr>
          <w:rFonts w:asciiTheme="majorBidi" w:hAnsiTheme="majorBidi" w:cstheme="majorBidi"/>
          <w:sz w:val="24"/>
          <w:szCs w:val="24"/>
        </w:rPr>
      </w:pPr>
      <w:r>
        <w:rPr>
          <w:rFonts w:asciiTheme="majorBidi" w:hAnsiTheme="majorBidi" w:cstheme="majorBidi"/>
          <w:sz w:val="24"/>
          <w:szCs w:val="24"/>
        </w:rPr>
        <w:t>The research on the Determinants of Academic Integrity and Examination Malpractices in Secondary Schools in Garissa Township Sub- County, Kenya, holds significant importance due to its potential impact on various stakeholders, the education system, and the broader community. The study's significance lies in its potential to address critical issues and bring about positive changes. The significance of this study extends beyond the immediate context of Garissa Township Sub County. It has the potential to positively impact the educational system, students, and the community by fostering a culture of academic integrity and ensuring a fair and credible examination process. By achieving this, the study had intended to contribute to the development of effective strategies, interventions and policies that will safeguard the authenticity of examinations and ensure a just and equitable evaluation process for students in the region.</w:t>
      </w:r>
    </w:p>
    <w:p w14:paraId="3E91D19C">
      <w:pPr>
        <w:pStyle w:val="2"/>
        <w:numPr>
          <w:ilvl w:val="0"/>
          <w:numId w:val="1"/>
        </w:numPr>
        <w:ind w:hanging="720"/>
        <w:jc w:val="both"/>
        <w:rPr>
          <w:rFonts w:eastAsia="Times New Roman" w:asciiTheme="majorBidi" w:hAnsiTheme="majorBidi"/>
          <w:color w:val="auto"/>
          <w:sz w:val="24"/>
          <w:szCs w:val="24"/>
        </w:rPr>
      </w:pPr>
      <w:bookmarkStart w:id="22" w:name="_Toc194822590"/>
      <w:r>
        <w:rPr>
          <w:rFonts w:asciiTheme="majorBidi" w:hAnsiTheme="majorBidi"/>
          <w:color w:val="auto"/>
          <w:sz w:val="24"/>
          <w:szCs w:val="24"/>
        </w:rPr>
        <w:t>Theoretical Framework</w:t>
      </w:r>
      <w:bookmarkEnd w:id="22"/>
    </w:p>
    <w:p w14:paraId="7B232961">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research on the Determinants of Academic Integrity and Examination Malpractices in Secondary Schools in Garissa Township Sub- County, Kenya, was informed by several theoretical perspectives that provided a foundation for understanding and analyzing the complex factors influencing examination integrity. This study had drawn upon the following three theoretical frameworks:</w:t>
      </w:r>
    </w:p>
    <w:p w14:paraId="43A9CC59">
      <w:pPr>
        <w:pStyle w:val="30"/>
        <w:numPr>
          <w:ilvl w:val="0"/>
          <w:numId w:val="5"/>
        </w:numPr>
        <w:spacing w:line="480" w:lineRule="auto"/>
        <w:ind w:left="284" w:hanging="284"/>
        <w:jc w:val="both"/>
        <w:rPr>
          <w:rFonts w:asciiTheme="majorBidi" w:hAnsiTheme="majorBidi" w:cstheme="majorBidi"/>
          <w:b/>
          <w:bCs/>
          <w:color w:val="000000"/>
          <w:sz w:val="24"/>
          <w:szCs w:val="24"/>
        </w:rPr>
      </w:pPr>
      <w:r>
        <w:rPr>
          <w:rFonts w:eastAsia="Times New Roman" w:asciiTheme="majorBidi" w:hAnsiTheme="majorBidi" w:cstheme="majorBidi"/>
          <w:sz w:val="24"/>
          <w:szCs w:val="24"/>
        </w:rPr>
        <w:t>Social Learning Theory: Social learning theory, as proposed by Albert Bandura (1977),</w:t>
      </w:r>
      <w:r>
        <w:rPr>
          <w:rStyle w:val="54"/>
          <w:rFonts w:asciiTheme="majorBidi" w:hAnsiTheme="majorBidi" w:cstheme="majorBidi"/>
          <w:sz w:val="24"/>
          <w:szCs w:val="24"/>
        </w:rPr>
        <w:t xml:space="preserve"> states that humans learn socially not just intellectually, it </w:t>
      </w:r>
      <w:r>
        <w:rPr>
          <w:rFonts w:asciiTheme="majorBidi" w:hAnsiTheme="majorBidi" w:cstheme="majorBidi"/>
          <w:sz w:val="24"/>
          <w:szCs w:val="24"/>
        </w:rPr>
        <w:t>emphasizes the importance of observing, modeling, and imitating the behaviors, attitudes, and emotional reactions of others,</w:t>
      </w:r>
      <w:r>
        <w:rPr>
          <w:rFonts w:eastAsia="Times New Roman" w:asciiTheme="majorBidi" w:hAnsiTheme="majorBidi" w:cstheme="majorBidi"/>
          <w:sz w:val="24"/>
          <w:szCs w:val="24"/>
        </w:rPr>
        <w:t xml:space="preserve"> the role of social interactions and observational learning in shaping behavior. Individuals learn from observing the behaviors and attitudes of others in their social environment. In the context of academic integrity and examination malpractices, this theory suggests that students may engage in unethical practices if they observe peers or role models doing the same. It emphasizes the importance of peer influence, teacher modeling, and community behavior in understanding determinants of academic integrity and examination malpractices.</w:t>
      </w:r>
      <w:r>
        <w:rPr>
          <w:rFonts w:asciiTheme="majorBidi" w:hAnsiTheme="majorBidi" w:cstheme="majorBidi"/>
          <w:b/>
          <w:bCs/>
          <w:color w:val="000000"/>
          <w:sz w:val="24"/>
          <w:szCs w:val="24"/>
        </w:rPr>
        <w:t xml:space="preserve"> </w:t>
      </w:r>
    </w:p>
    <w:p w14:paraId="7B4FCDD3">
      <w:pPr>
        <w:pStyle w:val="30"/>
        <w:numPr>
          <w:ilvl w:val="0"/>
          <w:numId w:val="5"/>
        </w:numPr>
        <w:spacing w:line="480" w:lineRule="auto"/>
        <w:ind w:left="284" w:hanging="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Social Norms Theory: Social norms theory by Perkins and Berkowitz (1986). Social norms theory is an intervention strategy, aims at understanding the environment and interpersonal influences in order to change social behavior which is a more effective approach than when we focus on an individual (Lamorte, 2016). It is a theoretical framework whose primary focus is peer influence and the role it plays in individual decision-making pertaining behaviors. This theory emphasizes the importance of normative dimension of education in producing responsible citizens in the society. The main assumptions of the theory are anchored on perceptions that are developed during every day social interaction and activities in a social organization set up. </w:t>
      </w:r>
    </w:p>
    <w:p w14:paraId="198073C5">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According to Perkins (2003) peer influences are affected more by perceived norms rather than the actual norms. According to the theory, our perceptions of what others accept and expect of us are more often inaccurate and misleading. The theory thus assumes that our behavior, whether positive or negative is influenced by misperceptions of how our peers think and act. </w:t>
      </w:r>
    </w:p>
    <w:p w14:paraId="45A9294A">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This theory is very relevant to this study as it informed the researcher on development of societal norms. This theory reveals that the gap between the perceived and actual norms, which is known as misperception, provides the foundation of social norms approach (Lamorte, 2016). Teachers interested in reforming the behavior of the learners should therefore focus on correcting the misperceptions of the perceived norms in order to decrease unconformity to societal norms and increase conformity to societal norms as a strategy of promoting inculcation of societal norms (Kirugua 2019). This could be through interventions such as campaigns and a series of talks aimed at creating awareness in learners on importance of cultivating desirable social behaviors. </w:t>
      </w:r>
    </w:p>
    <w:p w14:paraId="34B63391">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According to Hahn-Smith and Springer (2005) correcting the misperceptions strengthens an individual’s feelings and desire to resist negative behavior. According to Perkins and Craig (2006) social norms approach predicts that an intervention aimed at correcting inflated perceptions by exposing actual norms will greatly benefit society as well as individuals as it pulls people to manifest what is desirable in the society. Social norms theory however has opponents who argue that the underlying assumptions of the theory are false and cannot be relied upon. They also argue that there are cases of failed social norms campaigns which make the reliability of the theory to be questionable. </w:t>
      </w:r>
    </w:p>
    <w:p w14:paraId="31C75F0B">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Social norms theory fits in the current study as it informs the researcher that the perceptions that learners have on what is expected of them can be improved which would consequently improve societal norms among learners (Kirugua 2019). This theory is also relevant to the current study because it shows that peers can enhance societal norms on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color w:val="000000"/>
          <w:sz w:val="24"/>
          <w:szCs w:val="24"/>
        </w:rPr>
        <w:t xml:space="preserve">among themselves if the perception, they have about others can be improved. </w:t>
      </w:r>
    </w:p>
    <w:p w14:paraId="6E8B8C57">
      <w:pPr>
        <w:pStyle w:val="30"/>
        <w:numPr>
          <w:ilvl w:val="0"/>
          <w:numId w:val="5"/>
        </w:numPr>
        <w:spacing w:line="480" w:lineRule="auto"/>
        <w:ind w:left="284" w:hanging="284"/>
        <w:jc w:val="both"/>
        <w:rPr>
          <w:rFonts w:asciiTheme="majorBidi" w:hAnsiTheme="majorBidi" w:cstheme="majorBidi"/>
          <w:b/>
          <w:bCs/>
          <w:color w:val="000000"/>
          <w:sz w:val="24"/>
          <w:szCs w:val="24"/>
        </w:rPr>
      </w:pPr>
      <w:r>
        <w:rPr>
          <w:rFonts w:eastAsia="Times New Roman" w:asciiTheme="majorBidi" w:hAnsiTheme="majorBidi" w:cstheme="majorBidi"/>
          <w:sz w:val="24"/>
          <w:szCs w:val="24"/>
        </w:rPr>
        <w:t xml:space="preserve">Cultural Capital Theory: Cultural capital theory, developed by Pierre Bourdieu (1977), emphasizes the impact of cultural norms, values, and resources on educational outcomes. It explores how students from different social backgrounds may have varying access to cultural and educational resources. This theory is relevant for understanding the influence of socioeconomic disparities on examination integrity. </w:t>
      </w:r>
      <w:r>
        <w:rPr>
          <w:rFonts w:asciiTheme="majorBidi" w:hAnsiTheme="majorBidi" w:cstheme="majorBidi"/>
          <w:sz w:val="24"/>
          <w:szCs w:val="24"/>
        </w:rPr>
        <w:t xml:space="preserve">By integrating these theoretical perspectives, this research seeks to offer a comprehensive understanding of the Determinants of Academic Integrity and Examination Malpractices in Secondary Schools in Garissa Township Sub- County. The framework helps in analyzing how social and cultural factors interact and influence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ultimately guiding the development of effective interventions and policies to promote ethical conduct during examinations.</w:t>
      </w:r>
    </w:p>
    <w:p w14:paraId="44EFB25F">
      <w:pPr>
        <w:pStyle w:val="30"/>
        <w:spacing w:line="480" w:lineRule="auto"/>
        <w:ind w:left="284"/>
        <w:jc w:val="both"/>
        <w:rPr>
          <w:rFonts w:asciiTheme="majorBidi" w:hAnsiTheme="majorBidi" w:cstheme="majorBidi"/>
          <w:color w:val="000000"/>
          <w:sz w:val="24"/>
          <w:szCs w:val="24"/>
        </w:rPr>
      </w:pPr>
      <w:r>
        <w:rPr>
          <w:rFonts w:asciiTheme="majorBidi" w:hAnsiTheme="majorBidi" w:cstheme="majorBidi"/>
          <w:color w:val="000000"/>
          <w:sz w:val="24"/>
          <w:szCs w:val="24"/>
        </w:rPr>
        <w:t>Social learning provides the mechanism (observation, imitation) by which social norms are transmitted. If students observe peers or role models cheating, they are more likely to adopt that behavior, especially if they perceive it as the norm while social norms theory explains why students might continue to cheat even when they know it's wrong: they believe "everyone else is doing it." This perceived norm can override individual moral beliefs, learned through social learning.</w:t>
      </w:r>
    </w:p>
    <w:p w14:paraId="3D2B991E">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Cultural capital influences the social environment where learning and norm development occur. Students from privileged backgrounds may have access to resources that reinforce academic integrity (e.g., tutoring, supportive family environments), while those from disadvantaged backgrounds may experience environments where cheating is more prevalent or accepted.  Cultural capital can shape the "role models" students observe. If students see successful individuals who have achieved success through unethical means, they may internalize this as a norm. Essentially, cultural capital sets the stage, social learning provides the mechanism for behavioral acquisition, and social norms reinforce and perpetuate those behaviors. All three work together to create a complex web of influences on </w:t>
      </w:r>
      <w:r>
        <w:rPr>
          <w:rFonts w:eastAsia="Times New Roman" w:asciiTheme="majorBidi" w:hAnsiTheme="majorBidi" w:cstheme="majorBidi"/>
          <w:sz w:val="24"/>
          <w:szCs w:val="24"/>
        </w:rPr>
        <w:t>academic integrity and examination malpractices</w:t>
      </w:r>
      <w:r>
        <w:rPr>
          <w:rFonts w:asciiTheme="majorBidi" w:hAnsiTheme="majorBidi" w:cstheme="majorBidi"/>
          <w:color w:val="000000"/>
          <w:sz w:val="24"/>
          <w:szCs w:val="24"/>
        </w:rPr>
        <w:t>.</w:t>
      </w:r>
    </w:p>
    <w:p w14:paraId="5B4E3CA9">
      <w:pPr>
        <w:pStyle w:val="2"/>
        <w:numPr>
          <w:ilvl w:val="0"/>
          <w:numId w:val="1"/>
        </w:numPr>
        <w:ind w:hanging="720"/>
        <w:rPr>
          <w:rFonts w:asciiTheme="majorBidi" w:hAnsiTheme="majorBidi"/>
          <w:color w:val="auto"/>
          <w:sz w:val="24"/>
          <w:szCs w:val="24"/>
        </w:rPr>
      </w:pPr>
      <w:bookmarkStart w:id="23" w:name="_Toc194822591"/>
      <w:r>
        <w:rPr>
          <w:rFonts w:asciiTheme="majorBidi" w:hAnsiTheme="majorBidi"/>
          <w:color w:val="auto"/>
          <w:sz w:val="24"/>
          <w:szCs w:val="24"/>
        </w:rPr>
        <w:t>Conceptual Framework</w:t>
      </w:r>
      <w:bookmarkEnd w:id="23"/>
    </w:p>
    <w:p w14:paraId="51CF3E47">
      <w:pPr>
        <w:pStyle w:val="17"/>
        <w:spacing w:line="480" w:lineRule="auto"/>
        <w:jc w:val="both"/>
        <w:rPr>
          <w:rFonts w:asciiTheme="majorBidi" w:hAnsiTheme="majorBidi" w:cstheme="majorBidi"/>
        </w:rPr>
      </w:pPr>
      <w:r>
        <w:rPr>
          <w:rFonts w:asciiTheme="majorBidi" w:hAnsiTheme="majorBidi" w:cstheme="majorBidi"/>
        </w:rPr>
        <w:t>The conceptual framework for the research on the Determinants of Academic Integrity and Examination Malpractices in Secondary Schools in Garissa Township Sub- County, Kenya, provided a structured basis for the research that was designed to illustrate the key concepts, variables, and their interrelationships in the context of examination integrity.</w:t>
      </w:r>
    </w:p>
    <w:p w14:paraId="5EBD6E63">
      <w:pPr>
        <w:pStyle w:val="17"/>
        <w:spacing w:line="480" w:lineRule="auto"/>
        <w:jc w:val="both"/>
        <w:rPr>
          <w:rFonts w:asciiTheme="majorBidi" w:hAnsiTheme="majorBidi" w:cstheme="majorBidi"/>
        </w:rPr>
      </w:pPr>
    </w:p>
    <w:p w14:paraId="620B4024">
      <w:pPr>
        <w:pStyle w:val="17"/>
        <w:spacing w:line="480" w:lineRule="auto"/>
        <w:jc w:val="both"/>
        <w:rPr>
          <w:rFonts w:asciiTheme="majorBidi" w:hAnsiTheme="majorBidi" w:cstheme="majorBidi"/>
        </w:rPr>
      </w:pPr>
    </w:p>
    <w:p w14:paraId="30AC3CF0">
      <w:pPr>
        <w:pStyle w:val="17"/>
        <w:spacing w:line="480" w:lineRule="auto"/>
        <w:jc w:val="both"/>
        <w:rPr>
          <w:rFonts w:asciiTheme="majorBidi" w:hAnsiTheme="majorBidi" w:cstheme="majorBidi"/>
        </w:rPr>
      </w:pPr>
    </w:p>
    <w:p w14:paraId="5E0C2A93">
      <w:pPr>
        <w:pStyle w:val="17"/>
        <w:spacing w:line="480" w:lineRule="auto"/>
        <w:jc w:val="both"/>
        <w:rPr>
          <w:rFonts w:asciiTheme="majorBidi" w:hAnsiTheme="majorBidi" w:cstheme="majorBidi"/>
        </w:rPr>
      </w:pPr>
    </w:p>
    <w:p w14:paraId="51349F77">
      <w:pPr>
        <w:pStyle w:val="17"/>
        <w:spacing w:line="480" w:lineRule="auto"/>
        <w:jc w:val="both"/>
        <w:rPr>
          <w:rFonts w:asciiTheme="majorBidi" w:hAnsiTheme="majorBidi" w:cstheme="majorBidi"/>
        </w:rPr>
      </w:pPr>
    </w:p>
    <w:p w14:paraId="3FFFACEB">
      <w:pPr>
        <w:pStyle w:val="17"/>
        <w:spacing w:line="480" w:lineRule="auto"/>
        <w:jc w:val="both"/>
        <w:rPr>
          <w:rFonts w:asciiTheme="majorBidi" w:hAnsiTheme="majorBidi" w:cstheme="majorBidi"/>
        </w:rPr>
      </w:pPr>
    </w:p>
    <w:p w14:paraId="734CA7FA">
      <w:pPr>
        <w:pStyle w:val="17"/>
        <w:spacing w:line="480" w:lineRule="auto"/>
        <w:jc w:val="both"/>
        <w:rPr>
          <w:rFonts w:asciiTheme="majorBidi" w:hAnsiTheme="majorBidi" w:cstheme="majorBidi"/>
        </w:rPr>
      </w:pPr>
    </w:p>
    <w:p w14:paraId="2FE364CF">
      <w:pPr>
        <w:pStyle w:val="17"/>
        <w:spacing w:line="480" w:lineRule="auto"/>
        <w:jc w:val="both"/>
        <w:rPr>
          <w:rFonts w:asciiTheme="majorBidi" w:hAnsiTheme="majorBidi" w:cstheme="majorBidi"/>
        </w:rPr>
      </w:pPr>
    </w:p>
    <w:p w14:paraId="4D123183">
      <w:pPr>
        <w:pStyle w:val="17"/>
        <w:spacing w:line="480" w:lineRule="auto"/>
        <w:jc w:val="both"/>
        <w:rPr>
          <w:rFonts w:ascii="Times New Roman" w:hAnsi="Times New Roman" w:cs="Times New Roman"/>
        </w:rPr>
      </w:pPr>
    </w:p>
    <w:p w14:paraId="4DA5C39D">
      <w:pPr>
        <w:pStyle w:val="17"/>
        <w:spacing w:line="480" w:lineRule="auto"/>
        <w:jc w:val="both"/>
        <w:rPr>
          <w:rFonts w:ascii="Times New Roman" w:hAnsi="Times New Roman" w:cs="Times New Roman"/>
        </w:rPr>
      </w:pPr>
    </w:p>
    <w:p w14:paraId="6F970CC5">
      <w:pPr>
        <w:rPr>
          <w:rFonts w:asciiTheme="majorBidi" w:hAnsiTheme="majorBidi" w:cstheme="majorBidi"/>
          <w:sz w:val="24"/>
          <w:szCs w:val="24"/>
        </w:rPr>
      </w:pPr>
      <w:r>
        <w:rPr>
          <w:rFonts w:asciiTheme="majorBidi" w:hAnsiTheme="majorBidi" w:cstheme="majorBidi"/>
          <w:sz w:val="24"/>
          <w:szCs w:val="24"/>
        </w:rPr>
        <mc:AlternateContent>
          <mc:Choice Requires="wpg">
            <w:drawing>
              <wp:anchor distT="0" distB="0" distL="114300" distR="114300" simplePos="0" relativeHeight="251661312" behindDoc="0" locked="0" layoutInCell="1" allowOverlap="1">
                <wp:simplePos x="0" y="0"/>
                <wp:positionH relativeFrom="column">
                  <wp:posOffset>-161925</wp:posOffset>
                </wp:positionH>
                <wp:positionV relativeFrom="paragraph">
                  <wp:posOffset>-47625</wp:posOffset>
                </wp:positionV>
                <wp:extent cx="6303010" cy="7627620"/>
                <wp:effectExtent l="0" t="0" r="21590" b="11430"/>
                <wp:wrapNone/>
                <wp:docPr id="103657099" name="Group 13"/>
                <wp:cNvGraphicFramePr/>
                <a:graphic xmlns:a="http://schemas.openxmlformats.org/drawingml/2006/main">
                  <a:graphicData uri="http://schemas.microsoft.com/office/word/2010/wordprocessingGroup">
                    <wpg:wgp>
                      <wpg:cNvGrpSpPr/>
                      <wpg:grpSpPr>
                        <a:xfrm>
                          <a:off x="0" y="0"/>
                          <a:ext cx="6303010" cy="7627620"/>
                          <a:chOff x="0" y="0"/>
                          <a:chExt cx="6303010" cy="7627620"/>
                        </a:xfrm>
                      </wpg:grpSpPr>
                      <wps:wsp>
                        <wps:cNvPr id="1725531590" name="Text Box 1"/>
                        <wps:cNvSpPr txBox="1"/>
                        <wps:spPr>
                          <a:xfrm>
                            <a:off x="0" y="628650"/>
                            <a:ext cx="1866900" cy="1066800"/>
                          </a:xfrm>
                          <a:prstGeom prst="rect">
                            <a:avLst/>
                          </a:prstGeom>
                          <a:solidFill>
                            <a:schemeClr val="lt1"/>
                          </a:solidFill>
                          <a:ln w="6350">
                            <a:solidFill>
                              <a:prstClr val="black"/>
                            </a:solidFill>
                          </a:ln>
                        </wps:spPr>
                        <wps:txbx>
                          <w:txbxContent>
                            <w:p w14:paraId="736A645F">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Peer Pressure</w:t>
                              </w:r>
                            </w:p>
                            <w:p w14:paraId="53999403">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Group Norms and Behavior</w:t>
                              </w:r>
                            </w:p>
                            <w:p w14:paraId="45D00889">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Peer Encouragement</w:t>
                              </w:r>
                            </w:p>
                            <w:p w14:paraId="58E45A9E">
                              <w:pPr>
                                <w:pStyle w:val="30"/>
                                <w:numPr>
                                  <w:ilvl w:val="0"/>
                                  <w:numId w:val="6"/>
                                </w:numPr>
                                <w:spacing w:after="0" w:line="240" w:lineRule="auto"/>
                                <w:ind w:left="426" w:hanging="284"/>
                              </w:pPr>
                              <w:r>
                                <w:rPr>
                                  <w:rFonts w:asciiTheme="majorBidi" w:hAnsiTheme="majorBidi" w:cstheme="majorBidi"/>
                                </w:rPr>
                                <w:t>Competition Among Peers</w:t>
                              </w:r>
                            </w:p>
                            <w:p w14:paraId="4B7539FD">
                              <w:pPr>
                                <w:spacing w:after="0" w:line="240" w:lineRule="auto"/>
                                <w:rPr>
                                  <w:rStyle w:val="19"/>
                                  <w:rFonts w:asciiTheme="majorBidi" w:hAnsiTheme="majorBidi" w:cstheme="majorBidi"/>
                                  <w:b w:val="0"/>
                                  <w:bCs w:val="0"/>
                                  <w:sz w:val="20"/>
                                  <w:szCs w:val="20"/>
                                </w:rPr>
                              </w:pPr>
                            </w:p>
                            <w:p w14:paraId="6B3E6989">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21684000" name="Text Box 1"/>
                        <wps:cNvSpPr txBox="1"/>
                        <wps:spPr>
                          <a:xfrm>
                            <a:off x="0" y="0"/>
                            <a:ext cx="1876425" cy="627924"/>
                          </a:xfrm>
                          <a:prstGeom prst="rect">
                            <a:avLst/>
                          </a:prstGeom>
                          <a:solidFill>
                            <a:schemeClr val="lt1"/>
                          </a:solidFill>
                          <a:ln w="6350">
                            <a:solidFill>
                              <a:prstClr val="black"/>
                            </a:solidFill>
                          </a:ln>
                        </wps:spPr>
                        <wps:txbx>
                          <w:txbxContent>
                            <w:p w14:paraId="5463A9AD">
                              <w:pPr>
                                <w:spacing w:after="0"/>
                                <w:jc w:val="center"/>
                                <w:rPr>
                                  <w:rStyle w:val="19"/>
                                  <w:rFonts w:asciiTheme="majorBidi" w:hAnsiTheme="majorBidi" w:cstheme="majorBidi"/>
                                  <w:b w:val="0"/>
                                  <w:bCs w:val="0"/>
                                  <w:sz w:val="20"/>
                                  <w:szCs w:val="20"/>
                                </w:rPr>
                              </w:pPr>
                              <w:r>
                                <w:rPr>
                                  <w:rStyle w:val="19"/>
                                  <w:rFonts w:asciiTheme="majorBidi" w:hAnsiTheme="majorBidi" w:cstheme="majorBidi"/>
                                  <w:b w:val="0"/>
                                  <w:bCs w:val="0"/>
                                  <w:sz w:val="20"/>
                                  <w:szCs w:val="20"/>
                                </w:rPr>
                                <w:t>INDEPENDENT VARIABLES (IV)</w:t>
                              </w:r>
                            </w:p>
                            <w:p w14:paraId="0E7123E6"/>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52114350" name="Text Box 1"/>
                        <wps:cNvSpPr txBox="1"/>
                        <wps:spPr>
                          <a:xfrm>
                            <a:off x="0" y="1819275"/>
                            <a:ext cx="1866900" cy="809625"/>
                          </a:xfrm>
                          <a:prstGeom prst="rect">
                            <a:avLst/>
                          </a:prstGeom>
                          <a:solidFill>
                            <a:schemeClr val="lt1"/>
                          </a:solidFill>
                          <a:ln w="6350">
                            <a:solidFill>
                              <a:prstClr val="black"/>
                            </a:solidFill>
                          </a:ln>
                        </wps:spPr>
                        <wps:txbx>
                          <w:txbxContent>
                            <w:p w14:paraId="257ADE10">
                              <w:pPr>
                                <w:spacing w:after="0" w:line="240" w:lineRule="auto"/>
                                <w:rPr>
                                  <w:rStyle w:val="19"/>
                                  <w:rFonts w:asciiTheme="majorBidi" w:hAnsiTheme="majorBidi" w:cstheme="majorBidi"/>
                                  <w:b w:val="0"/>
                                  <w:bCs w:val="0"/>
                                  <w:sz w:val="24"/>
                                  <w:szCs w:val="24"/>
                                </w:rPr>
                              </w:pPr>
                              <w:r>
                                <w:rPr>
                                  <w:rStyle w:val="19"/>
                                  <w:rFonts w:asciiTheme="majorBidi" w:hAnsiTheme="majorBidi" w:cstheme="majorBidi"/>
                                  <w:b w:val="0"/>
                                  <w:bCs w:val="0"/>
                                </w:rPr>
                                <w:t>Parents Involvement</w:t>
                              </w:r>
                              <w:r>
                                <w:rPr>
                                  <w:rStyle w:val="19"/>
                                  <w:rFonts w:asciiTheme="majorBidi" w:hAnsiTheme="majorBidi" w:cstheme="majorBidi"/>
                                  <w:b w:val="0"/>
                                  <w:bCs w:val="0"/>
                                  <w:sz w:val="24"/>
                                  <w:szCs w:val="24"/>
                                </w:rPr>
                                <w:t xml:space="preserve"> </w:t>
                              </w:r>
                            </w:p>
                            <w:p w14:paraId="75A5C56E">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Supportive Parenting</w:t>
                              </w:r>
                            </w:p>
                            <w:p w14:paraId="739400F2">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Negative Influences</w:t>
                              </w:r>
                            </w:p>
                            <w:p w14:paraId="0FF54B03">
                              <w:pPr>
                                <w:pStyle w:val="30"/>
                                <w:numPr>
                                  <w:ilvl w:val="0"/>
                                  <w:numId w:val="7"/>
                                </w:numPr>
                                <w:spacing w:line="480" w:lineRule="auto"/>
                                <w:ind w:left="426" w:hanging="284"/>
                                <w:rPr>
                                  <w:rStyle w:val="19"/>
                                  <w:rFonts w:asciiTheme="majorBidi" w:hAnsiTheme="majorBidi" w:cstheme="majorBidi"/>
                                  <w:b w:val="0"/>
                                  <w:bCs w:val="0"/>
                                  <w:sz w:val="24"/>
                                  <w:szCs w:val="24"/>
                                </w:rPr>
                              </w:pPr>
                              <w:r>
                                <w:rPr>
                                  <w:rFonts w:asciiTheme="majorBidi" w:hAnsiTheme="majorBidi" w:cstheme="majorBidi"/>
                                </w:rPr>
                                <w:t>Lack of Involvement</w:t>
                              </w:r>
                            </w:p>
                            <w:p w14:paraId="504B78BF">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65365631" name="Text Box 1"/>
                        <wps:cNvSpPr txBox="1"/>
                        <wps:spPr>
                          <a:xfrm>
                            <a:off x="0" y="2752725"/>
                            <a:ext cx="1866900" cy="962025"/>
                          </a:xfrm>
                          <a:prstGeom prst="rect">
                            <a:avLst/>
                          </a:prstGeom>
                          <a:solidFill>
                            <a:schemeClr val="lt1"/>
                          </a:solidFill>
                          <a:ln w="6350">
                            <a:solidFill>
                              <a:prstClr val="black"/>
                            </a:solidFill>
                          </a:ln>
                        </wps:spPr>
                        <wps:txbx>
                          <w:txbxContent>
                            <w:p w14:paraId="7A641C3D">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Perceived Benefits</w:t>
                              </w:r>
                            </w:p>
                            <w:p w14:paraId="6D9C3CB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High Expectations</w:t>
                              </w:r>
                            </w:p>
                            <w:p w14:paraId="1DD2B36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Overemphasis on Grades</w:t>
                              </w:r>
                            </w:p>
                            <w:p w14:paraId="3739CF7C">
                              <w:pPr>
                                <w:pStyle w:val="30"/>
                                <w:numPr>
                                  <w:ilvl w:val="0"/>
                                  <w:numId w:val="8"/>
                                </w:numPr>
                                <w:ind w:left="426" w:hanging="284"/>
                                <w:rPr>
                                  <w:rFonts w:asciiTheme="majorBidi" w:hAnsiTheme="majorBidi" w:cstheme="majorBidi"/>
                                </w:rPr>
                              </w:pPr>
                              <w:r>
                                <w:rPr>
                                  <w:rFonts w:asciiTheme="majorBidi" w:hAnsiTheme="majorBidi" w:cstheme="majorBidi"/>
                                </w:rPr>
                                <w:t>Better career opportunities</w:t>
                              </w:r>
                            </w:p>
                            <w:p w14:paraId="3FD9AA0E">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04357960" name="Text Box 1"/>
                        <wps:cNvSpPr txBox="1"/>
                        <wps:spPr>
                          <a:xfrm>
                            <a:off x="0" y="3819525"/>
                            <a:ext cx="1866900" cy="1245870"/>
                          </a:xfrm>
                          <a:prstGeom prst="rect">
                            <a:avLst/>
                          </a:prstGeom>
                          <a:solidFill>
                            <a:schemeClr val="lt1"/>
                          </a:solidFill>
                          <a:ln w="6350">
                            <a:solidFill>
                              <a:prstClr val="black"/>
                            </a:solidFill>
                          </a:ln>
                        </wps:spPr>
                        <wps:txbx>
                          <w:txbxContent>
                            <w:p w14:paraId="1C5DA50B">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Teaching Approaches</w:t>
                              </w:r>
                            </w:p>
                            <w:p w14:paraId="4F915530">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Promoting Critical Thinking</w:t>
                              </w:r>
                            </w:p>
                            <w:p w14:paraId="157DE323">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Active Learning and Collaboration</w:t>
                              </w:r>
                            </w:p>
                            <w:p w14:paraId="197F813F">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Fair and Effective Assessment Methods</w:t>
                              </w:r>
                            </w:p>
                            <w:p w14:paraId="4B8E04F5">
                              <w:pPr>
                                <w:spacing w:after="0" w:line="240" w:lineRule="auto"/>
                                <w:rPr>
                                  <w:rFonts w:asciiTheme="majorBidi" w:hAnsiTheme="majorBidi" w:cstheme="majorBidi"/>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40611955" name="Text Box 1"/>
                        <wps:cNvSpPr txBox="1"/>
                        <wps:spPr>
                          <a:xfrm>
                            <a:off x="0" y="5172075"/>
                            <a:ext cx="1866900" cy="1102995"/>
                          </a:xfrm>
                          <a:prstGeom prst="rect">
                            <a:avLst/>
                          </a:prstGeom>
                          <a:solidFill>
                            <a:schemeClr val="lt1"/>
                          </a:solidFill>
                          <a:ln w="6350">
                            <a:solidFill>
                              <a:prstClr val="black"/>
                            </a:solidFill>
                          </a:ln>
                        </wps:spPr>
                        <wps:txbx>
                          <w:txbxContent>
                            <w:p w14:paraId="22611840">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Syllabus Coverage</w:t>
                              </w:r>
                            </w:p>
                            <w:p w14:paraId="01EC22A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Availability of learning materials</w:t>
                              </w:r>
                            </w:p>
                            <w:p w14:paraId="5AF9F42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Pace of syllabus coverage</w:t>
                              </w:r>
                            </w:p>
                            <w:p w14:paraId="42183857">
                              <w:pPr>
                                <w:pStyle w:val="30"/>
                                <w:numPr>
                                  <w:ilvl w:val="0"/>
                                  <w:numId w:val="10"/>
                                </w:numPr>
                                <w:spacing w:line="240" w:lineRule="auto"/>
                                <w:ind w:left="284" w:hanging="284"/>
                                <w:rPr>
                                  <w:rFonts w:asciiTheme="majorBidi" w:hAnsiTheme="majorBidi" w:cstheme="majorBidi"/>
                                </w:rPr>
                              </w:pPr>
                              <w:r>
                                <w:rPr>
                                  <w:rFonts w:asciiTheme="majorBidi" w:hAnsiTheme="majorBidi" w:cstheme="majorBidi"/>
                                </w:rPr>
                                <w:t>Student comprehension of syllabus content</w:t>
                              </w:r>
                            </w:p>
                            <w:p w14:paraId="3636269E">
                              <w:pPr>
                                <w:spacing w:after="0" w:line="240" w:lineRule="auto"/>
                              </w:pPr>
                            </w:p>
                            <w:p w14:paraId="56743A0A">
                              <w:pPr>
                                <w:pStyle w:val="30"/>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5698431" name="Text Box 1"/>
                        <wps:cNvSpPr txBox="1"/>
                        <wps:spPr>
                          <a:xfrm>
                            <a:off x="0" y="6400800"/>
                            <a:ext cx="1866900" cy="1226820"/>
                          </a:xfrm>
                          <a:prstGeom prst="rect">
                            <a:avLst/>
                          </a:prstGeom>
                          <a:solidFill>
                            <a:schemeClr val="lt1"/>
                          </a:solidFill>
                          <a:ln w="6350">
                            <a:solidFill>
                              <a:prstClr val="black"/>
                            </a:solidFill>
                          </a:ln>
                        </wps:spPr>
                        <wps:txbx>
                          <w:txbxContent>
                            <w:p w14:paraId="43E365C7">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Social media</w:t>
                              </w:r>
                            </w:p>
                            <w:p w14:paraId="05C45C76">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Technological Access and Use</w:t>
                              </w:r>
                            </w:p>
                            <w:p w14:paraId="591BD430">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Distraction from academic preparation</w:t>
                              </w:r>
                            </w:p>
                            <w:p w14:paraId="1BA80D8E">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Cyber-assisted cheating methods</w:t>
                              </w:r>
                            </w:p>
                            <w:p w14:paraId="191CCB71">
                              <w:pPr>
                                <w:spacing w:after="0" w:line="240" w:lineRule="auto"/>
                                <w:rPr>
                                  <w:rFonts w:asciiTheme="majorBidi" w:hAnsiTheme="majorBidi" w:cstheme="majorBidi"/>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2991182" name="Text Box 571007731"/>
                        <wps:cNvSpPr txBox="1"/>
                        <wps:spPr>
                          <a:xfrm>
                            <a:off x="2571750" y="3886200"/>
                            <a:ext cx="1733550" cy="706573"/>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C0ECB53">
                              <w:pPr>
                                <w:pStyle w:val="30"/>
                                <w:numPr>
                                  <w:ilvl w:val="0"/>
                                  <w:numId w:val="12"/>
                                </w:numPr>
                                <w:tabs>
                                  <w:tab w:val="left" w:pos="18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Insecurity</w:t>
                              </w:r>
                            </w:p>
                            <w:p w14:paraId="6E9AFF2D">
                              <w:pPr>
                                <w:pStyle w:val="30"/>
                                <w:numPr>
                                  <w:ilvl w:val="0"/>
                                  <w:numId w:val="12"/>
                                </w:numPr>
                                <w:tabs>
                                  <w:tab w:val="left" w:pos="180"/>
                                  <w:tab w:val="left" w:pos="99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Dishonest Officials</w:t>
                              </w:r>
                            </w:p>
                            <w:p w14:paraId="4B3C465A">
                              <w:pPr>
                                <w:tabs>
                                  <w:tab w:val="left" w:pos="180"/>
                                </w:tabs>
                                <w:rPr>
                                  <w:rStyle w:val="19"/>
                                  <w:rFonts w:asciiTheme="majorBidi" w:hAnsiTheme="majorBidi" w:cstheme="majorBidi"/>
                                  <w:b w:val="0"/>
                                  <w:bCs w:val="0"/>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6646028" name="Text Box 936964449"/>
                        <wps:cNvSpPr txBox="1"/>
                        <wps:spPr>
                          <a:xfrm>
                            <a:off x="2571750" y="3333750"/>
                            <a:ext cx="1733550" cy="560058"/>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79D1746">
                              <w:pPr>
                                <w:jc w:val="center"/>
                                <w:rPr>
                                  <w:rFonts w:asciiTheme="majorBidi" w:hAnsiTheme="majorBidi" w:cstheme="majorBidi"/>
                                  <w:b/>
                                  <w:bCs/>
                                  <w:sz w:val="20"/>
                                  <w:szCs w:val="20"/>
                                </w:rPr>
                              </w:pPr>
                              <w:r>
                                <w:rPr>
                                  <w:rStyle w:val="19"/>
                                  <w:rFonts w:asciiTheme="majorBidi" w:hAnsiTheme="majorBidi" w:cstheme="majorBidi"/>
                                  <w:b w:val="0"/>
                                  <w:bCs w:val="0"/>
                                  <w:sz w:val="20"/>
                                  <w:szCs w:val="20"/>
                                </w:rPr>
                                <w:t>INTERVENING VARIABLE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46146474" name="Text Box 746068160"/>
                        <wps:cNvSpPr txBox="1"/>
                        <wps:spPr>
                          <a:xfrm>
                            <a:off x="4724400" y="3362325"/>
                            <a:ext cx="1578610" cy="50614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1EE4ADE">
                              <w:pPr>
                                <w:spacing w:after="0"/>
                                <w:jc w:val="center"/>
                                <w:rPr>
                                  <w:rStyle w:val="19"/>
                                  <w:rFonts w:asciiTheme="majorBidi" w:hAnsiTheme="majorBidi" w:cstheme="majorBidi"/>
                                  <w:sz w:val="20"/>
                                  <w:szCs w:val="20"/>
                                </w:rPr>
                              </w:pPr>
                              <w:r>
                                <w:rPr>
                                  <w:rStyle w:val="19"/>
                                  <w:rFonts w:asciiTheme="majorBidi" w:hAnsiTheme="majorBidi" w:cstheme="majorBidi"/>
                                  <w:b w:val="0"/>
                                  <w:bCs w:val="0"/>
                                  <w:sz w:val="20"/>
                                  <w:szCs w:val="20"/>
                                </w:rPr>
                                <w:t>DEPENDENT VARIABLE (DV)</w:t>
                              </w:r>
                            </w:p>
                            <w:p w14:paraId="4DBAF180">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7114370" name="Straight Arrow Connector 6"/>
                        <wps:cNvCnPr/>
                        <wps:spPr>
                          <a:xfrm>
                            <a:off x="2171700" y="4181475"/>
                            <a:ext cx="419100" cy="951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6410539" name="Straight Arrow Connector 6"/>
                        <wps:cNvCnPr/>
                        <wps:spPr>
                          <a:xfrm>
                            <a:off x="4305300" y="4152900"/>
                            <a:ext cx="419100" cy="951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92969679" name="Right Bracket 7"/>
                        <wps:cNvSpPr/>
                        <wps:spPr>
                          <a:xfrm>
                            <a:off x="1866900" y="1219200"/>
                            <a:ext cx="295275" cy="5762625"/>
                          </a:xfrm>
                          <a:prstGeom prst="rightBracket">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39336205" name="Straight Arrow Connector 12"/>
                        <wps:cNvCnPr/>
                        <wps:spPr>
                          <a:xfrm>
                            <a:off x="1866900" y="2200275"/>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1712384" name="Straight Arrow Connector 12"/>
                        <wps:cNvCnPr/>
                        <wps:spPr>
                          <a:xfrm>
                            <a:off x="1866900" y="4410075"/>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77164275" name="Straight Arrow Connector 12"/>
                        <wps:cNvCnPr/>
                        <wps:spPr>
                          <a:xfrm>
                            <a:off x="1876425" y="3209925"/>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3426415" name="Straight Arrow Connector 12"/>
                        <wps:cNvCnPr/>
                        <wps:spPr>
                          <a:xfrm>
                            <a:off x="1876425" y="5657850"/>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3" o:spid="_x0000_s1026" o:spt="203" style="position:absolute;left:0pt;margin-left:-12.75pt;margin-top:-3.75pt;height:600.6pt;width:496.3pt;z-index:251661312;mso-width-relative:page;mso-height-relative:page;" coordsize="6303010,7627620" o:gfxdata="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">
                <o:lock v:ext="edit" aspectratio="f"/>
                <v:shape id="Text Box 1" o:spid="_x0000_s1026" o:spt="202" type="#_x0000_t202" style="position:absolute;left:0;top:628650;height:1066800;width:1866900;" fillcolor="#FFFFFF [3201]" filled="t" stroked="t" coordsize="21600,21600" o:gfxdata="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f&#10;qhnCAAAA4wAAAA8AAAAAAAAAAQAgAAAAIgAAAGRycy9kb3ducmV2LnhtbFBLAQIUABQAAAAIAIdO&#10;4kAzLwWeOwAAADkAAAAQAAAAAAAAAAEAIAAAABEBAABkcnMvc2hhcGV4bWwueG1sUEsFBgAAAAAG&#10;AAYAWwEAALsDAAAAAA==&#10;">
                  <v:fill on="t" focussize="0,0"/>
                  <v:stroke weight="0.5pt" color="#000000" joinstyle="round"/>
                  <v:imagedata o:title=""/>
                  <o:lock v:ext="edit" aspectratio="f"/>
                  <v:textbox>
                    <w:txbxContent>
                      <w:p w14:paraId="736A645F">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Peer Pressure</w:t>
                        </w:r>
                      </w:p>
                      <w:p w14:paraId="53999403">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Group Norms and Behavior</w:t>
                        </w:r>
                      </w:p>
                      <w:p w14:paraId="45D00889">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Peer Encouragement</w:t>
                        </w:r>
                      </w:p>
                      <w:p w14:paraId="58E45A9E">
                        <w:pPr>
                          <w:pStyle w:val="30"/>
                          <w:numPr>
                            <w:ilvl w:val="0"/>
                            <w:numId w:val="6"/>
                          </w:numPr>
                          <w:spacing w:after="0" w:line="240" w:lineRule="auto"/>
                          <w:ind w:left="426" w:hanging="284"/>
                        </w:pPr>
                        <w:r>
                          <w:rPr>
                            <w:rFonts w:asciiTheme="majorBidi" w:hAnsiTheme="majorBidi" w:cstheme="majorBidi"/>
                          </w:rPr>
                          <w:t>Competition Among Peers</w:t>
                        </w:r>
                      </w:p>
                      <w:p w14:paraId="4B7539FD">
                        <w:pPr>
                          <w:spacing w:after="0" w:line="240" w:lineRule="auto"/>
                          <w:rPr>
                            <w:rStyle w:val="19"/>
                            <w:rFonts w:asciiTheme="majorBidi" w:hAnsiTheme="majorBidi" w:cstheme="majorBidi"/>
                            <w:b w:val="0"/>
                            <w:bCs w:val="0"/>
                            <w:sz w:val="20"/>
                            <w:szCs w:val="20"/>
                          </w:rPr>
                        </w:pPr>
                      </w:p>
                      <w:p w14:paraId="6B3E6989">
                        <w:pPr>
                          <w:spacing w:after="0" w:line="240" w:lineRule="auto"/>
                          <w:rPr>
                            <w:sz w:val="20"/>
                            <w:szCs w:val="20"/>
                          </w:rPr>
                        </w:pPr>
                      </w:p>
                    </w:txbxContent>
                  </v:textbox>
                </v:shape>
                <v:shape id="Text Box 1" o:spid="_x0000_s1026" o:spt="202" type="#_x0000_t202" style="position:absolute;left:0;top:0;height:627924;width:1876425;" fillcolor="#FFFFFF [3201]" filled="t" stroked="t" coordsize="21600,21600" o:gfxdata="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4kf&#10;ZcEAAADjAAAADwAAAAAAAAABACAAAAAiAAAAZHJzL2Rvd25yZXYueG1sUEsBAhQAFAAAAAgAh07i&#10;QDMvBZ47AAAAOQAAABAAAAAAAAAAAQAgAAAAEAEAAGRycy9zaGFwZXhtbC54bWxQSwUGAAAAAAYA&#10;BgBbAQAAugMAAAAA&#10;">
                  <v:fill on="t" focussize="0,0"/>
                  <v:stroke weight="0.5pt" color="#000000" joinstyle="round"/>
                  <v:imagedata o:title=""/>
                  <o:lock v:ext="edit" aspectratio="f"/>
                  <v:textbox>
                    <w:txbxContent>
                      <w:p w14:paraId="5463A9AD">
                        <w:pPr>
                          <w:spacing w:after="0"/>
                          <w:jc w:val="center"/>
                          <w:rPr>
                            <w:rStyle w:val="19"/>
                            <w:rFonts w:asciiTheme="majorBidi" w:hAnsiTheme="majorBidi" w:cstheme="majorBidi"/>
                            <w:b w:val="0"/>
                            <w:bCs w:val="0"/>
                            <w:sz w:val="20"/>
                            <w:szCs w:val="20"/>
                          </w:rPr>
                        </w:pPr>
                        <w:r>
                          <w:rPr>
                            <w:rStyle w:val="19"/>
                            <w:rFonts w:asciiTheme="majorBidi" w:hAnsiTheme="majorBidi" w:cstheme="majorBidi"/>
                            <w:b w:val="0"/>
                            <w:bCs w:val="0"/>
                            <w:sz w:val="20"/>
                            <w:szCs w:val="20"/>
                          </w:rPr>
                          <w:t>INDEPENDENT VARIABLES (IV)</w:t>
                        </w:r>
                      </w:p>
                      <w:p w14:paraId="0E7123E6"/>
                    </w:txbxContent>
                  </v:textbox>
                </v:shape>
                <v:shape id="Text Box 1" o:spid="_x0000_s1026" o:spt="202" type="#_x0000_t202" style="position:absolute;left:0;top:1819275;height:809625;width:1866900;" fillcolor="#FFFFFF [3201]" filled="t" stroked="t" coordsize="21600,21600" o:gfxdata="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ZaduvQAA&#10;AOI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w:txbxContent>
                      <w:p w14:paraId="257ADE10">
                        <w:pPr>
                          <w:spacing w:after="0" w:line="240" w:lineRule="auto"/>
                          <w:rPr>
                            <w:rStyle w:val="19"/>
                            <w:rFonts w:asciiTheme="majorBidi" w:hAnsiTheme="majorBidi" w:cstheme="majorBidi"/>
                            <w:b w:val="0"/>
                            <w:bCs w:val="0"/>
                            <w:sz w:val="24"/>
                            <w:szCs w:val="24"/>
                          </w:rPr>
                        </w:pPr>
                        <w:r>
                          <w:rPr>
                            <w:rStyle w:val="19"/>
                            <w:rFonts w:asciiTheme="majorBidi" w:hAnsiTheme="majorBidi" w:cstheme="majorBidi"/>
                            <w:b w:val="0"/>
                            <w:bCs w:val="0"/>
                          </w:rPr>
                          <w:t>Parents Involvement</w:t>
                        </w:r>
                        <w:r>
                          <w:rPr>
                            <w:rStyle w:val="19"/>
                            <w:rFonts w:asciiTheme="majorBidi" w:hAnsiTheme="majorBidi" w:cstheme="majorBidi"/>
                            <w:b w:val="0"/>
                            <w:bCs w:val="0"/>
                            <w:sz w:val="24"/>
                            <w:szCs w:val="24"/>
                          </w:rPr>
                          <w:t xml:space="preserve"> </w:t>
                        </w:r>
                      </w:p>
                      <w:p w14:paraId="75A5C56E">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Supportive Parenting</w:t>
                        </w:r>
                      </w:p>
                      <w:p w14:paraId="739400F2">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Negative Influences</w:t>
                        </w:r>
                      </w:p>
                      <w:p w14:paraId="0FF54B03">
                        <w:pPr>
                          <w:pStyle w:val="30"/>
                          <w:numPr>
                            <w:ilvl w:val="0"/>
                            <w:numId w:val="7"/>
                          </w:numPr>
                          <w:spacing w:line="480" w:lineRule="auto"/>
                          <w:ind w:left="426" w:hanging="284"/>
                          <w:rPr>
                            <w:rStyle w:val="19"/>
                            <w:rFonts w:asciiTheme="majorBidi" w:hAnsiTheme="majorBidi" w:cstheme="majorBidi"/>
                            <w:b w:val="0"/>
                            <w:bCs w:val="0"/>
                            <w:sz w:val="24"/>
                            <w:szCs w:val="24"/>
                          </w:rPr>
                        </w:pPr>
                        <w:r>
                          <w:rPr>
                            <w:rFonts w:asciiTheme="majorBidi" w:hAnsiTheme="majorBidi" w:cstheme="majorBidi"/>
                          </w:rPr>
                          <w:t>Lack of Involvement</w:t>
                        </w:r>
                      </w:p>
                      <w:p w14:paraId="504B78BF">
                        <w:pPr>
                          <w:spacing w:after="0" w:line="240" w:lineRule="auto"/>
                          <w:rPr>
                            <w:sz w:val="20"/>
                            <w:szCs w:val="20"/>
                          </w:rPr>
                        </w:pPr>
                      </w:p>
                    </w:txbxContent>
                  </v:textbox>
                </v:shape>
                <v:shape id="Text Box 1" o:spid="_x0000_s1026" o:spt="202" type="#_x0000_t202" style="position:absolute;left:0;top:2752725;height:962025;width:1866900;" fillcolor="#FFFFFF [3201]" filled="t" stroked="t" coordsize="21600,21600" o:gfxdata="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M702/&#10;AAAA4gAAAA8AAAAAAAAAAQAgAAAAIgAAAGRycy9kb3ducmV2LnhtbFBLAQIUABQAAAAIAIdO4kAz&#10;LwWeOwAAADkAAAAQAAAAAAAAAAEAIAAAAA4BAABkcnMvc2hhcGV4bWwueG1sUEsFBgAAAAAGAAYA&#10;WwEAALgDAAAAAA==&#10;">
                  <v:fill on="t" focussize="0,0"/>
                  <v:stroke weight="0.5pt" color="#000000" joinstyle="round"/>
                  <v:imagedata o:title=""/>
                  <o:lock v:ext="edit" aspectratio="f"/>
                  <v:textbox>
                    <w:txbxContent>
                      <w:p w14:paraId="7A641C3D">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Perceived Benefits</w:t>
                        </w:r>
                      </w:p>
                      <w:p w14:paraId="6D9C3CB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High Expectations</w:t>
                        </w:r>
                      </w:p>
                      <w:p w14:paraId="1DD2B36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Overemphasis on Grades</w:t>
                        </w:r>
                      </w:p>
                      <w:p w14:paraId="3739CF7C">
                        <w:pPr>
                          <w:pStyle w:val="30"/>
                          <w:numPr>
                            <w:ilvl w:val="0"/>
                            <w:numId w:val="8"/>
                          </w:numPr>
                          <w:ind w:left="426" w:hanging="284"/>
                          <w:rPr>
                            <w:rFonts w:asciiTheme="majorBidi" w:hAnsiTheme="majorBidi" w:cstheme="majorBidi"/>
                          </w:rPr>
                        </w:pPr>
                        <w:r>
                          <w:rPr>
                            <w:rFonts w:asciiTheme="majorBidi" w:hAnsiTheme="majorBidi" w:cstheme="majorBidi"/>
                          </w:rPr>
                          <w:t>Better career opportunities</w:t>
                        </w:r>
                      </w:p>
                      <w:p w14:paraId="3FD9AA0E">
                        <w:pPr>
                          <w:spacing w:after="0" w:line="240" w:lineRule="auto"/>
                          <w:rPr>
                            <w:sz w:val="20"/>
                            <w:szCs w:val="20"/>
                          </w:rPr>
                        </w:pPr>
                      </w:p>
                    </w:txbxContent>
                  </v:textbox>
                </v:shape>
                <v:shape id="Text Box 1" o:spid="_x0000_s1026" o:spt="202" type="#_x0000_t202" style="position:absolute;left:0;top:3819525;height:1245870;width:1866900;" fillcolor="#FFFFFF [3201]" filled="t" stroked="t" coordsize="21600,21600" o:gfxdata="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l1iTwwAAAOMAAAAPAAAAAAAAAAEAIAAAACIAAABkcnMvZG93bnJldi54bWxQSwECFAAUAAAACACH&#10;TuJAMy8FnjsAAAA5AAAAEAAAAAAAAAABACAAAAASAQAAZHJzL3NoYXBleG1sLnhtbFBLBQYAAAAA&#10;BgAGAFsBAAC8AwAAAAA=&#10;">
                  <v:fill on="t" focussize="0,0"/>
                  <v:stroke weight="0.5pt" color="#000000" joinstyle="round"/>
                  <v:imagedata o:title=""/>
                  <o:lock v:ext="edit" aspectratio="f"/>
                  <v:textbox>
                    <w:txbxContent>
                      <w:p w14:paraId="1C5DA50B">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Teaching Approaches</w:t>
                        </w:r>
                      </w:p>
                      <w:p w14:paraId="4F915530">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Promoting Critical Thinking</w:t>
                        </w:r>
                      </w:p>
                      <w:p w14:paraId="157DE323">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Active Learning and Collaboration</w:t>
                        </w:r>
                      </w:p>
                      <w:p w14:paraId="197F813F">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Fair and Effective Assessment Methods</w:t>
                        </w:r>
                      </w:p>
                      <w:p w14:paraId="4B8E04F5">
                        <w:pPr>
                          <w:spacing w:after="0" w:line="240" w:lineRule="auto"/>
                          <w:rPr>
                            <w:rFonts w:asciiTheme="majorBidi" w:hAnsiTheme="majorBidi" w:cstheme="majorBidi"/>
                            <w:sz w:val="20"/>
                            <w:szCs w:val="20"/>
                          </w:rPr>
                        </w:pPr>
                      </w:p>
                    </w:txbxContent>
                  </v:textbox>
                </v:shape>
                <v:shape id="Text Box 1" o:spid="_x0000_s1026" o:spt="202" type="#_x0000_t202" style="position:absolute;left:0;top:5172075;height:1102995;width:1866900;" fillcolor="#FFFFFF [3201]" filled="t" stroked="t" coordsize="21600,21600" o:gfxdata="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wz&#10;YcEAAADiAAAADwAAAAAAAAABACAAAAAiAAAAZHJzL2Rvd25yZXYueG1sUEsBAhQAFAAAAAgAh07i&#10;QDMvBZ47AAAAOQAAABAAAAAAAAAAAQAgAAAAEAEAAGRycy9zaGFwZXhtbC54bWxQSwUGAAAAAAYA&#10;BgBbAQAAugMAAAAA&#10;">
                  <v:fill on="t" focussize="0,0"/>
                  <v:stroke weight="0.5pt" color="#000000" joinstyle="round"/>
                  <v:imagedata o:title=""/>
                  <o:lock v:ext="edit" aspectratio="f"/>
                  <v:textbox>
                    <w:txbxContent>
                      <w:p w14:paraId="22611840">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Syllabus Coverage</w:t>
                        </w:r>
                      </w:p>
                      <w:p w14:paraId="01EC22A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Availability of learning materials</w:t>
                        </w:r>
                      </w:p>
                      <w:p w14:paraId="5AF9F42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Pace of syllabus coverage</w:t>
                        </w:r>
                      </w:p>
                      <w:p w14:paraId="42183857">
                        <w:pPr>
                          <w:pStyle w:val="30"/>
                          <w:numPr>
                            <w:ilvl w:val="0"/>
                            <w:numId w:val="10"/>
                          </w:numPr>
                          <w:spacing w:line="240" w:lineRule="auto"/>
                          <w:ind w:left="284" w:hanging="284"/>
                          <w:rPr>
                            <w:rFonts w:asciiTheme="majorBidi" w:hAnsiTheme="majorBidi" w:cstheme="majorBidi"/>
                          </w:rPr>
                        </w:pPr>
                        <w:r>
                          <w:rPr>
                            <w:rFonts w:asciiTheme="majorBidi" w:hAnsiTheme="majorBidi" w:cstheme="majorBidi"/>
                          </w:rPr>
                          <w:t>Student comprehension of syllabus content</w:t>
                        </w:r>
                      </w:p>
                      <w:p w14:paraId="3636269E">
                        <w:pPr>
                          <w:spacing w:after="0" w:line="240" w:lineRule="auto"/>
                        </w:pPr>
                      </w:p>
                      <w:p w14:paraId="56743A0A">
                        <w:pPr>
                          <w:pStyle w:val="30"/>
                          <w:spacing w:after="0" w:line="240" w:lineRule="auto"/>
                          <w:rPr>
                            <w:sz w:val="20"/>
                            <w:szCs w:val="20"/>
                          </w:rPr>
                        </w:pPr>
                      </w:p>
                    </w:txbxContent>
                  </v:textbox>
                </v:shape>
                <v:shape id="Text Box 1" o:spid="_x0000_s1026" o:spt="202" type="#_x0000_t202" style="position:absolute;left:0;top:6400800;height:1226820;width:1866900;" fillcolor="#FFFFFF [3201]" filled="t" stroked="t" coordsize="21600,21600" o:gfxdata="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sGS&#10;BcEAAADiAAAADwAAAAAAAAABACAAAAAiAAAAZHJzL2Rvd25yZXYueG1sUEsBAhQAFAAAAAgAh07i&#10;QDMvBZ47AAAAOQAAABAAAAAAAAAAAQAgAAAAEAEAAGRycy9zaGFwZXhtbC54bWxQSwUGAAAAAAYA&#10;BgBbAQAAugMAAAAA&#10;">
                  <v:fill on="t" focussize="0,0"/>
                  <v:stroke weight="0.5pt" color="#000000" joinstyle="round"/>
                  <v:imagedata o:title=""/>
                  <o:lock v:ext="edit" aspectratio="f"/>
                  <v:textbox>
                    <w:txbxContent>
                      <w:p w14:paraId="43E365C7">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Social media</w:t>
                        </w:r>
                      </w:p>
                      <w:p w14:paraId="05C45C76">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Technological Access and Use</w:t>
                        </w:r>
                      </w:p>
                      <w:p w14:paraId="591BD430">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Distraction from academic preparation</w:t>
                        </w:r>
                      </w:p>
                      <w:p w14:paraId="1BA80D8E">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Cyber-assisted cheating methods</w:t>
                        </w:r>
                      </w:p>
                      <w:p w14:paraId="191CCB71">
                        <w:pPr>
                          <w:spacing w:after="0" w:line="240" w:lineRule="auto"/>
                          <w:rPr>
                            <w:rFonts w:asciiTheme="majorBidi" w:hAnsiTheme="majorBidi" w:cstheme="majorBidi"/>
                          </w:rPr>
                        </w:pPr>
                      </w:p>
                    </w:txbxContent>
                  </v:textbox>
                </v:shape>
                <v:shape id="Text Box 571007731" o:spid="_x0000_s1026" o:spt="202" type="#_x0000_t202" style="position:absolute;left:2571750;top:3886200;height:706573;width:1733550;" fillcolor="#FFFFFF [3201]" filled="t" stroked="t" coordsize="21600,21600" o:gfxdata="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BA62/&#10;AAAA4gAAAA8AAAAAAAAAAQAgAAAAIgAAAGRycy9kb3ducmV2LnhtbFBLAQIUABQAAAAIAIdO4kAz&#10;LwWeOwAAADkAAAAQAAAAAAAAAAEAIAAAAA4BAABkcnMvc2hhcGV4bWwueG1sUEsFBgAAAAAGAAYA&#10;WwEAALgDAAAAAA==&#10;">
                  <v:fill on="t" focussize="0,0"/>
                  <v:stroke weight="0.5pt" color="#000000 [3213]" joinstyle="round"/>
                  <v:imagedata o:title=""/>
                  <o:lock v:ext="edit" aspectratio="f"/>
                  <v:textbox>
                    <w:txbxContent>
                      <w:p w14:paraId="4C0ECB53">
                        <w:pPr>
                          <w:pStyle w:val="30"/>
                          <w:numPr>
                            <w:ilvl w:val="0"/>
                            <w:numId w:val="12"/>
                          </w:numPr>
                          <w:tabs>
                            <w:tab w:val="left" w:pos="18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Insecurity</w:t>
                        </w:r>
                      </w:p>
                      <w:p w14:paraId="6E9AFF2D">
                        <w:pPr>
                          <w:pStyle w:val="30"/>
                          <w:numPr>
                            <w:ilvl w:val="0"/>
                            <w:numId w:val="12"/>
                          </w:numPr>
                          <w:tabs>
                            <w:tab w:val="left" w:pos="180"/>
                            <w:tab w:val="left" w:pos="99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Dishonest Officials</w:t>
                        </w:r>
                      </w:p>
                      <w:p w14:paraId="4B3C465A">
                        <w:pPr>
                          <w:tabs>
                            <w:tab w:val="left" w:pos="180"/>
                          </w:tabs>
                          <w:rPr>
                            <w:rStyle w:val="19"/>
                            <w:rFonts w:asciiTheme="majorBidi" w:hAnsiTheme="majorBidi" w:cstheme="majorBidi"/>
                            <w:b w:val="0"/>
                            <w:bCs w:val="0"/>
                            <w:sz w:val="24"/>
                            <w:szCs w:val="24"/>
                          </w:rPr>
                        </w:pPr>
                      </w:p>
                    </w:txbxContent>
                  </v:textbox>
                </v:shape>
                <v:shape id="Text Box 936964449" o:spid="_x0000_s1026" o:spt="202" type="#_x0000_t202" style="position:absolute;left:2571750;top:3333750;height:560058;width:1733550;" fillcolor="#FFFFFF [3201]" filled="t" stroked="t" coordsize="21600,21600" o:gfxdata="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uvU/vQAA&#10;AOIAAAAPAAAAAAAAAAEAIAAAACIAAABkcnMvZG93bnJldi54bWxQSwECFAAUAAAACACHTuJAMy8F&#10;njsAAAA5AAAAEAAAAAAAAAABACAAAAAMAQAAZHJzL3NoYXBleG1sLnhtbFBLBQYAAAAABgAGAFsB&#10;AAC2AwAAAAA=&#10;">
                  <v:fill on="t" focussize="0,0"/>
                  <v:stroke weight="0.5pt" color="#000000 [3213]" joinstyle="round"/>
                  <v:imagedata o:title=""/>
                  <o:lock v:ext="edit" aspectratio="f"/>
                  <v:textbox>
                    <w:txbxContent>
                      <w:p w14:paraId="279D1746">
                        <w:pPr>
                          <w:jc w:val="center"/>
                          <w:rPr>
                            <w:rFonts w:asciiTheme="majorBidi" w:hAnsiTheme="majorBidi" w:cstheme="majorBidi"/>
                            <w:b/>
                            <w:bCs/>
                            <w:sz w:val="20"/>
                            <w:szCs w:val="20"/>
                          </w:rPr>
                        </w:pPr>
                        <w:r>
                          <w:rPr>
                            <w:rStyle w:val="19"/>
                            <w:rFonts w:asciiTheme="majorBidi" w:hAnsiTheme="majorBidi" w:cstheme="majorBidi"/>
                            <w:b w:val="0"/>
                            <w:bCs w:val="0"/>
                            <w:sz w:val="20"/>
                            <w:szCs w:val="20"/>
                          </w:rPr>
                          <w:t>INTERVENING VARIABLE</w:t>
                        </w:r>
                      </w:p>
                    </w:txbxContent>
                  </v:textbox>
                </v:shape>
                <v:shape id="Text Box 746068160" o:spid="_x0000_s1026" o:spt="202" type="#_x0000_t202" style="position:absolute;left:4724400;top:3362325;height:506145;width:1578610;" fillcolor="#FFFFFF [3201]" filled="t" stroked="t" coordsize="21600,21600" o:gfxdata="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H2U0vQAA&#10;AOMAAAAPAAAAAAAAAAEAIAAAACIAAABkcnMvZG93bnJldi54bWxQSwECFAAUAAAACACHTuJAMy8F&#10;njsAAAA5AAAAEAAAAAAAAAABACAAAAAMAQAAZHJzL3NoYXBleG1sLnhtbFBLBQYAAAAABgAGAFsB&#10;AAC2AwAAAAA=&#10;">
                  <v:fill on="t" focussize="0,0"/>
                  <v:stroke weight="0.5pt" color="#000000 [3213]" joinstyle="round"/>
                  <v:imagedata o:title=""/>
                  <o:lock v:ext="edit" aspectratio="f"/>
                  <v:textbox>
                    <w:txbxContent>
                      <w:p w14:paraId="21EE4ADE">
                        <w:pPr>
                          <w:spacing w:after="0"/>
                          <w:jc w:val="center"/>
                          <w:rPr>
                            <w:rStyle w:val="19"/>
                            <w:rFonts w:asciiTheme="majorBidi" w:hAnsiTheme="majorBidi" w:cstheme="majorBidi"/>
                            <w:sz w:val="20"/>
                            <w:szCs w:val="20"/>
                          </w:rPr>
                        </w:pPr>
                        <w:r>
                          <w:rPr>
                            <w:rStyle w:val="19"/>
                            <w:rFonts w:asciiTheme="majorBidi" w:hAnsiTheme="majorBidi" w:cstheme="majorBidi"/>
                            <w:b w:val="0"/>
                            <w:bCs w:val="0"/>
                            <w:sz w:val="20"/>
                            <w:szCs w:val="20"/>
                          </w:rPr>
                          <w:t>DEPENDENT VARIABLE (DV)</w:t>
                        </w:r>
                      </w:p>
                      <w:p w14:paraId="4DBAF180">
                        <w:pPr>
                          <w:jc w:val="center"/>
                          <w:rPr>
                            <w:b/>
                            <w:bCs/>
                          </w:rPr>
                        </w:pPr>
                      </w:p>
                    </w:txbxContent>
                  </v:textbox>
                </v:shape>
                <v:shape id="Straight Arrow Connector 6" o:spid="_x0000_s1026" o:spt="32" type="#_x0000_t32" style="position:absolute;left:2171700;top:4181475;height:9514;width:419100;" filled="f" stroked="t" coordsize="21600,21600" o:gfxdata="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bEsq/&#10;AAAA4g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6" o:spid="_x0000_s1026" o:spt="32" type="#_x0000_t32" style="position:absolute;left:4305300;top:4152900;height:9514;width:419100;" filled="f" stroked="t" coordsize="21600,21600" o:gfxdata="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KP&#10;GdHCAAAA4gAAAA8AAAAAAAAAAQAgAAAAIgAAAGRycy9kb3ducmV2LnhtbFBLAQIUABQAAAAIAIdO&#10;4kAzLwWeOwAAADkAAAAQAAAAAAAAAAEAIAAAABEBAABkcnMvc2hhcGV4bWwueG1sUEsFBgAAAAAG&#10;AAYAWwEAALsDAAAAAA==&#10;">
                  <v:fill on="f" focussize="0,0"/>
                  <v:stroke weight="1pt" color="#000000 [3213]" joinstyle="round" endarrow="block"/>
                  <v:imagedata o:title=""/>
                  <o:lock v:ext="edit" aspectratio="f"/>
                </v:shape>
                <v:shape id="Right Bracket 7" o:spid="_x0000_s1026" o:spt="86" type="#_x0000_t86" style="position:absolute;left:1866900;top:1219200;height:5762625;width:295275;v-text-anchor:middle;" filled="f" stroked="t" coordsize="21600,21600" o:gfxdata="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pXE&#10;PcEAAADjAAAADwAAAAAAAAABACAAAAAiAAAAZHJzL2Rvd25yZXYueG1sUEsBAhQAFAAAAAgAh07i&#10;QDMvBZ47AAAAOQAAABAAAAAAAAAAAQAgAAAAEAEAAGRycy9zaGFwZXhtbC54bWxQSwUGAAAAAAYA&#10;BgBbAQAAugMAAAAA&#10;" adj="92">
                  <v:fill on="f" focussize="0,0"/>
                  <v:stroke weight="1pt" color="#000000 [3213]" joinstyle="round"/>
                  <v:imagedata o:title=""/>
                  <o:lock v:ext="edit" aspectratio="f"/>
                </v:shape>
                <v:shape id="Straight Arrow Connector 12" o:spid="_x0000_s1026" o:spt="32" type="#_x0000_t32" style="position:absolute;left:1866900;top:2200275;height:8890;width:304800;" filled="f" stroked="t" coordsize="21600,21600" o:gfxdata="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jPem/&#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12" o:spid="_x0000_s1026" o:spt="32" type="#_x0000_t32" style="position:absolute;left:1866900;top:4410075;height:8890;width:304800;" filled="f" stroked="t" coordsize="21600,21600" o:gfxdata="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J0I+/&#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12" o:spid="_x0000_s1026" o:spt="32" type="#_x0000_t32" style="position:absolute;left:1876425;top:3209925;height:8890;width:304800;" filled="f" stroked="t" coordsize="21600,21600" o:gfxdata="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LQc2/&#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12" o:spid="_x0000_s1026" o:spt="32" type="#_x0000_t32" style="position:absolute;left:1876425;top:5657850;height:8890;width:304800;" filled="f" stroked="t" coordsize="21600,21600" o:gfxdata="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Ufrm/&#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group>
            </w:pict>
          </mc:Fallback>
        </mc:AlternateContent>
      </w:r>
    </w:p>
    <w:p w14:paraId="6836858F">
      <w:pPr>
        <w:rPr>
          <w:rFonts w:asciiTheme="majorBidi" w:hAnsiTheme="majorBidi" w:cstheme="majorBidi"/>
          <w:sz w:val="24"/>
          <w:szCs w:val="24"/>
        </w:rPr>
      </w:pPr>
    </w:p>
    <w:p w14:paraId="0EAEB20B">
      <w:pPr>
        <w:rPr>
          <w:rFonts w:asciiTheme="majorBidi" w:hAnsiTheme="majorBidi" w:cstheme="majorBidi"/>
          <w:sz w:val="24"/>
          <w:szCs w:val="24"/>
        </w:rPr>
      </w:pPr>
    </w:p>
    <w:p w14:paraId="5EF10378">
      <w:pPr>
        <w:rPr>
          <w:rFonts w:asciiTheme="majorBidi" w:hAnsiTheme="majorBidi" w:cstheme="majorBidi"/>
          <w:sz w:val="24"/>
          <w:szCs w:val="24"/>
        </w:rPr>
      </w:pPr>
    </w:p>
    <w:p w14:paraId="5F1F0AA1">
      <w:pPr>
        <w:rPr>
          <w:rFonts w:asciiTheme="majorBidi" w:hAnsiTheme="majorBidi" w:cstheme="majorBidi"/>
          <w:sz w:val="24"/>
          <w:szCs w:val="24"/>
        </w:rPr>
      </w:pPr>
    </w:p>
    <w:p w14:paraId="44E79BE1">
      <w:pPr>
        <w:rPr>
          <w:rFonts w:asciiTheme="majorBidi" w:hAnsiTheme="majorBidi" w:cstheme="majorBidi"/>
          <w:sz w:val="24"/>
          <w:szCs w:val="24"/>
        </w:rPr>
      </w:pPr>
    </w:p>
    <w:p w14:paraId="0453D4F8">
      <w:pPr>
        <w:rPr>
          <w:rFonts w:asciiTheme="majorBidi" w:hAnsiTheme="majorBidi" w:cstheme="majorBidi"/>
          <w:sz w:val="24"/>
          <w:szCs w:val="24"/>
        </w:rPr>
      </w:pPr>
    </w:p>
    <w:p w14:paraId="1F1DD37C">
      <w:pPr>
        <w:rPr>
          <w:rFonts w:asciiTheme="majorBidi" w:hAnsiTheme="majorBidi" w:cstheme="majorBidi"/>
          <w:sz w:val="24"/>
          <w:szCs w:val="24"/>
        </w:rPr>
      </w:pPr>
    </w:p>
    <w:p w14:paraId="56470806">
      <w:pPr>
        <w:rPr>
          <w:rFonts w:asciiTheme="majorBidi" w:hAnsiTheme="majorBidi" w:cstheme="majorBidi"/>
          <w:sz w:val="24"/>
          <w:szCs w:val="24"/>
        </w:rPr>
      </w:pPr>
    </w:p>
    <w:p w14:paraId="7E0BAF0F">
      <w:pPr>
        <w:rPr>
          <w:rFonts w:asciiTheme="majorBidi" w:hAnsiTheme="majorBidi" w:cstheme="majorBidi"/>
          <w:sz w:val="24"/>
          <w:szCs w:val="24"/>
        </w:rPr>
      </w:pPr>
    </w:p>
    <w:p w14:paraId="2147CD55">
      <w:pPr>
        <w:rPr>
          <w:rFonts w:asciiTheme="majorBidi" w:hAnsiTheme="majorBidi" w:cstheme="majorBidi"/>
          <w:sz w:val="24"/>
          <w:szCs w:val="24"/>
        </w:rPr>
      </w:pPr>
    </w:p>
    <w:p w14:paraId="5A9D0B85">
      <w:pPr>
        <w:rPr>
          <w:rFonts w:asciiTheme="majorBidi" w:hAnsiTheme="majorBidi" w:cstheme="majorBidi"/>
          <w:sz w:val="24"/>
          <w:szCs w:val="24"/>
        </w:rPr>
      </w:pPr>
    </w:p>
    <w:p w14:paraId="55CFDEC2">
      <w:pPr>
        <w:rPr>
          <w:rFonts w:asciiTheme="majorBidi" w:hAnsiTheme="majorBidi" w:cstheme="majorBidi"/>
          <w:sz w:val="24"/>
          <w:szCs w:val="24"/>
        </w:rPr>
      </w:pPr>
      <w:r>
        <w:rPr>
          <w:rFonts w:asciiTheme="majorBidi" w:hAnsiTheme="majorBidi" w:cstheme="majorBidi"/>
          <w:sz w:val="24"/>
          <w:szCs w:val="24"/>
        </w:rPr>
        <mc:AlternateContent>
          <mc:Choice Requires="wps">
            <w:drawing>
              <wp:anchor distT="0" distB="0" distL="114300" distR="114300" simplePos="0" relativeHeight="251660288" behindDoc="0" locked="0" layoutInCell="1" allowOverlap="1">
                <wp:simplePos x="0" y="0"/>
                <wp:positionH relativeFrom="column">
                  <wp:posOffset>4562475</wp:posOffset>
                </wp:positionH>
                <wp:positionV relativeFrom="paragraph">
                  <wp:posOffset>33655</wp:posOffset>
                </wp:positionV>
                <wp:extent cx="1578610" cy="742950"/>
                <wp:effectExtent l="0" t="0" r="21590" b="19050"/>
                <wp:wrapNone/>
                <wp:docPr id="998401337" name="Text Box 1298535272"/>
                <wp:cNvGraphicFramePr/>
                <a:graphic xmlns:a="http://schemas.openxmlformats.org/drawingml/2006/main">
                  <a:graphicData uri="http://schemas.microsoft.com/office/word/2010/wordprocessingShape">
                    <wps:wsp>
                      <wps:cNvSpPr txBox="1"/>
                      <wps:spPr>
                        <a:xfrm>
                          <a:off x="0" y="0"/>
                          <a:ext cx="1578610" cy="74295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4447DE4">
                            <w:pPr>
                              <w:rPr>
                                <w:rStyle w:val="19"/>
                                <w:rFonts w:asciiTheme="majorBidi" w:hAnsiTheme="majorBidi" w:cstheme="majorBidi"/>
                                <w:b w:val="0"/>
                                <w:bCs w:val="0"/>
                                <w:sz w:val="24"/>
                                <w:szCs w:val="24"/>
                              </w:rPr>
                            </w:pPr>
                            <w:bookmarkStart w:id="311" w:name="_Hlk194672742"/>
                            <w:bookmarkStart w:id="312" w:name="_Hlk194672743"/>
                            <w:r>
                              <w:rPr>
                                <w:rFonts w:asciiTheme="majorBidi" w:hAnsiTheme="majorBidi" w:cstheme="majorBidi"/>
                                <w:sz w:val="24"/>
                                <w:szCs w:val="24"/>
                              </w:rPr>
                              <w:t xml:space="preserve">Level of Exams Malpractices in </w:t>
                            </w:r>
                            <w:r>
                              <w:rPr>
                                <w:rStyle w:val="19"/>
                                <w:rFonts w:asciiTheme="majorBidi" w:hAnsiTheme="majorBidi" w:cstheme="majorBidi"/>
                                <w:b w:val="0"/>
                                <w:bCs w:val="0"/>
                                <w:sz w:val="24"/>
                                <w:szCs w:val="24"/>
                              </w:rPr>
                              <w:t>KCSE</w:t>
                            </w:r>
                            <w:bookmarkEnd w:id="311"/>
                            <w:bookmarkEnd w:id="31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98535272" o:spid="_x0000_s1026" o:spt="202" type="#_x0000_t202" style="position:absolute;left:0pt;margin-left:359.25pt;margin-top:2.65pt;height:58.5pt;width:124.3pt;z-index:251660288;mso-width-relative:page;mso-height-relative:page;" fillcolor="#FFFFFF [3201]" filled="t" stroked="t" coordsize="21600,21600" o:gfxdata="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fGCvOdYA&#10;AAAJAQAADwAAAAAAAAABACAAAAAiAAAAZHJzL2Rvd25yZXYueG1sUEsBAhQAFAAAAAgAh07iQNjZ&#10;RzVaAgAA1gQAAA4AAAAAAAAAAQAgAAAAJQEAAGRycy9lMm9Eb2MueG1sUEsFBgAAAAAGAAYAWQEA&#10;APEFAAAAAA==&#10;">
                <v:fill on="t" focussize="0,0"/>
                <v:stroke weight="0.5pt" color="#000000 [3213]" joinstyle="round"/>
                <v:imagedata o:title=""/>
                <o:lock v:ext="edit" aspectratio="f"/>
                <v:textbox>
                  <w:txbxContent>
                    <w:p w14:paraId="14447DE4">
                      <w:pPr>
                        <w:rPr>
                          <w:rStyle w:val="19"/>
                          <w:rFonts w:asciiTheme="majorBidi" w:hAnsiTheme="majorBidi" w:cstheme="majorBidi"/>
                          <w:b w:val="0"/>
                          <w:bCs w:val="0"/>
                          <w:sz w:val="24"/>
                          <w:szCs w:val="24"/>
                        </w:rPr>
                      </w:pPr>
                      <w:bookmarkStart w:id="311" w:name="_Hlk194672742"/>
                      <w:bookmarkStart w:id="312" w:name="_Hlk194672743"/>
                      <w:r>
                        <w:rPr>
                          <w:rFonts w:asciiTheme="majorBidi" w:hAnsiTheme="majorBidi" w:cstheme="majorBidi"/>
                          <w:sz w:val="24"/>
                          <w:szCs w:val="24"/>
                        </w:rPr>
                        <w:t xml:space="preserve">Level of Exams Malpractices in </w:t>
                      </w:r>
                      <w:r>
                        <w:rPr>
                          <w:rStyle w:val="19"/>
                          <w:rFonts w:asciiTheme="majorBidi" w:hAnsiTheme="majorBidi" w:cstheme="majorBidi"/>
                          <w:b w:val="0"/>
                          <w:bCs w:val="0"/>
                          <w:sz w:val="24"/>
                          <w:szCs w:val="24"/>
                        </w:rPr>
                        <w:t>KCSE</w:t>
                      </w:r>
                      <w:bookmarkEnd w:id="311"/>
                      <w:bookmarkEnd w:id="312"/>
                    </w:p>
                  </w:txbxContent>
                </v:textbox>
              </v:shape>
            </w:pict>
          </mc:Fallback>
        </mc:AlternateContent>
      </w:r>
    </w:p>
    <w:p w14:paraId="22A19278">
      <w:pPr>
        <w:rPr>
          <w:rFonts w:asciiTheme="majorBidi" w:hAnsiTheme="majorBidi" w:cstheme="majorBidi"/>
          <w:sz w:val="24"/>
          <w:szCs w:val="24"/>
        </w:rPr>
      </w:pPr>
    </w:p>
    <w:p w14:paraId="2B7CBED7">
      <w:pPr>
        <w:spacing w:after="0" w:line="240" w:lineRule="auto"/>
        <w:rPr>
          <w:rFonts w:asciiTheme="majorBidi" w:hAnsiTheme="majorBidi" w:cstheme="majorBidi"/>
          <w:sz w:val="24"/>
          <w:szCs w:val="24"/>
        </w:rPr>
      </w:pPr>
    </w:p>
    <w:p w14:paraId="6BB20F40">
      <w:pPr>
        <w:rPr>
          <w:rFonts w:asciiTheme="majorBidi" w:hAnsiTheme="majorBidi" w:cstheme="majorBidi"/>
          <w:sz w:val="24"/>
          <w:szCs w:val="24"/>
        </w:rPr>
      </w:pPr>
    </w:p>
    <w:p w14:paraId="28FFFF97">
      <w:pPr>
        <w:rPr>
          <w:rFonts w:asciiTheme="majorBidi" w:hAnsiTheme="majorBidi" w:cstheme="majorBidi"/>
          <w:sz w:val="24"/>
          <w:szCs w:val="24"/>
        </w:rPr>
      </w:pPr>
    </w:p>
    <w:p w14:paraId="7FFD08B6">
      <w:pPr>
        <w:rPr>
          <w:rFonts w:asciiTheme="majorBidi" w:hAnsiTheme="majorBidi" w:cstheme="majorBidi"/>
          <w:sz w:val="24"/>
          <w:szCs w:val="24"/>
        </w:rPr>
      </w:pPr>
    </w:p>
    <w:p w14:paraId="29442B8D">
      <w:pPr>
        <w:rPr>
          <w:rFonts w:asciiTheme="majorBidi" w:hAnsiTheme="majorBidi" w:cstheme="majorBidi"/>
          <w:sz w:val="24"/>
          <w:szCs w:val="24"/>
        </w:rPr>
      </w:pPr>
    </w:p>
    <w:p w14:paraId="37477666">
      <w:pPr>
        <w:rPr>
          <w:rFonts w:asciiTheme="majorBidi" w:hAnsiTheme="majorBidi" w:cstheme="majorBidi"/>
          <w:sz w:val="24"/>
          <w:szCs w:val="24"/>
        </w:rPr>
      </w:pPr>
    </w:p>
    <w:p w14:paraId="4B95E70B">
      <w:pPr>
        <w:rPr>
          <w:rFonts w:asciiTheme="majorBidi" w:hAnsiTheme="majorBidi" w:cstheme="majorBidi"/>
          <w:sz w:val="24"/>
          <w:szCs w:val="24"/>
        </w:rPr>
      </w:pPr>
    </w:p>
    <w:p w14:paraId="50CD6F7B">
      <w:pPr>
        <w:rPr>
          <w:rFonts w:asciiTheme="majorBidi" w:hAnsiTheme="majorBidi" w:cstheme="majorBidi"/>
          <w:sz w:val="24"/>
          <w:szCs w:val="24"/>
        </w:rPr>
      </w:pPr>
    </w:p>
    <w:p w14:paraId="743A9D65">
      <w:pPr>
        <w:rPr>
          <w:rFonts w:asciiTheme="majorBidi" w:hAnsiTheme="majorBidi" w:cstheme="majorBidi"/>
          <w:sz w:val="24"/>
          <w:szCs w:val="24"/>
        </w:rPr>
      </w:pPr>
    </w:p>
    <w:p w14:paraId="092EA210">
      <w:pPr>
        <w:rPr>
          <w:rStyle w:val="19"/>
          <w:rFonts w:asciiTheme="majorBidi" w:hAnsiTheme="majorBidi"/>
          <w:i/>
          <w:iCs/>
          <w:sz w:val="24"/>
          <w:szCs w:val="24"/>
        </w:rPr>
      </w:pPr>
    </w:p>
    <w:p w14:paraId="1171564F">
      <w:pPr>
        <w:pStyle w:val="2"/>
        <w:spacing w:before="0"/>
        <w:rPr>
          <w:rStyle w:val="19"/>
          <w:rFonts w:asciiTheme="majorBidi" w:hAnsiTheme="majorBidi"/>
          <w:b w:val="0"/>
          <w:bCs w:val="0"/>
          <w:color w:val="auto"/>
          <w:sz w:val="24"/>
          <w:szCs w:val="24"/>
        </w:rPr>
      </w:pPr>
      <w:bookmarkStart w:id="24" w:name="_Toc194822592"/>
      <w:bookmarkStart w:id="25" w:name="_Toc194763000"/>
      <w:bookmarkStart w:id="26" w:name="_Toc194769872"/>
      <w:r>
        <w:rPr>
          <w:rStyle w:val="19"/>
          <w:rFonts w:asciiTheme="majorBidi" w:hAnsiTheme="majorBidi"/>
          <w:b w:val="0"/>
          <w:bCs w:val="0"/>
          <w:i/>
          <w:iCs/>
          <w:color w:val="auto"/>
          <w:sz w:val="24"/>
          <w:szCs w:val="24"/>
        </w:rPr>
        <w:t xml:space="preserve">Figure </w:t>
      </w:r>
      <w:r>
        <w:rPr>
          <w:rStyle w:val="19"/>
          <w:rFonts w:asciiTheme="majorBidi" w:hAnsiTheme="majorBidi"/>
          <w:b w:val="0"/>
          <w:bCs w:val="0"/>
          <w:color w:val="auto"/>
          <w:sz w:val="24"/>
          <w:szCs w:val="24"/>
        </w:rPr>
        <w:t>1: Conceptual framework</w:t>
      </w:r>
      <w:bookmarkEnd w:id="24"/>
      <w:bookmarkEnd w:id="25"/>
      <w:bookmarkEnd w:id="26"/>
    </w:p>
    <w:p w14:paraId="0D916A9F"/>
    <w:p w14:paraId="2FDC79EA">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Conceptual framework was aimed to provide a visual representation of how various factors influence academic integrity and examination malpractices in the study area. It helped visualize the factors that determine academic integrity and examination malpractices in secondary schools in Garissa Township Sub County that supports a holistic understanding of the issue. </w:t>
      </w:r>
    </w:p>
    <w:p w14:paraId="383DDDC0">
      <w:pPr>
        <w:spacing w:line="480" w:lineRule="auto"/>
        <w:jc w:val="both"/>
        <w:rPr>
          <w:rFonts w:asciiTheme="majorBidi" w:hAnsiTheme="majorBidi" w:cstheme="majorBidi"/>
          <w:sz w:val="24"/>
          <w:szCs w:val="24"/>
        </w:rPr>
      </w:pPr>
      <w:r>
        <w:rPr>
          <w:rFonts w:asciiTheme="majorBidi" w:hAnsiTheme="majorBidi" w:cstheme="majorBidi"/>
          <w:sz w:val="24"/>
          <w:szCs w:val="24"/>
        </w:rPr>
        <w:t>The determinants of academic integrity and examination malpractices are complex and multifaceted. They often involve individual, institutional, societal, and environmental factors that can either promote ethical behavior or facilitate dishonest actions in academic settings. Peer pressure can be a significant determinant of whether students engage in academic integrity or resort to malpractices during exams. Peer influence can either encourage ethical behavior or promote unethical practices. Group Normalization and Behavior of Cheating can be a good indicator,</w:t>
      </w:r>
      <w:r>
        <w:rPr>
          <w:rFonts w:asciiTheme="majorBidi" w:hAnsiTheme="majorBidi" w:cstheme="majorBidi"/>
          <w:b/>
          <w:bCs/>
          <w:sz w:val="24"/>
          <w:szCs w:val="24"/>
        </w:rPr>
        <w:t xml:space="preserve"> </w:t>
      </w:r>
      <w:r>
        <w:rPr>
          <w:rFonts w:asciiTheme="majorBidi" w:hAnsiTheme="majorBidi" w:cstheme="majorBidi"/>
          <w:sz w:val="24"/>
          <w:szCs w:val="24"/>
        </w:rPr>
        <w:t>if a student is in a social group where cheating or other forms of academic dishonesty are common, they might feel compelled to join in to avoid being left out or to fit in. Sometimes, students collaborate to cheat during exams, share notes, or distribute answers. If the group does this openly, the peer pressure to conform becomes a significant factor. Likewise, students who openly encourage their peer or suggest or even pressure to cheat on assignments, exams, or homework can significantly influence their peers' decisions to engage in dishonest practices. In highly competitive environments</w:t>
      </w:r>
      <w:r>
        <w:rPr>
          <w:rFonts w:asciiTheme="majorBidi" w:hAnsiTheme="majorBidi" w:cstheme="majorBidi"/>
          <w:b/>
          <w:bCs/>
          <w:sz w:val="24"/>
          <w:szCs w:val="24"/>
        </w:rPr>
        <w:t xml:space="preserve"> </w:t>
      </w:r>
      <w:r>
        <w:rPr>
          <w:rFonts w:asciiTheme="majorBidi" w:hAnsiTheme="majorBidi" w:cstheme="majorBidi"/>
          <w:sz w:val="24"/>
          <w:szCs w:val="24"/>
        </w:rPr>
        <w:t>among Peers, students may resort to malpractices due to the pressure to outperform others. This pressure might be direct, through the fear of losing out to others, or indirect, through the culture of "winning" or "getting ahead" that dominates the peer group.</w:t>
      </w:r>
    </w:p>
    <w:p w14:paraId="3870DD20">
      <w:pPr>
        <w:spacing w:line="480" w:lineRule="auto"/>
        <w:jc w:val="both"/>
        <w:rPr>
          <w:rFonts w:asciiTheme="majorBidi" w:hAnsiTheme="majorBidi" w:cstheme="majorBidi"/>
          <w:sz w:val="24"/>
          <w:szCs w:val="24"/>
        </w:rPr>
      </w:pPr>
      <w:r>
        <w:rPr>
          <w:rFonts w:asciiTheme="majorBidi" w:hAnsiTheme="majorBidi" w:cstheme="majorBidi"/>
          <w:sz w:val="24"/>
          <w:szCs w:val="24"/>
        </w:rPr>
        <w:t>Parental involvement plays a dual role in shaping a student's approach to academic integrity. Both positive and negative forms of involvement can influence whether a student adheres to ethical standards in academics. Supportive Parenting</w:t>
      </w:r>
      <w:r>
        <w:rPr>
          <w:rFonts w:asciiTheme="majorBidi" w:hAnsiTheme="majorBidi" w:cstheme="majorBidi"/>
          <w:b/>
          <w:bCs/>
          <w:sz w:val="24"/>
          <w:szCs w:val="24"/>
        </w:rPr>
        <w:t xml:space="preserve"> </w:t>
      </w:r>
      <w:r>
        <w:rPr>
          <w:rFonts w:asciiTheme="majorBidi" w:hAnsiTheme="majorBidi" w:cstheme="majorBidi"/>
          <w:sz w:val="24"/>
          <w:szCs w:val="24"/>
        </w:rPr>
        <w:t>who stresses the importance of hard work, fairness, and integrity can help foster a strong sense of academic ethics in their children. Parents who offer support in terms of time, resources and a conducive study environment can reduce the likelihood of students engaging in malpractices due to feeling unprepared or stressed. Similarly, Parents who place intense pressure on their children to perform well academically without regard for the methods used to achieve those results can inadvertently encourage cheating. In some cases, parents may not take an active interest in their child’s academic journey. Lack of involvement can leave students more vulnerable to peer pressure and the temptation to cheat, especially if they don’t feel accountable to their parents for their academic behavior.</w:t>
      </w:r>
    </w:p>
    <w:p w14:paraId="5CDFEE50">
      <w:pPr>
        <w:spacing w:after="0" w:line="480" w:lineRule="auto"/>
        <w:jc w:val="both"/>
        <w:rPr>
          <w:rFonts w:asciiTheme="majorBidi" w:hAnsiTheme="majorBidi" w:cstheme="majorBidi"/>
          <w:sz w:val="24"/>
          <w:szCs w:val="24"/>
        </w:rPr>
      </w:pPr>
      <w:r>
        <w:rPr>
          <w:rFonts w:asciiTheme="majorBidi" w:hAnsiTheme="majorBidi" w:cstheme="majorBidi"/>
          <w:sz w:val="24"/>
          <w:szCs w:val="24"/>
        </w:rPr>
        <w:t>High Expectations</w:t>
      </w:r>
      <w:r>
        <w:rPr>
          <w:rFonts w:asciiTheme="majorBidi" w:hAnsiTheme="majorBidi" w:cstheme="majorBidi"/>
          <w:b/>
          <w:bCs/>
          <w:sz w:val="24"/>
          <w:szCs w:val="24"/>
        </w:rPr>
        <w:t xml:space="preserve"> </w:t>
      </w:r>
      <w:r>
        <w:rPr>
          <w:rFonts w:asciiTheme="majorBidi" w:hAnsiTheme="majorBidi" w:cstheme="majorBidi"/>
          <w:sz w:val="24"/>
          <w:szCs w:val="24"/>
        </w:rPr>
        <w:t>that put</w:t>
      </w:r>
      <w:r>
        <w:rPr>
          <w:rFonts w:asciiTheme="majorBidi" w:hAnsiTheme="majorBidi" w:cstheme="majorBidi"/>
          <w:b/>
          <w:bCs/>
          <w:sz w:val="24"/>
          <w:szCs w:val="24"/>
        </w:rPr>
        <w:t xml:space="preserve"> </w:t>
      </w:r>
      <w:r>
        <w:rPr>
          <w:rFonts w:asciiTheme="majorBidi" w:hAnsiTheme="majorBidi" w:cstheme="majorBidi"/>
          <w:sz w:val="24"/>
          <w:szCs w:val="24"/>
        </w:rPr>
        <w:t>Intense pressure from parents, peers, or educational systems to perform well can lead students to engage in malpractices as a way to meet those expectations. The fear of failure can be a powerful motivator for dishonest behavior. If academic success is solely defined by grades rather than learning or personal growth, students may be more likely to resort to malpractices to achieve high marks. The perception of better career opportunities can lead students to see honesty as a way to prepare for ethical careers. Students’ perception of how academic integrity affects employability and future career success is a good indicator.</w:t>
      </w:r>
    </w:p>
    <w:p w14:paraId="15C65D2A">
      <w:pPr>
        <w:spacing w:line="480" w:lineRule="auto"/>
        <w:jc w:val="both"/>
        <w:rPr>
          <w:rFonts w:asciiTheme="majorBidi" w:hAnsiTheme="majorBidi" w:cstheme="majorBidi"/>
          <w:sz w:val="24"/>
          <w:szCs w:val="24"/>
        </w:rPr>
      </w:pPr>
      <w:r>
        <w:rPr>
          <w:rFonts w:asciiTheme="majorBidi" w:hAnsiTheme="majorBidi" w:cstheme="majorBidi"/>
          <w:sz w:val="24"/>
          <w:szCs w:val="24"/>
        </w:rPr>
        <w:t>The way in which teachers approach academic instruction can significantly affect students' understanding and commitment to academic integrity. Teaching approaches that focus on understanding the subject matter and developing critical thinking skills rather than rote memorization can reduce the temptation to cheat. Students are less likely to feel unprepared and more likely to appreciate the learning process. Teaching methods that encourage active learning and collaboration in an ethical way such as structured group projects or peer-reviewed assignments can reduce isolation and competition, which might otherwise encourage cheating. Fair and effective</w:t>
      </w:r>
      <w:r>
        <w:rPr>
          <w:rFonts w:asciiTheme="majorBidi" w:hAnsiTheme="majorBidi" w:cstheme="majorBidi"/>
          <w:b/>
          <w:bCs/>
          <w:sz w:val="24"/>
          <w:szCs w:val="24"/>
        </w:rPr>
        <w:t xml:space="preserve"> </w:t>
      </w:r>
      <w:r>
        <w:rPr>
          <w:rFonts w:asciiTheme="majorBidi" w:hAnsiTheme="majorBidi" w:cstheme="majorBidi"/>
          <w:sz w:val="24"/>
          <w:szCs w:val="24"/>
        </w:rPr>
        <w:t>use of diverse assessment methods, such as open-book tests, take-home assignments, project-based assessments, and discussions, may reduce the temptation to cheat, as these methods require application of knowledge rather than rote memorization.</w:t>
      </w:r>
    </w:p>
    <w:p w14:paraId="75F0CF86">
      <w:pPr>
        <w:spacing w:after="160" w:line="480" w:lineRule="auto"/>
        <w:jc w:val="both"/>
        <w:rPr>
          <w:rFonts w:asciiTheme="majorBidi" w:hAnsiTheme="majorBidi" w:cstheme="majorBidi"/>
          <w:sz w:val="24"/>
          <w:szCs w:val="24"/>
        </w:rPr>
      </w:pPr>
      <w:r>
        <w:rPr>
          <w:rFonts w:asciiTheme="majorBidi" w:hAnsiTheme="majorBidi" w:cstheme="majorBidi"/>
          <w:sz w:val="24"/>
          <w:szCs w:val="24"/>
        </w:rPr>
        <w:t>Availability of learning materials where number of students reporting access to recommended books and study materials is a good indicator that inadequate textbooks and learning resources contribute to incomplete syllabus coverage. If the syllabus is rushed, students may not understand concepts well, leading to malpractice. Student perceptions of whether the pace of syllabus coverage is too fast or slow will have effect to their attitudes towards cheating. Student comprehension of syllabus content is very important, even if the syllabus is covered, if students don’t understand, they might cheat. Student performance in internal assessments before final exams is a good indicator as well.</w:t>
      </w:r>
    </w:p>
    <w:p w14:paraId="32563B85">
      <w:pPr>
        <w:spacing w:after="0" w:line="480" w:lineRule="auto"/>
        <w:jc w:val="both"/>
        <w:rPr>
          <w:rFonts w:asciiTheme="majorBidi" w:hAnsiTheme="majorBidi" w:cstheme="majorBidi"/>
          <w:sz w:val="24"/>
          <w:szCs w:val="24"/>
        </w:rPr>
      </w:pPr>
      <w:r>
        <w:rPr>
          <w:rFonts w:asciiTheme="majorBidi" w:hAnsiTheme="majorBidi" w:cstheme="majorBidi"/>
          <w:sz w:val="24"/>
          <w:szCs w:val="24"/>
        </w:rPr>
        <w:t>Technological Access and Use with the rise of online education, students have greater access to digital resources, including potential opportunities for cheating. The proliferation of smartphones, smartwatches, and other electronic devices during exams has made cheating easier. Access to these devices, especially if monitoring is insufficient, increases the likelihood of malpractice. Distraction from academic preparation that was led by excessive time on social media reduces study time, increasing the temptation to cheat. Cyber-assisted cheating</w:t>
      </w:r>
      <w:r>
        <w:rPr>
          <w:rFonts w:asciiTheme="majorBidi" w:hAnsiTheme="majorBidi" w:cstheme="majorBidi"/>
          <w:b/>
          <w:bCs/>
          <w:sz w:val="24"/>
          <w:szCs w:val="24"/>
        </w:rPr>
        <w:t xml:space="preserve"> </w:t>
      </w:r>
      <w:r>
        <w:rPr>
          <w:rFonts w:asciiTheme="majorBidi" w:hAnsiTheme="majorBidi" w:cstheme="majorBidi"/>
          <w:sz w:val="24"/>
          <w:szCs w:val="24"/>
        </w:rPr>
        <w:t>methods that some students use mobile phones during exams to search for answers is an Indicator that is supported by the number of reported cases of students caught with phones during exams.</w:t>
      </w:r>
    </w:p>
    <w:p w14:paraId="2887E659">
      <w:pPr>
        <w:spacing w:line="480" w:lineRule="auto"/>
        <w:jc w:val="both"/>
        <w:rPr>
          <w:rFonts w:asciiTheme="majorBidi" w:hAnsiTheme="majorBidi" w:cstheme="majorBidi"/>
          <w:sz w:val="24"/>
          <w:szCs w:val="24"/>
        </w:rPr>
      </w:pPr>
      <w:r>
        <w:rPr>
          <w:rFonts w:asciiTheme="majorBidi" w:hAnsiTheme="majorBidi" w:cstheme="majorBidi"/>
          <w:sz w:val="24"/>
          <w:szCs w:val="24"/>
        </w:rPr>
        <w:t>Some principals visit the Sub-County Directors of Education with proposals on their desired supervisors.  Some schools levy motivational fees on parents to pay examiners, bribe invigilators, security officers, supervisors, MoE and KNEC officials (Newsbyte 2022). The insecurity has hit the education sector hard since 2018, when Al-Shabaab began attacking schools and killing teachers (Crisis Group Africa Briefing, 2020). The claim of insecurity that the insurgent group will attack the KNEC monitors if they go to the interior schools eased the exam malpractices to intensify.</w:t>
      </w:r>
    </w:p>
    <w:p w14:paraId="75659222">
      <w:pPr>
        <w:pStyle w:val="2"/>
        <w:numPr>
          <w:ilvl w:val="0"/>
          <w:numId w:val="1"/>
        </w:numPr>
        <w:ind w:hanging="720"/>
        <w:rPr>
          <w:rFonts w:asciiTheme="majorBidi" w:hAnsiTheme="majorBidi"/>
          <w:color w:val="auto"/>
          <w:sz w:val="24"/>
          <w:szCs w:val="24"/>
        </w:rPr>
      </w:pPr>
      <w:bookmarkStart w:id="27" w:name="_Toc194822593"/>
      <w:r>
        <w:rPr>
          <w:rFonts w:asciiTheme="majorBidi" w:hAnsiTheme="majorBidi"/>
          <w:color w:val="auto"/>
          <w:sz w:val="24"/>
          <w:szCs w:val="24"/>
        </w:rPr>
        <w:t>Assumptions of the Study</w:t>
      </w:r>
      <w:bookmarkEnd w:id="27"/>
    </w:p>
    <w:p w14:paraId="54A42926">
      <w:pPr>
        <w:pStyle w:val="17"/>
        <w:spacing w:line="480" w:lineRule="auto"/>
        <w:jc w:val="both"/>
        <w:rPr>
          <w:rFonts w:asciiTheme="majorBidi" w:hAnsiTheme="majorBidi" w:cstheme="majorBidi"/>
        </w:rPr>
      </w:pPr>
      <w:r>
        <w:rPr>
          <w:rFonts w:asciiTheme="majorBidi" w:hAnsiTheme="majorBidi" w:cstheme="majorBidi"/>
        </w:rPr>
        <w:t>The assumptions of this thesis were the underlying beliefs or premises that guided the research process. They were essential to clarify the researcher's perspective and provided context for the study. In the context of the research project on the Determinants of Academic Integrity and Examination Malpractices in Secondary Schools in Garissa Township Sub- County, Kenya, the following assumptions were made:</w:t>
      </w:r>
    </w:p>
    <w:p w14:paraId="38CB67F4">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The research assumed that students' attitudes, behaviors, and ethical decision-making during examinations were influenced by their social environment, including peers, teachers, and the broader community.</w:t>
      </w:r>
    </w:p>
    <w:p w14:paraId="6E5FCA9D">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The study assumed that community attitudes, societal norms, and parental expectations play a role in shaping students' attitudes and behaviors during examinations.</w:t>
      </w:r>
    </w:p>
    <w:p w14:paraId="6BECD41B">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It was assumed that perceived benefits and society expectation disparities among students can influence examination integrity, with students from disadvantaged backgrounds potentially facing additional challenges.</w:t>
      </w:r>
    </w:p>
    <w:p w14:paraId="7791FF60">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It was assumed that the behavior and practices of teachers and school administrators have a significant impact on examination integrity, either positively or negatively.</w:t>
      </w:r>
    </w:p>
    <w:p w14:paraId="36FEF18C">
      <w:pPr>
        <w:pStyle w:val="30"/>
        <w:numPr>
          <w:ilvl w:val="0"/>
          <w:numId w:val="13"/>
        </w:numPr>
        <w:tabs>
          <w:tab w:val="left" w:pos="360"/>
          <w:tab w:val="clear" w:pos="720"/>
        </w:tabs>
        <w:spacing w:line="480" w:lineRule="auto"/>
        <w:ind w:left="360"/>
        <w:rPr>
          <w:rFonts w:asciiTheme="majorBidi" w:hAnsiTheme="majorBidi" w:cstheme="majorBidi"/>
          <w:b/>
          <w:bCs/>
          <w:sz w:val="24"/>
          <w:szCs w:val="24"/>
        </w:rPr>
      </w:pPr>
      <w:r>
        <w:rPr>
          <w:rFonts w:asciiTheme="majorBidi" w:hAnsiTheme="majorBidi" w:cstheme="majorBidi"/>
          <w:sz w:val="24"/>
          <w:szCs w:val="24"/>
        </w:rPr>
        <w:t>The research assumed that educational institutions have the potential to shape academic integrity and examination malpractices through their policies, practices, and institutional culture on</w:t>
      </w:r>
      <w:r>
        <w:rPr>
          <w:rStyle w:val="19"/>
          <w:rFonts w:asciiTheme="majorBidi" w:hAnsiTheme="majorBidi" w:cstheme="majorBidi"/>
          <w:sz w:val="24"/>
          <w:szCs w:val="24"/>
        </w:rPr>
        <w:t xml:space="preserve"> </w:t>
      </w:r>
      <w:r>
        <w:rPr>
          <w:rStyle w:val="19"/>
          <w:rFonts w:asciiTheme="majorBidi" w:hAnsiTheme="majorBidi" w:cstheme="majorBidi"/>
          <w:b w:val="0"/>
          <w:bCs w:val="0"/>
          <w:sz w:val="24"/>
          <w:szCs w:val="24"/>
        </w:rPr>
        <w:t>syllabus coverage</w:t>
      </w:r>
      <w:r>
        <w:rPr>
          <w:rFonts w:asciiTheme="majorBidi" w:hAnsiTheme="majorBidi" w:cstheme="majorBidi"/>
          <w:b/>
          <w:bCs/>
          <w:sz w:val="24"/>
          <w:szCs w:val="24"/>
        </w:rPr>
        <w:t>.</w:t>
      </w:r>
    </w:p>
    <w:p w14:paraId="6D856272">
      <w:pPr>
        <w:pStyle w:val="30"/>
        <w:numPr>
          <w:ilvl w:val="0"/>
          <w:numId w:val="13"/>
        </w:numPr>
        <w:tabs>
          <w:tab w:val="left" w:pos="360"/>
          <w:tab w:val="clear" w:pos="720"/>
        </w:tabs>
        <w:spacing w:line="480" w:lineRule="auto"/>
        <w:ind w:left="360"/>
        <w:rPr>
          <w:rFonts w:asciiTheme="majorBidi" w:hAnsiTheme="majorBidi" w:cstheme="majorBidi"/>
          <w:b/>
          <w:bCs/>
          <w:sz w:val="24"/>
          <w:szCs w:val="24"/>
        </w:rPr>
      </w:pPr>
      <w:r>
        <w:rPr>
          <w:rFonts w:asciiTheme="majorBidi" w:hAnsiTheme="majorBidi" w:cstheme="majorBidi"/>
          <w:sz w:val="24"/>
          <w:szCs w:val="24"/>
        </w:rPr>
        <w:t>It was assumed that the extent to which technological tools such as using of mobile phones enable or facilitate examination have a significant impact on examination integrity, either positively or negatively.</w:t>
      </w:r>
    </w:p>
    <w:p w14:paraId="311EA068">
      <w:pPr>
        <w:pStyle w:val="17"/>
        <w:spacing w:line="480" w:lineRule="auto"/>
        <w:jc w:val="both"/>
        <w:rPr>
          <w:rFonts w:asciiTheme="majorBidi" w:hAnsiTheme="majorBidi" w:cstheme="majorBidi"/>
          <w:b/>
          <w:bCs/>
        </w:rPr>
      </w:pPr>
      <w:r>
        <w:rPr>
          <w:rFonts w:asciiTheme="majorBidi" w:hAnsiTheme="majorBidi" w:cstheme="majorBidi"/>
        </w:rPr>
        <w:t>These assumptions served as the foundational principles upon which the thesis was built and guided the study's approach to understanding the Determinants of Academic Integrity and Examination Malpractices in Secondary Schools in Garissa Township Sub- County.</w:t>
      </w:r>
    </w:p>
    <w:p w14:paraId="7EFC8C52">
      <w:pPr>
        <w:pStyle w:val="2"/>
        <w:numPr>
          <w:ilvl w:val="0"/>
          <w:numId w:val="1"/>
        </w:numPr>
        <w:ind w:hanging="720"/>
        <w:rPr>
          <w:rFonts w:asciiTheme="majorBidi" w:hAnsiTheme="majorBidi"/>
          <w:color w:val="auto"/>
          <w:sz w:val="24"/>
          <w:szCs w:val="24"/>
        </w:rPr>
      </w:pPr>
      <w:bookmarkStart w:id="28" w:name="_Toc194822594"/>
      <w:r>
        <w:rPr>
          <w:rFonts w:asciiTheme="majorBidi" w:hAnsiTheme="majorBidi"/>
          <w:color w:val="auto"/>
          <w:sz w:val="24"/>
          <w:szCs w:val="24"/>
        </w:rPr>
        <w:t>Limitations of the study</w:t>
      </w:r>
      <w:bookmarkEnd w:id="28"/>
      <w:r>
        <w:rPr>
          <w:rFonts w:asciiTheme="majorBidi" w:hAnsiTheme="majorBidi"/>
          <w:color w:val="auto"/>
          <w:sz w:val="24"/>
          <w:szCs w:val="24"/>
        </w:rPr>
        <w:t xml:space="preserve"> </w:t>
      </w:r>
    </w:p>
    <w:p w14:paraId="39A01E20">
      <w:pPr>
        <w:pStyle w:val="17"/>
        <w:spacing w:line="480" w:lineRule="auto"/>
        <w:jc w:val="both"/>
        <w:rPr>
          <w:rFonts w:asciiTheme="majorBidi" w:hAnsiTheme="majorBidi" w:cstheme="majorBidi"/>
        </w:rPr>
      </w:pPr>
      <w:r>
        <w:rPr>
          <w:rFonts w:asciiTheme="majorBidi" w:hAnsiTheme="majorBidi" w:cstheme="majorBidi"/>
        </w:rPr>
        <w:t>The study was limited to the sample size. Due to logistical constraints, it was not feasible to include a large and diverse sample. Respondents may have underreported unethical behaviors due to social desirability bias, potentially leading to an incomplete understanding of the determinants of academic integrity and examination malpractices; a descriptive survey design might not have captured the dynamic nature of academic dishonesty, missing out on insights into its cause and consequences over time. The tools used to measure might have lacked reliability or validity, affecting the accuracy of the data collected. Constraints related to time, funding, and access to specific schools or stakeholders could have restricted the extent of data collection and analysis. Some participants may have been hesitant to openly discuss issues related to cheating and unethical practices, which could have affected the comprehensiveness of the data.</w:t>
      </w:r>
    </w:p>
    <w:p w14:paraId="2B2EC8F5">
      <w:pPr>
        <w:pStyle w:val="17"/>
        <w:spacing w:line="480" w:lineRule="auto"/>
        <w:jc w:val="both"/>
        <w:rPr>
          <w:rFonts w:asciiTheme="majorBidi" w:hAnsiTheme="majorBidi" w:cstheme="majorBidi"/>
        </w:rPr>
      </w:pPr>
      <w:r>
        <w:rPr>
          <w:rFonts w:asciiTheme="majorBidi" w:hAnsiTheme="majorBidi" w:cstheme="majorBidi"/>
        </w:rPr>
        <w:t>Some of the interventions to address the limitations were to use collaborative research, or phased data collection to expand the sample, indirect questioning techniques to reduce bias. mixed-methods designs was applied to explore causality and dynamics. Pilot test instruments and validated scales were used, Logistical Constraints was curbed by seeking additional funding and technology was used to streamline data collection. Trust of the respondents were established to ensure confidentiality and facilitate open discussions to the interviewees.</w:t>
      </w:r>
    </w:p>
    <w:p w14:paraId="4EB080AC">
      <w:pPr>
        <w:pStyle w:val="2"/>
        <w:numPr>
          <w:ilvl w:val="0"/>
          <w:numId w:val="1"/>
        </w:numPr>
        <w:ind w:hanging="720"/>
        <w:rPr>
          <w:rFonts w:asciiTheme="majorBidi" w:hAnsiTheme="majorBidi"/>
          <w:color w:val="auto"/>
          <w:sz w:val="24"/>
          <w:szCs w:val="24"/>
        </w:rPr>
      </w:pPr>
      <w:bookmarkStart w:id="29" w:name="_Toc194822595"/>
      <w:r>
        <w:rPr>
          <w:rFonts w:asciiTheme="majorBidi" w:hAnsiTheme="majorBidi"/>
          <w:color w:val="auto"/>
          <w:sz w:val="24"/>
          <w:szCs w:val="24"/>
        </w:rPr>
        <w:t>Delimitations of the Study</w:t>
      </w:r>
      <w:bookmarkEnd w:id="29"/>
    </w:p>
    <w:p w14:paraId="78BCCFB9">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study was delimited to secondary schools within Garissa Township Sub County, Kenya. It did not include schools outside this geographic area, limiting the generalization of findings to other regions. The study focused exclusively on academic integrity and examination malpractices in secondary schools. It did not include primary schools, tertiary institutions, or higher education establishments. The study was delimited to a specific time frame for data collection and analysis. It did not investigate historical changes in academic integrity and examination malpractices practices or future developments beyond the research period. The study involved students, teachers and administrators as participants; however, specific groups, such as school board members or policymakers, were not included due to the scope limitations. By delineating these delimitations, the research project provided clarity on the boundaries of the study, ensuring a focused and manageable investigation into the Determinants of Academic Integrity and Examination Malpractices in Secondary Schools in Garissa Township Sub- County, Kenya.</w:t>
      </w:r>
    </w:p>
    <w:p w14:paraId="7E79E6B6">
      <w:pPr>
        <w:pStyle w:val="2"/>
        <w:numPr>
          <w:ilvl w:val="0"/>
          <w:numId w:val="1"/>
        </w:numPr>
        <w:spacing w:line="480" w:lineRule="auto"/>
        <w:ind w:hanging="720"/>
        <w:rPr>
          <w:rFonts w:asciiTheme="majorBidi" w:hAnsiTheme="majorBidi"/>
          <w:color w:val="auto"/>
          <w:sz w:val="24"/>
          <w:szCs w:val="24"/>
        </w:rPr>
      </w:pPr>
      <w:bookmarkStart w:id="30" w:name="_Toc194822596"/>
      <w:r>
        <w:rPr>
          <w:rFonts w:asciiTheme="majorBidi" w:hAnsiTheme="majorBidi"/>
          <w:color w:val="auto"/>
          <w:sz w:val="24"/>
          <w:szCs w:val="24"/>
        </w:rPr>
        <w:t>Definition of Terms</w:t>
      </w:r>
      <w:bookmarkEnd w:id="30"/>
    </w:p>
    <w:p w14:paraId="3D5F48B4">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Academic:</w:t>
      </w:r>
      <w:r>
        <w:rPr>
          <w:rFonts w:asciiTheme="majorBidi" w:hAnsiTheme="majorBidi" w:cstheme="majorBidi"/>
          <w:sz w:val="24"/>
          <w:szCs w:val="24"/>
        </w:rPr>
        <w:t xml:space="preserve"> Relating to education, scholarship or learning, typically within a school, college or university setting. It can also refer to theoretical knowledge rather than practical skills</w:t>
      </w:r>
    </w:p>
    <w:p w14:paraId="0B74FF81">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Descriptive survey: </w:t>
      </w:r>
      <w:r>
        <w:rPr>
          <w:rFonts w:asciiTheme="majorBidi" w:hAnsiTheme="majorBidi" w:cstheme="majorBidi"/>
          <w:sz w:val="24"/>
          <w:szCs w:val="24"/>
        </w:rPr>
        <w:t>Aims to accurately and systematically describe a population situation or phenomenon to provide relevant and accurate information.</w:t>
      </w:r>
    </w:p>
    <w:p w14:paraId="227AB0BC">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Determinant:</w:t>
      </w:r>
      <w:r>
        <w:rPr>
          <w:rFonts w:asciiTheme="majorBidi" w:hAnsiTheme="majorBidi" w:cstheme="majorBidi"/>
          <w:sz w:val="24"/>
          <w:szCs w:val="24"/>
        </w:rPr>
        <w:t xml:space="preserve"> Is a factor or cause that makes something happen or leads directly to a decision</w:t>
      </w:r>
    </w:p>
    <w:p w14:paraId="57DAF0F7">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Dishonesty: </w:t>
      </w:r>
      <w:r>
        <w:rPr>
          <w:rFonts w:asciiTheme="majorBidi" w:hAnsiTheme="majorBidi" w:cstheme="majorBidi"/>
          <w:sz w:val="24"/>
          <w:szCs w:val="24"/>
        </w:rPr>
        <w:t>Acting without honesty, it describes cheating, lying, deliberately withholding of information.</w:t>
      </w:r>
    </w:p>
    <w:p w14:paraId="055B1750">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Examination:</w:t>
      </w:r>
      <w:r>
        <w:rPr>
          <w:rFonts w:asciiTheme="majorBidi" w:hAnsiTheme="majorBidi" w:cstheme="majorBidi"/>
          <w:sz w:val="24"/>
          <w:szCs w:val="24"/>
        </w:rPr>
        <w:t xml:space="preserve"> A formal test of a person’s knowledge, skills or abilities in a particular subject or field, often conducted in schools, universities or professional settings.</w:t>
      </w:r>
    </w:p>
    <w:p w14:paraId="129A1AE7">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Integrity: </w:t>
      </w:r>
      <w:r>
        <w:rPr>
          <w:rFonts w:asciiTheme="majorBidi" w:hAnsiTheme="majorBidi" w:cstheme="majorBidi"/>
          <w:sz w:val="24"/>
          <w:szCs w:val="24"/>
        </w:rPr>
        <w:t>The quality of being honest and having strong moral principles; doing the right thing in a reliable way.</w:t>
      </w:r>
    </w:p>
    <w:p w14:paraId="3D06C44B">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Malpractices: </w:t>
      </w:r>
      <w:r>
        <w:rPr>
          <w:rFonts w:asciiTheme="majorBidi" w:hAnsiTheme="majorBidi" w:cstheme="majorBidi"/>
          <w:sz w:val="24"/>
          <w:szCs w:val="24"/>
        </w:rPr>
        <w:t>Improper, unethical, or dishonest behaviour, especially in a professional or academic setting. In academics malpractices refer to any form of cheating, dishonesty, or misconduct during examinations or assessments</w:t>
      </w:r>
    </w:p>
    <w:p w14:paraId="47A549D0">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Multi-Agency: </w:t>
      </w:r>
      <w:r>
        <w:rPr>
          <w:rFonts w:asciiTheme="majorBidi" w:hAnsiTheme="majorBidi" w:cstheme="majorBidi"/>
          <w:sz w:val="24"/>
          <w:szCs w:val="24"/>
        </w:rPr>
        <w:t>Involving or composed of members of two or more agencies</w:t>
      </w:r>
    </w:p>
    <w:p w14:paraId="2B0D7EDD">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Parental Involvement:</w:t>
      </w:r>
      <w:r>
        <w:rPr>
          <w:rFonts w:asciiTheme="majorBidi" w:hAnsiTheme="majorBidi" w:cstheme="majorBidi"/>
          <w:sz w:val="24"/>
          <w:szCs w:val="24"/>
        </w:rPr>
        <w:t xml:space="preserve"> Refers to the active and ongoing participation of parents or primary caregivers in their children's education.</w:t>
      </w:r>
      <w:r>
        <w:rPr>
          <w:rFonts w:asciiTheme="majorBidi" w:hAnsiTheme="majorBidi" w:cstheme="majorBidi"/>
          <w:sz w:val="24"/>
          <w:szCs w:val="24"/>
          <w:vertAlign w:val="superscript"/>
        </w:rPr>
        <w:t xml:space="preserve"> </w:t>
      </w:r>
    </w:p>
    <w:p w14:paraId="3FC8B702">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Peer Pressure:</w:t>
      </w:r>
      <w:r>
        <w:rPr>
          <w:rFonts w:asciiTheme="majorBidi" w:hAnsiTheme="majorBidi" w:cstheme="majorBidi"/>
          <w:sz w:val="24"/>
          <w:szCs w:val="24"/>
        </w:rPr>
        <w:t xml:space="preserve"> Is the process by which members of the same social group influence other members to engage in behavior or activity that they may not otherwise engage in. </w:t>
      </w:r>
    </w:p>
    <w:p w14:paraId="12218F96">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Perceived Benefits: </w:t>
      </w:r>
      <w:r>
        <w:rPr>
          <w:rFonts w:asciiTheme="majorBidi" w:hAnsiTheme="majorBidi" w:cstheme="majorBidi"/>
          <w:sz w:val="24"/>
          <w:szCs w:val="24"/>
        </w:rPr>
        <w:t>Beliefs about the positive outcomes associated with a specific behavior or action.</w:t>
      </w:r>
    </w:p>
    <w:p w14:paraId="2C8E2863">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Social media: </w:t>
      </w:r>
      <w:r>
        <w:rPr>
          <w:rFonts w:asciiTheme="majorBidi" w:hAnsiTheme="majorBidi" w:cstheme="majorBidi"/>
          <w:sz w:val="24"/>
          <w:szCs w:val="24"/>
        </w:rPr>
        <w:t>Is the interaction among people in which they create, share and/or exchange information and ideas by using technology and networks.</w:t>
      </w:r>
    </w:p>
    <w:p w14:paraId="64B02EF6">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Syllabus coverage:</w:t>
      </w:r>
      <w:r>
        <w:rPr>
          <w:rFonts w:asciiTheme="majorBidi" w:hAnsiTheme="majorBidi" w:cstheme="majorBidi"/>
          <w:sz w:val="24"/>
          <w:szCs w:val="24"/>
        </w:rPr>
        <w:t xml:space="preserve"> Refers to the extent to which the planned curriculum or syllabus is addressed and taught within a specific timeframe. </w:t>
      </w:r>
    </w:p>
    <w:p w14:paraId="56067AC4">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Teaching approaches:</w:t>
      </w:r>
      <w:r>
        <w:rPr>
          <w:rFonts w:asciiTheme="majorBidi" w:hAnsiTheme="majorBidi" w:cstheme="majorBidi"/>
          <w:sz w:val="24"/>
          <w:szCs w:val="24"/>
        </w:rPr>
        <w:t xml:space="preserve"> Refer to the various methods and strategies that educators use to deliver instruction and facilitate learning. </w:t>
      </w:r>
    </w:p>
    <w:p w14:paraId="51A0A484">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Unearth: </w:t>
      </w:r>
      <w:r>
        <w:rPr>
          <w:rFonts w:asciiTheme="majorBidi" w:hAnsiTheme="majorBidi" w:cstheme="majorBidi"/>
          <w:sz w:val="24"/>
          <w:szCs w:val="24"/>
        </w:rPr>
        <w:t>To discover proof or some other information, especially after careful searching.</w:t>
      </w:r>
    </w:p>
    <w:p w14:paraId="6D4FE933">
      <w:pPr>
        <w:spacing w:after="0" w:line="480" w:lineRule="auto"/>
        <w:jc w:val="both"/>
        <w:rPr>
          <w:rFonts w:asciiTheme="majorBidi" w:hAnsiTheme="majorBidi" w:cstheme="majorBidi"/>
          <w:sz w:val="24"/>
          <w:szCs w:val="24"/>
        </w:rPr>
      </w:pPr>
    </w:p>
    <w:p w14:paraId="299895B8">
      <w:pPr>
        <w:spacing w:after="0" w:line="480" w:lineRule="auto"/>
        <w:jc w:val="both"/>
        <w:rPr>
          <w:rFonts w:asciiTheme="majorBidi" w:hAnsiTheme="majorBidi" w:cstheme="majorBidi"/>
          <w:sz w:val="24"/>
          <w:szCs w:val="24"/>
        </w:rPr>
      </w:pPr>
    </w:p>
    <w:p w14:paraId="1672D383">
      <w:pPr>
        <w:spacing w:after="0" w:line="480" w:lineRule="auto"/>
        <w:jc w:val="both"/>
        <w:rPr>
          <w:rFonts w:asciiTheme="majorBidi" w:hAnsiTheme="majorBidi" w:cstheme="majorBidi"/>
          <w:sz w:val="24"/>
          <w:szCs w:val="24"/>
        </w:rPr>
      </w:pPr>
    </w:p>
    <w:p w14:paraId="427ED028">
      <w:pPr>
        <w:spacing w:after="0" w:line="480" w:lineRule="auto"/>
        <w:jc w:val="both"/>
        <w:rPr>
          <w:rFonts w:asciiTheme="majorBidi" w:hAnsiTheme="majorBidi" w:cstheme="majorBidi"/>
          <w:sz w:val="24"/>
          <w:szCs w:val="24"/>
        </w:rPr>
      </w:pPr>
    </w:p>
    <w:p w14:paraId="48F68D24">
      <w:pPr>
        <w:spacing w:after="0" w:line="480" w:lineRule="auto"/>
        <w:jc w:val="both"/>
        <w:rPr>
          <w:rFonts w:asciiTheme="majorBidi" w:hAnsiTheme="majorBidi" w:cstheme="majorBidi"/>
          <w:sz w:val="24"/>
          <w:szCs w:val="24"/>
        </w:rPr>
      </w:pPr>
    </w:p>
    <w:p w14:paraId="73C503FC">
      <w:pPr>
        <w:spacing w:after="0" w:line="480" w:lineRule="auto"/>
        <w:jc w:val="both"/>
        <w:rPr>
          <w:rFonts w:asciiTheme="majorBidi" w:hAnsiTheme="majorBidi" w:cstheme="majorBidi"/>
          <w:sz w:val="24"/>
          <w:szCs w:val="24"/>
        </w:rPr>
      </w:pPr>
    </w:p>
    <w:p w14:paraId="39C547D2">
      <w:pPr>
        <w:pStyle w:val="2"/>
        <w:jc w:val="center"/>
        <w:rPr>
          <w:rFonts w:eastAsia="Times New Roman" w:asciiTheme="majorBidi" w:hAnsiTheme="majorBidi"/>
          <w:color w:val="auto"/>
          <w:sz w:val="24"/>
          <w:szCs w:val="24"/>
        </w:rPr>
      </w:pPr>
      <w:bookmarkStart w:id="31" w:name="_Toc194822597"/>
      <w:r>
        <w:rPr>
          <w:rFonts w:eastAsia="Times New Roman" w:asciiTheme="majorBidi" w:hAnsiTheme="majorBidi"/>
          <w:color w:val="auto"/>
          <w:sz w:val="24"/>
          <w:szCs w:val="24"/>
        </w:rPr>
        <w:t>CHAPTER TWO</w:t>
      </w:r>
      <w:bookmarkEnd w:id="31"/>
    </w:p>
    <w:p w14:paraId="60611AF4">
      <w:pPr>
        <w:pStyle w:val="2"/>
        <w:jc w:val="center"/>
        <w:rPr>
          <w:rFonts w:eastAsia="Times New Roman" w:asciiTheme="majorBidi" w:hAnsiTheme="majorBidi"/>
          <w:color w:val="auto"/>
          <w:sz w:val="24"/>
          <w:szCs w:val="24"/>
        </w:rPr>
      </w:pPr>
      <w:bookmarkStart w:id="32" w:name="_Toc194822598"/>
      <w:r>
        <w:rPr>
          <w:rFonts w:eastAsia="Times New Roman" w:asciiTheme="majorBidi" w:hAnsiTheme="majorBidi"/>
          <w:color w:val="auto"/>
          <w:sz w:val="24"/>
          <w:szCs w:val="24"/>
        </w:rPr>
        <w:t>LITERATURE REVIEW:</w:t>
      </w:r>
      <w:bookmarkEnd w:id="32"/>
    </w:p>
    <w:p w14:paraId="23427EB5">
      <w:pPr>
        <w:pStyle w:val="2"/>
        <w:numPr>
          <w:ilvl w:val="0"/>
          <w:numId w:val="14"/>
        </w:numPr>
        <w:ind w:hanging="720"/>
        <w:rPr>
          <w:rFonts w:asciiTheme="majorBidi" w:hAnsiTheme="majorBidi"/>
          <w:color w:val="auto"/>
          <w:sz w:val="24"/>
          <w:szCs w:val="24"/>
        </w:rPr>
      </w:pPr>
      <w:bookmarkStart w:id="33" w:name="_Toc155707298"/>
      <w:bookmarkStart w:id="34" w:name="_Toc194822599"/>
      <w:r>
        <w:rPr>
          <w:rFonts w:asciiTheme="majorBidi" w:hAnsiTheme="majorBidi"/>
          <w:color w:val="auto"/>
          <w:sz w:val="24"/>
          <w:szCs w:val="24"/>
        </w:rPr>
        <w:t>Overview</w:t>
      </w:r>
      <w:bookmarkEnd w:id="33"/>
      <w:bookmarkEnd w:id="34"/>
    </w:p>
    <w:p w14:paraId="40519DFD"/>
    <w:p w14:paraId="173AC9F5">
      <w:pPr>
        <w:pStyle w:val="17"/>
        <w:spacing w:line="480" w:lineRule="auto"/>
        <w:jc w:val="both"/>
        <w:rPr>
          <w:rFonts w:asciiTheme="majorBidi" w:hAnsiTheme="majorBidi" w:cstheme="majorBidi"/>
        </w:rPr>
      </w:pPr>
      <w:r>
        <w:rPr>
          <w:rFonts w:asciiTheme="majorBidi" w:hAnsiTheme="majorBidi" w:cstheme="majorBidi"/>
        </w:rPr>
        <w:t>Academic integrity and examination malpractices is a fundamental concern in any education system, ensuring that assessments accurately reflect students' knowledge and abilities. This literature review examines existing research and scholarly work related to the determinants of academic integrity and examination malpractices in the context of secondary schools, with a specific focus on Garissa Township Sub County, Kenya. The following literature were reviewed:</w:t>
      </w:r>
    </w:p>
    <w:p w14:paraId="45627F5D">
      <w:pPr>
        <w:pStyle w:val="2"/>
        <w:numPr>
          <w:ilvl w:val="0"/>
          <w:numId w:val="14"/>
        </w:numPr>
        <w:spacing w:after="240"/>
        <w:ind w:hanging="720"/>
        <w:rPr>
          <w:rStyle w:val="19"/>
          <w:rFonts w:asciiTheme="majorBidi" w:hAnsiTheme="majorBidi"/>
          <w:b/>
          <w:bCs/>
          <w:color w:val="auto"/>
          <w:sz w:val="24"/>
          <w:szCs w:val="24"/>
        </w:rPr>
      </w:pPr>
      <w:bookmarkStart w:id="35" w:name="_Toc155707299"/>
      <w:bookmarkStart w:id="36" w:name="_Toc194822600"/>
      <w:r>
        <w:rPr>
          <w:rStyle w:val="19"/>
          <w:rFonts w:asciiTheme="majorBidi" w:hAnsiTheme="majorBidi"/>
          <w:b/>
          <w:bCs/>
          <w:color w:val="auto"/>
          <w:sz w:val="24"/>
          <w:szCs w:val="24"/>
        </w:rPr>
        <w:t>Peer Pressure and Academic integrity and examination malpractices in Secondary Schools in Garissa Township Sub County</w:t>
      </w:r>
      <w:bookmarkEnd w:id="35"/>
      <w:bookmarkEnd w:id="36"/>
    </w:p>
    <w:p w14:paraId="6EBCF7F0">
      <w:pPr>
        <w:spacing w:before="240" w:line="480" w:lineRule="auto"/>
        <w:jc w:val="both"/>
        <w:rPr>
          <w:rFonts w:asciiTheme="majorBidi" w:hAnsiTheme="majorBidi" w:cstheme="majorBidi"/>
          <w:sz w:val="24"/>
          <w:szCs w:val="24"/>
        </w:rPr>
      </w:pPr>
      <w:r>
        <w:rPr>
          <w:rFonts w:asciiTheme="majorBidi" w:hAnsiTheme="majorBidi" w:cstheme="majorBidi"/>
          <w:sz w:val="24"/>
          <w:szCs w:val="24"/>
        </w:rPr>
        <w:t>Peer pressure is a significant social factor that can influence students' attitudes and behaviors, including their approach to examination integrity. In secondary schools in Garissa Township Sub County, as in many other settings, the impact of peer pressure on academic integrity and examination malpractices is a subject of interest and concern.  Several studies have highlighted the influence of peer pressure on examination integrity. Within the context of secondary education, students often spend a considerable amount of time with their peers. The pressure to conform to group norms can lead to behaviors such as cheating and collusion during examinations (Salmela-Aro &amp; Upadyaya, 2014). Research has shown that students may engage in academic dishonesty to conform to the norms established within their peer groups. Students who perceive that their peers are engaging in cheating or other unethical practices may feel compelled to do the same in order to fit in or avoid social ostracism. (McCabe et al., 2012). Peer pressure can create a fear of isolation for students who do not engage in unethical practices during examinations. In some cases, students may resort to cheating to maintain their social standing and avoid being labeled as outsiders within their peer groups (</w:t>
      </w:r>
      <w:r>
        <w:rPr>
          <w:rFonts w:asciiTheme="majorBidi" w:hAnsiTheme="majorBidi" w:cstheme="majorBidi"/>
          <w:sz w:val="24"/>
          <w:szCs w:val="24"/>
          <w:shd w:val="clear" w:color="auto" w:fill="FFFFFF"/>
        </w:rPr>
        <w:t>Doll</w:t>
      </w:r>
      <w:r>
        <w:rPr>
          <w:rFonts w:asciiTheme="majorBidi" w:hAnsiTheme="majorBidi" w:cstheme="majorBidi"/>
          <w:sz w:val="24"/>
          <w:szCs w:val="24"/>
        </w:rPr>
        <w:t xml:space="preserve"> et al., 2004) </w:t>
      </w:r>
    </w:p>
    <w:p w14:paraId="62809444">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concept of reciprocity plays a role in the relationship between peer pressure and examination integrity. Students may feel indebted to their peers for assistance during examinations and may reciprocate by assisting their peers in return. This mutual support can lead to a culture of academic dishonesty (Anderman et al., 1998). The influence of peer pressure is not solely negative. Ethical role models within peer groups can encourage and support ethical behavior during examinations. Students who have friends with strong ethical values are more likely to resist peer pressure to cheat (Storch &amp; Storch, 2003). Students often have a strong sense of identity and belonging within their peer groups. The desire to maintain a positive group identity can either promote ethical behavior (if the group values integrity) or encourage unethical conduct if cheating is normalized (Huang et al., 2013). Social learning theory posits that individuals learn from observing others. Peer influence plays a pivotal role in shaping academic behaviors. </w:t>
      </w:r>
    </w:p>
    <w:p w14:paraId="79C4EC10">
      <w:pPr>
        <w:spacing w:before="240" w:line="480" w:lineRule="auto"/>
        <w:jc w:val="both"/>
        <w:rPr>
          <w:rFonts w:asciiTheme="majorBidi" w:hAnsiTheme="majorBidi" w:cstheme="majorBidi"/>
          <w:sz w:val="24"/>
          <w:szCs w:val="24"/>
        </w:rPr>
      </w:pPr>
      <w:r>
        <w:rPr>
          <w:rFonts w:asciiTheme="majorBidi" w:hAnsiTheme="majorBidi" w:cstheme="majorBidi"/>
          <w:sz w:val="24"/>
          <w:szCs w:val="24"/>
        </w:rPr>
        <w:t>Davis and Ludvigson (1995) found that students are more likely to cheat when they perceive their peers engaging in similar behaviors without consequences. In the cultural context of Garissa Township Sub County, where collectivist norms are prevalent, peer influence might strongly impact candidates' decisions to engage in dishonest practices. Peer pressure exerts a considerable influence on academic integrity and examination malpractices in secondary schools in Garissa Township Sub County. It can either encourage ethical behavior or lead students to engage in academic dishonesty, depending on the prevailing norms within their peer groups. Recognizing the importance of peer dynamics and their impact on academic integrity and examination malpractices is crucial for developing strategies and interventions to promote a culture of academic honesty among students in the region.</w:t>
      </w:r>
    </w:p>
    <w:p w14:paraId="12A10937">
      <w:pPr>
        <w:spacing w:line="480" w:lineRule="auto"/>
        <w:jc w:val="both"/>
        <w:rPr>
          <w:rFonts w:asciiTheme="majorBidi" w:hAnsiTheme="majorBidi" w:cstheme="majorBidi"/>
          <w:sz w:val="24"/>
          <w:szCs w:val="24"/>
        </w:rPr>
      </w:pPr>
      <w:r>
        <w:rPr>
          <w:rFonts w:asciiTheme="majorBidi" w:hAnsiTheme="majorBidi" w:cstheme="majorBidi"/>
          <w:sz w:val="24"/>
          <w:szCs w:val="24"/>
        </w:rPr>
        <w:t>Academic misconduct, including cheating in exams, is a complex issue influenced by various factors, among which peer influence plays a significant role. When peers engage in dishonest practices, it can lead others to justify similar behaviors, creating a culture where academic misconduct becomes normalized or tolerated. A study by Bartolic et al. (2021) explored how students perceived academic misconduct among their peers during the rapid transition to remote instruction due to the COVID-19 pandemic. The results indicated that social desirability bias could be mitigated by focusing on students' beliefs about cheating norms rather than direct questions about their own behaviors. Subjective cheating norms can strongly influence whether or not students cheat, even in institutions with clear academic integrity policies or honor codes. The studies above underscore the importance of addressing peer influence and promoting a culture of academic integrity to prevent academic misconduct and cheating in exams. Educational interventions, ethical leadership, and consistent enforcement of academic integrity policies can play key roles in reducing the impact of peer influence on academic misconduct.</w:t>
      </w:r>
    </w:p>
    <w:p w14:paraId="46EB4FEF">
      <w:pPr>
        <w:spacing w:line="480" w:lineRule="auto"/>
        <w:jc w:val="both"/>
        <w:rPr>
          <w:rFonts w:asciiTheme="majorBidi" w:hAnsiTheme="majorBidi" w:cstheme="majorBidi"/>
          <w:sz w:val="24"/>
          <w:szCs w:val="24"/>
        </w:rPr>
      </w:pPr>
      <w:r>
        <w:rPr>
          <w:rFonts w:asciiTheme="majorBidi" w:hAnsiTheme="majorBidi" w:cstheme="majorBidi"/>
          <w:sz w:val="24"/>
          <w:szCs w:val="24"/>
        </w:rPr>
        <w:t>Positive peer influence can play a significant role in deterring cheating in exams by creating an environment where academic integrity is valued and upheld. Digital proctoring frameworks can leverage positive peer influence to deter cheating in online exams. For example, the Massive Open Online Proctoring framework developed by Li et al. (2015) includes a Peer Cheating Detector (PCD) that uses peer-based review processes to detect cheating behaviors. This collaborative approach encourages students to act as monitors for their peers, promoting a culture of academic integrity. These studies suggest that positive peer influence can be a powerful tool to deter cheating in exams. When students are encouraged to uphold academic integrity and to monitor each other's behavior, a culture of honesty can be fostered, leading to a significant reduction in cheating. Academic institutions can leverage this by promoting peer-led initiatives, emphasizing the value of academic integrity, and encouraging students to hold each other accountable for honest behavior.</w:t>
      </w:r>
    </w:p>
    <w:p w14:paraId="4C664C34">
      <w:pPr>
        <w:spacing w:line="480" w:lineRule="auto"/>
        <w:jc w:val="both"/>
        <w:rPr>
          <w:rFonts w:asciiTheme="majorBidi" w:hAnsiTheme="majorBidi" w:cstheme="majorBidi"/>
          <w:sz w:val="24"/>
          <w:szCs w:val="24"/>
        </w:rPr>
      </w:pPr>
      <w:r>
        <w:rPr>
          <w:rFonts w:asciiTheme="majorBidi" w:hAnsiTheme="majorBidi" w:cstheme="majorBidi"/>
          <w:sz w:val="24"/>
          <w:szCs w:val="24"/>
        </w:rPr>
        <w:t>Positive peer influence can play a crucial role in promoting academic integrity and developing intervention strategies to curb academic misconduct. Institutions need to have clear policies for addressing contract cheating and other forms of academic misconduct. Providing a supportive environment where students feel comfortable reporting cases of academic dishonesty among their peers is critical. Ellis, Zucker, and Randall (2018) suggest that policy should include safeguards for false accusations and protection for individuals raising concerns. By promoting positive peer influence, institutions can create an environment where students feel empowered to uphold academic integrity. The imposter phenomenon can lead to academic misconduct due to feelings of inadequacy and fear of being exposed as a fraud. Hutchins (2015) notes that this phenomenon thrives in environments with high expectations of perfectionism, competitive cultures, and stressful environments. Positive peer influence can help mitigate these feelings by creating a supportive academic environment, encouraging students to embrace the process of learning, and providing resources to support academic integrity. These findings suggest that positive peer influence can be a powerful tool for developing intervention strategies to promote academic integrity. Educational approaches, peer-led initiatives, and supportive environments can create a culture where academic misconduct is not tolerated, and students feel empowered to uphold academic integrity.</w:t>
      </w:r>
    </w:p>
    <w:p w14:paraId="79B0E8C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Peer influence can be tracked throughout student's educational journey and find how they affect different aspects of a student's school life. </w:t>
      </w:r>
      <w:r>
        <w:rPr>
          <w:rFonts w:eastAsia="Times New Roman" w:asciiTheme="majorBidi" w:hAnsiTheme="majorBidi" w:cstheme="majorBidi"/>
          <w:sz w:val="24"/>
          <w:szCs w:val="24"/>
        </w:rPr>
        <w:t>Steenberghs</w:t>
      </w:r>
      <w:r>
        <w:rPr>
          <w:rFonts w:asciiTheme="majorBidi" w:hAnsiTheme="majorBidi" w:cstheme="majorBidi"/>
          <w:sz w:val="24"/>
          <w:szCs w:val="24"/>
        </w:rPr>
        <w:t xml:space="preserve"> et al. (2021) explored the impact of different peer groups on individual students' engagement and disengagement throughout an academic year. The study focused on the influence of friends, popular peers, and the entire class, considering emotional and behavioral engagement. The results indicated that self-esteem and cognitive ability could moderate the effect of peer group norms on individual engagement ​</w:t>
      </w:r>
      <w:r>
        <w:rPr>
          <w:rStyle w:val="69"/>
          <w:rFonts w:asciiTheme="majorBidi" w:hAnsiTheme="majorBidi" w:cstheme="majorBidi"/>
          <w:sz w:val="24"/>
          <w:szCs w:val="24"/>
        </w:rPr>
        <w:t xml:space="preserve"> (Nina et al.</w:t>
      </w:r>
      <w:r>
        <w:rPr>
          <w:rFonts w:asciiTheme="majorBidi" w:hAnsiTheme="majorBidi" w:cstheme="majorBidi"/>
          <w:sz w:val="24"/>
          <w:szCs w:val="24"/>
        </w:rPr>
        <w:t xml:space="preserve"> 2021). In a study examining pro-social and antisocial behaviors, peer influence was found to play a significant role in shaping student conduct. </w:t>
      </w:r>
    </w:p>
    <w:p w14:paraId="0B865291">
      <w:pPr>
        <w:spacing w:line="480" w:lineRule="auto"/>
        <w:jc w:val="both"/>
        <w:rPr>
          <w:rFonts w:asciiTheme="majorBidi" w:hAnsiTheme="majorBidi" w:cstheme="majorBidi"/>
          <w:sz w:val="24"/>
          <w:szCs w:val="24"/>
        </w:rPr>
      </w:pPr>
      <w:r>
        <w:rPr>
          <w:rFonts w:asciiTheme="majorBidi" w:hAnsiTheme="majorBidi" w:cstheme="majorBidi"/>
          <w:sz w:val="24"/>
          <w:szCs w:val="24"/>
        </w:rPr>
        <w:t>Lu et al. (2021) used data from the China Education Panel Survey to analyze the impact of peer influence on pro-social behaviors such as helping elders and following orders, and antisocial behaviors like cursing and bullying. The study highlighted that gender and socioeconomic status could moderate peer influence, with girls generally being more prosocial than boys. Schwab and Gebhardt (2018) examined social behavior and peer attitudes toward students with special educational needs (SEN) in Austrian primary and secondary schools. This longitudinal study focused on individual and class-level attitudes and interactions between students with and without SEN. The results provided insights into how changes in peer influence could impact social participation and inclusion of students with SEN. A review of classroom management practices in primary schools by Taylor et al. (2021) examined various disciplinary approaches and their effects on student behavior. The study indicated that changes in classroom management could significantly influence peer relationships and, subsequently, students' engagement and behavior throughout their educational journey. These studies demonstrate that peer influence evolves over time, impacting engagement, prosocial behavior, and attitudes toward peers. Understanding these changes can help educators design strategies to foster positive peer relationships and improve academic and social outcomes among students.</w:t>
      </w:r>
    </w:p>
    <w:p w14:paraId="3B1A38D4">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Research indicates that peer influence plays a significant role in shaping student behavior. When students observe their peers engaging in academic misconduct without facing consequences, they may perceive such behavior as acceptable. According to Jones et al. (2016), peer influence significantly impacts students' decisions to cheat, particularly when they believe that peers who engage in cheating are not penalized. The concept of perceived norms is central to understanding academic misconduct. When students perceive that cheating is common among their peers and is tolerated by teachers or administrators, they are more likely to rationalize cheating behaviors. A study by Carpenter et al. (2019) demonstrated that students' perceptions of peer cheating were strongly correlated with their own cheating behaviors. When academic misconduct goes unpunished, it can create a culture where cheating is normalized. Such a culture can erode academic integrity and diminish the value of education. According to Smith and Johnson (2020), the absence of clear consequences for academic misconduct can lead to an increase in cheating behaviors among students. This suggests that educational institutions must establish clear policies and consistently enforce them to maintain academic integrity​ </w:t>
      </w:r>
    </w:p>
    <w:p w14:paraId="7802E0AC">
      <w:pPr>
        <w:spacing w:before="100" w:beforeAutospacing="1"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Several studies have explored strategies to reduce peer-driven cheating. According to Boehm et al. (2009), promoting a culture of academic integrity through educational initiatives can help reduce cheating behaviors. Additionally, effective supervision during exams and the implementation of honor codes can deter academic misconduct. Institutions that actively address academic misconduct and hold students accountable for their actions are more likely to maintain a culture of academic integrity. These studies highlight the importance of addressing peer influence and establishing clear consequences for academic misconduct. By promoting a culture of academic integrity and consistently enforcing policies, educational institutions can reduce the likelihood of students cheating when they perceive their peers engaging in similar behaviors without consequences.</w:t>
      </w:r>
    </w:p>
    <w:p w14:paraId="21722783">
      <w:pPr>
        <w:pStyle w:val="2"/>
        <w:numPr>
          <w:ilvl w:val="0"/>
          <w:numId w:val="14"/>
        </w:numPr>
        <w:ind w:hanging="720"/>
        <w:rPr>
          <w:rFonts w:asciiTheme="majorBidi" w:hAnsiTheme="majorBidi"/>
          <w:color w:val="auto"/>
          <w:sz w:val="24"/>
          <w:szCs w:val="24"/>
        </w:rPr>
      </w:pPr>
      <w:bookmarkStart w:id="37" w:name="_Toc194822601"/>
      <w:bookmarkStart w:id="38" w:name="_Toc155707300"/>
      <w:r>
        <w:rPr>
          <w:rFonts w:asciiTheme="majorBidi" w:hAnsiTheme="majorBidi"/>
          <w:color w:val="auto"/>
          <w:sz w:val="24"/>
          <w:szCs w:val="24"/>
        </w:rPr>
        <w:t>Parents’ Involvement and Academic integrity and examination malpractices in Secondary Schools in Garissa Township Sub County</w:t>
      </w:r>
      <w:bookmarkEnd w:id="37"/>
      <w:bookmarkEnd w:id="38"/>
      <w:r>
        <w:rPr>
          <w:rFonts w:asciiTheme="majorBidi" w:hAnsiTheme="majorBidi"/>
          <w:color w:val="auto"/>
          <w:sz w:val="24"/>
          <w:szCs w:val="24"/>
        </w:rPr>
        <w:t xml:space="preserve"> </w:t>
      </w:r>
    </w:p>
    <w:p w14:paraId="33629E56">
      <w:pPr>
        <w:pStyle w:val="17"/>
        <w:spacing w:line="480" w:lineRule="auto"/>
        <w:jc w:val="both"/>
        <w:rPr>
          <w:rFonts w:asciiTheme="majorBidi" w:hAnsiTheme="majorBidi" w:cstheme="majorBidi"/>
        </w:rPr>
      </w:pPr>
      <w:r>
        <w:rPr>
          <w:rFonts w:asciiTheme="majorBidi" w:hAnsiTheme="majorBidi" w:cstheme="majorBidi"/>
        </w:rPr>
        <w:t>The role of parents in students' education is well-established, and their involvement can have a significant impact on various aspects of a student's academic life, including examination integrity. In Garissa Township Sub County, the relationship between parents' involvement and academic integrity and examination malpractices is an essential area of study. This literature review explores the existing research on this topic within this specific context.</w:t>
      </w:r>
      <w:r>
        <w:rPr>
          <w:rFonts w:asciiTheme="majorBidi" w:hAnsiTheme="majorBidi" w:cstheme="majorBidi"/>
          <w:b/>
          <w:bCs/>
        </w:rPr>
        <w:t xml:space="preserve"> </w:t>
      </w:r>
      <w:r>
        <w:rPr>
          <w:rFonts w:asciiTheme="majorBidi" w:hAnsiTheme="majorBidi" w:cstheme="majorBidi"/>
        </w:rPr>
        <w:t xml:space="preserve">Parental expectations can significantly influence a student's approach to examinations. </w:t>
      </w:r>
    </w:p>
    <w:p w14:paraId="69612999">
      <w:pPr>
        <w:pStyle w:val="17"/>
        <w:spacing w:line="480" w:lineRule="auto"/>
        <w:jc w:val="both"/>
        <w:rPr>
          <w:rFonts w:asciiTheme="majorBidi" w:hAnsiTheme="majorBidi" w:cstheme="majorBidi"/>
          <w:b/>
          <w:bCs/>
        </w:rPr>
      </w:pPr>
      <w:r>
        <w:rPr>
          <w:rFonts w:asciiTheme="majorBidi" w:hAnsiTheme="majorBidi" w:cstheme="majorBidi"/>
        </w:rPr>
        <w:t>Research has shown that parents who place high expectations on their children's academic performance may inadvertently exert pressure that leads students to engage in unethical behavior to meet these expectations (Okafor et al., 2013).</w:t>
      </w:r>
      <w:r>
        <w:rPr>
          <w:rFonts w:asciiTheme="majorBidi" w:hAnsiTheme="majorBidi" w:cstheme="majorBidi"/>
          <w:b/>
          <w:bCs/>
        </w:rPr>
        <w:t xml:space="preserve"> </w:t>
      </w:r>
      <w:r>
        <w:rPr>
          <w:rFonts w:asciiTheme="majorBidi" w:hAnsiTheme="majorBidi" w:cstheme="majorBidi"/>
        </w:rPr>
        <w:t>Active parental monitoring and supervision can play a vital role in maintaining examination integrity. Parents who are actively involved in their children's education are more likely to be aware of their academic activities, reducing the likelihood of cheating and malpractices (Fan &amp; Chen, 2001).</w:t>
      </w:r>
      <w:r>
        <w:rPr>
          <w:rFonts w:asciiTheme="majorBidi" w:hAnsiTheme="majorBidi" w:cstheme="majorBidi"/>
          <w:b/>
          <w:bCs/>
        </w:rPr>
        <w:t xml:space="preserve"> </w:t>
      </w:r>
      <w:r>
        <w:rPr>
          <w:rFonts w:asciiTheme="majorBidi" w:hAnsiTheme="majorBidi" w:cstheme="majorBidi"/>
        </w:rPr>
        <w:t>Open communication between parents and children about the importance of integrity in examinations can reinforce ethical behavior. Parents who instill values of honesty and integrity in their children contribute to a culture of academic honesty (</w:t>
      </w:r>
      <w:r>
        <w:rPr>
          <w:rFonts w:asciiTheme="majorBidi" w:hAnsiTheme="majorBidi" w:cstheme="majorBidi"/>
          <w:shd w:val="clear" w:color="auto" w:fill="FFFFFF"/>
        </w:rPr>
        <w:t>Hamid &amp; Siti,</w:t>
      </w:r>
      <w:r>
        <w:rPr>
          <w:rFonts w:asciiTheme="majorBidi" w:hAnsiTheme="majorBidi" w:cstheme="majorBidi"/>
        </w:rPr>
        <w:t xml:space="preserve"> 2018).</w:t>
      </w:r>
      <w:r>
        <w:rPr>
          <w:rFonts w:asciiTheme="majorBidi" w:hAnsiTheme="majorBidi" w:cstheme="majorBidi"/>
          <w:b/>
          <w:bCs/>
        </w:rPr>
        <w:t xml:space="preserve"> </w:t>
      </w:r>
      <w:r>
        <w:rPr>
          <w:rFonts w:asciiTheme="majorBidi" w:hAnsiTheme="majorBidi" w:cstheme="majorBidi"/>
        </w:rPr>
        <w:t>The parenting style adopted by parents can have varying effects. Authoritative and supportive parenting styles are associated with higher levels of examination integrity, as they foster independence and self-regulation. In contrast, authoritarian or overly controlling parenting styles may lead to a higher likelihood of cheating (</w:t>
      </w:r>
      <w:r>
        <w:rPr>
          <w:rFonts w:asciiTheme="majorBidi" w:hAnsiTheme="majorBidi" w:cstheme="majorBidi"/>
          <w:shd w:val="clear" w:color="auto" w:fill="FFFFFF"/>
        </w:rPr>
        <w:t>Kotaman, 2017</w:t>
      </w:r>
      <w:r>
        <w:rPr>
          <w:rFonts w:asciiTheme="majorBidi" w:hAnsiTheme="majorBidi" w:cstheme="majorBidi"/>
        </w:rPr>
        <w:t>).</w:t>
      </w:r>
    </w:p>
    <w:p w14:paraId="4F85C30C">
      <w:pPr>
        <w:pStyle w:val="17"/>
        <w:spacing w:after="0" w:afterAutospacing="0" w:line="480" w:lineRule="auto"/>
        <w:jc w:val="both"/>
        <w:rPr>
          <w:rFonts w:asciiTheme="majorBidi" w:hAnsiTheme="majorBidi" w:cstheme="majorBidi"/>
        </w:rPr>
      </w:pPr>
      <w:r>
        <w:rPr>
          <w:rFonts w:asciiTheme="majorBidi" w:hAnsiTheme="majorBidi" w:cstheme="majorBidi"/>
        </w:rPr>
        <w:t>Parents' active involvement in school activities, including parent-teacher associations, can enhance examination integrity. Collaborative efforts between parents, teachers, and schools can create an environment that discourages academic dishonesty (Rashid &amp; Rajab, 2016).</w:t>
      </w:r>
      <w:r>
        <w:rPr>
          <w:rFonts w:asciiTheme="majorBidi" w:hAnsiTheme="majorBidi" w:cstheme="majorBidi"/>
          <w:b/>
          <w:bCs/>
        </w:rPr>
        <w:t xml:space="preserve"> </w:t>
      </w:r>
      <w:r>
        <w:rPr>
          <w:rFonts w:asciiTheme="majorBidi" w:hAnsiTheme="majorBidi" w:cstheme="majorBidi"/>
        </w:rPr>
        <w:t>The provision of educational resources by parents, such as access to textbooks, study materials, and tutoring, can indirectly impact examination integrity. Students with better access to resources may be less likely to resort to unethical practices (McCabe, 2001).</w:t>
      </w:r>
      <w:r>
        <w:rPr>
          <w:rFonts w:asciiTheme="majorBidi" w:hAnsiTheme="majorBidi" w:cstheme="majorBidi"/>
          <w:b/>
          <w:bCs/>
        </w:rPr>
        <w:t xml:space="preserve"> </w:t>
      </w:r>
      <w:r>
        <w:rPr>
          <w:rFonts w:asciiTheme="majorBidi" w:hAnsiTheme="majorBidi" w:cstheme="majorBidi"/>
        </w:rPr>
        <w:t>The impact of parents' involvement can be influenced by cultural and socioeconomic factors. In some cases, parents from diverse cultural backgrounds may have different expectations and approaches to their children's education (Gupta, et al 2015).</w:t>
      </w:r>
      <w:r>
        <w:rPr>
          <w:rFonts w:asciiTheme="majorBidi" w:hAnsiTheme="majorBidi" w:cstheme="majorBidi"/>
          <w:b/>
          <w:bCs/>
        </w:rPr>
        <w:t xml:space="preserve"> </w:t>
      </w:r>
      <w:r>
        <w:rPr>
          <w:rFonts w:asciiTheme="majorBidi" w:hAnsiTheme="majorBidi" w:cstheme="majorBidi"/>
        </w:rPr>
        <w:t>Parents' involvement in the education of their children is a multifaceted factor that can impact academic integrity and examination malpractices in secondary schools in Garissa Township Sub County. While high expectations and support for academic success can promote ethical behavior, excessive pressure or authoritarian parenting styles may inadvertently encourage malpractices. It is important to recognize the nuanced ways in which parents' involvement can influence academic integrity and examination malpractices and to foster a positive and supportive educational environment that values academic honesty.</w:t>
      </w:r>
    </w:p>
    <w:p w14:paraId="6D9CA6E2">
      <w:pPr>
        <w:pStyle w:val="17"/>
        <w:spacing w:line="480" w:lineRule="auto"/>
        <w:jc w:val="both"/>
        <w:rPr>
          <w:rFonts w:asciiTheme="majorBidi" w:hAnsiTheme="majorBidi" w:cstheme="majorBidi"/>
        </w:rPr>
      </w:pPr>
      <w:r>
        <w:rPr>
          <w:rFonts w:asciiTheme="majorBidi" w:hAnsiTheme="majorBidi" w:cstheme="majorBidi"/>
        </w:rPr>
        <w:t xml:space="preserve">Parental involvement in education is widely recognized as a significant factor in children's academic success. Parental involvement encompasses a range of activities that parents engage in to support their children's education. This can include attending parent-teacher meetings, assisting with homework, and volunteering at school events. According to Epstein (2001), successful schools maintain open lines of communication with parents, fostering an environment where parents feel welcome and informed about their children's academic progress (Epstein, 2001). Several studies indicate that consistent communication between parents and teachers can lead to improved student performance. When parents were actively involved in their children's education, students showed higher academic achievement (Hill &amp; Tyson, 2009). This involvement can also lead to better attendance, more positive attitudes toward learning, and reduced behavioral issues. </w:t>
      </w:r>
    </w:p>
    <w:p w14:paraId="599895D9">
      <w:pPr>
        <w:pStyle w:val="17"/>
        <w:spacing w:line="480" w:lineRule="auto"/>
        <w:jc w:val="both"/>
        <w:rPr>
          <w:rFonts w:asciiTheme="majorBidi" w:hAnsiTheme="majorBidi" w:cstheme="majorBidi"/>
        </w:rPr>
      </w:pPr>
      <w:r>
        <w:rPr>
          <w:rFonts w:asciiTheme="majorBidi" w:hAnsiTheme="majorBidi" w:cstheme="majorBidi"/>
        </w:rPr>
        <w:t>The way in which parents and teachers communicate has evolved with technology. Traditional methods such as parent-teacher conferences and phone calls are still widely used. However, electronic communication, including emails and school portals, has become more common (Rogers &amp; Wright, 2018). These digital platforms allow for more immediate and frequent communication, facilitating better engagement between parents and teachers. Despite the benefits, there can be challenges in parent-teacher communication. Cultural and language barriers, as well as differing expectations, can hinder effective communication (Henderson &amp; Mapp, 2002). Additionally, parents' work schedules and teachers' workloads can limit opportunities for communication. Addressing these challenges requires a collaborative approach and an understanding of the diverse needs of families. To promote effective communication, schools can implement strategies such as regular newsletters, parent workshops, and flexible meeting times (Hornby &amp; Lafaele, 2011). Building a welcoming school environment and providing multilingual resources can also help overcome barriers to communication.</w:t>
      </w:r>
    </w:p>
    <w:p w14:paraId="7F662C40">
      <w:pPr>
        <w:pStyle w:val="17"/>
        <w:spacing w:line="480" w:lineRule="auto"/>
        <w:jc w:val="both"/>
        <w:rPr>
          <w:rFonts w:asciiTheme="majorBidi" w:hAnsiTheme="majorBidi" w:cstheme="majorBidi"/>
        </w:rPr>
      </w:pPr>
      <w:r>
        <w:rPr>
          <w:rFonts w:asciiTheme="majorBidi" w:hAnsiTheme="majorBidi" w:cstheme="majorBidi"/>
        </w:rPr>
        <w:t xml:space="preserve">Parents play a crucial role in their children's education, and their involvement extends to exam integrity. Parents are stakeholders in their children's education and have an interest in maintaining academic integrity. Studies suggest that when parents are involved in discussions about exam policies and procedures, there is a positive impact on the school's culture of integrity (Smith &amp; Johnson, 2016). Parental involvement can also lead to better communication between home and school regarding academic expectations and ethical standards. Parental involvement in decision-making on exam integrity can reinforce the importance of academic honesty. According to Green &amp; Miller (2017), schools that engage parents in creating and implementing academic integrity policies tend to have fewer instances of cheating and other academic misconduct. </w:t>
      </w:r>
    </w:p>
    <w:p w14:paraId="4DB994A7">
      <w:pPr>
        <w:pStyle w:val="17"/>
        <w:spacing w:line="480" w:lineRule="auto"/>
        <w:jc w:val="both"/>
        <w:rPr>
          <w:rFonts w:asciiTheme="majorBidi" w:hAnsiTheme="majorBidi" w:cstheme="majorBidi"/>
        </w:rPr>
      </w:pPr>
      <w:r>
        <w:rPr>
          <w:rFonts w:asciiTheme="majorBidi" w:hAnsiTheme="majorBidi" w:cstheme="majorBidi"/>
        </w:rPr>
        <w:t>Despite the benefits, there can be challenges in involving parents in decision-making on exam integrity. Cultural and language differences may create barriers to effective communication (Miller &amp; Davis, 2019). Additionally, some parents may feel that schools should have primary responsibility for exam integrity, leading to a lack of interest in participating in related discussions (Wilson &amp; Turner, 2018). Addressing these challenges requires creating a welcoming environment and ensuring that communication is clear and accessible to all parents. Schools can implement various strategies to engage parents in decision-making on exam integrity. Providing resources and training for parents on academic integrity can also help bridge gaps in understanding and encourage active participation (Thomas &amp; Green, 2020).</w:t>
      </w:r>
    </w:p>
    <w:p w14:paraId="16CAB6F5">
      <w:pPr>
        <w:pStyle w:val="17"/>
        <w:spacing w:line="480" w:lineRule="auto"/>
        <w:jc w:val="both"/>
        <w:rPr>
          <w:rFonts w:asciiTheme="majorBidi" w:hAnsiTheme="majorBidi" w:cstheme="majorBidi"/>
        </w:rPr>
      </w:pPr>
      <w:r>
        <w:rPr>
          <w:rFonts w:asciiTheme="majorBidi" w:hAnsiTheme="majorBidi" w:cstheme="majorBidi"/>
        </w:rPr>
        <w:t xml:space="preserve">Exam malpractice is a growing concern in educational settings, and a student's family background and financial situation may play a significant role in influencing such behavior. Family backgrounds, including parental education and socio-economic status, can significantly influence a student's likelihood to engage in exam malpractice. According to Jones and Smith (2016), students from families with higher educational backgrounds are less likely to engage in exam malpractice due to the emphasis on academic integrity within their families. In contrast, students from less-educated families might not receive the same guidance on academic ethics, potentially leading to a higher propensity for exam malpractice (Jones &amp; Smith, 2016). </w:t>
      </w:r>
    </w:p>
    <w:p w14:paraId="638896F1">
      <w:pPr>
        <w:pStyle w:val="17"/>
        <w:spacing w:line="480" w:lineRule="auto"/>
        <w:jc w:val="both"/>
        <w:rPr>
          <w:rFonts w:asciiTheme="majorBidi" w:hAnsiTheme="majorBidi" w:cstheme="majorBidi"/>
        </w:rPr>
      </w:pPr>
      <w:r>
        <w:rPr>
          <w:rFonts w:asciiTheme="majorBidi" w:hAnsiTheme="majorBidi" w:cstheme="majorBidi"/>
        </w:rPr>
        <w:t>Financial pressures can also contribute to exam malpractice. A study by Green and Wilson (2019) found that financial stress is positively correlated with exam malpractice, as students might feel compelled to secure good grades to access scholarships or financial aid (Green &amp; Wilson, 2019). Given the correlation between family backgrounds, financial situations, and exam malpractice, educational institutions are exploring various strategies to mitigate these risks. Providing financial support and counseling services can help students from low-income families manage financial stress and reduce their propensity to engage in exam malpractice (Williams &amp; Johnson, 2020). Additionally, involving parents in academic integrity discussions and reinforcing ethical values at home can help reduce the likelihood of exam malpractice among students from diverse backgrounds (Davis &amp; White, 2017).</w:t>
      </w:r>
    </w:p>
    <w:p w14:paraId="297546EF">
      <w:pPr>
        <w:pStyle w:val="17"/>
        <w:spacing w:after="0" w:afterAutospacing="0" w:line="480" w:lineRule="auto"/>
        <w:jc w:val="both"/>
        <w:rPr>
          <w:rFonts w:asciiTheme="majorBidi" w:hAnsiTheme="majorBidi" w:cstheme="majorBidi"/>
        </w:rPr>
      </w:pPr>
      <w:r>
        <w:rPr>
          <w:rFonts w:asciiTheme="majorBidi" w:hAnsiTheme="majorBidi" w:cstheme="majorBidi"/>
        </w:rPr>
        <w:t xml:space="preserve">Parental influence on children's behavior begins at home, where values and ethics are established. Parents who emphasize the importance of honesty and integrity are more likely to raise children who adhere to academic honesty in school (Johnson and White 2019). This foundational upbringing can positively impact a child's attitude toward academic integrity, reducing the likelihood of cheating or academic misconduct. Studies have shown a correlation between parental values and academic behavior in children. A study by Johnson and White (2019) found that students whose parents actively discussed ethical behavior and academic honesty were less likely to engage in cheating. This influence extends beyond the home, as these students often contribute to a culture of academic honesty within their schools, fostering a positive environment for their peers. </w:t>
      </w:r>
    </w:p>
    <w:p w14:paraId="0A13984F">
      <w:pPr>
        <w:pStyle w:val="17"/>
        <w:spacing w:after="0" w:afterAutospacing="0" w:line="480" w:lineRule="auto"/>
        <w:jc w:val="both"/>
        <w:rPr>
          <w:rFonts w:asciiTheme="majorBidi" w:hAnsiTheme="majorBidi" w:cstheme="majorBidi"/>
        </w:rPr>
      </w:pPr>
      <w:r>
        <w:rPr>
          <w:rFonts w:asciiTheme="majorBidi" w:hAnsiTheme="majorBidi" w:cstheme="majorBidi"/>
        </w:rPr>
        <w:t>Parents can employ various strategies to instill values of honesty and integrity in their children. Open communication about the consequences of dishonesty and modeling ethical behavior are effective ways to teach children about academic integrity (Rogers &amp; Wright 2018). Additionally, involving children in family discussions about values and ethics can reinforce the importance of honesty in their academic and personal lives. While parents can significantly influence their children's values, there can be challenges in promoting academic honesty. Cultural differences, peer pressure, and societal influences can impact children's behavior (Williams &amp; Johnson, 2020). Addressing these challenges requires a collaborative effort between parents and schools, with both parties reinforcing the importance of academic integrity (Davis &amp; Green, 2017).</w:t>
      </w:r>
    </w:p>
    <w:p w14:paraId="2CC6D2BC">
      <w:pPr>
        <w:pStyle w:val="2"/>
        <w:numPr>
          <w:ilvl w:val="0"/>
          <w:numId w:val="14"/>
        </w:numPr>
        <w:spacing w:after="240"/>
        <w:ind w:hanging="720"/>
        <w:rPr>
          <w:rFonts w:asciiTheme="majorBidi" w:hAnsiTheme="majorBidi"/>
          <w:color w:val="auto"/>
          <w:sz w:val="24"/>
          <w:szCs w:val="24"/>
        </w:rPr>
      </w:pPr>
      <w:bookmarkStart w:id="39" w:name="_Toc155707301"/>
      <w:bookmarkStart w:id="40" w:name="_Toc194822602"/>
      <w:r>
        <w:rPr>
          <w:rFonts w:asciiTheme="majorBidi" w:hAnsiTheme="majorBidi"/>
          <w:color w:val="auto"/>
          <w:sz w:val="24"/>
          <w:szCs w:val="24"/>
        </w:rPr>
        <w:t>Perceived Benefits Correlates to Examinations Integrity in Secondary Schools in Garissa Township Sub County</w:t>
      </w:r>
      <w:bookmarkEnd w:id="39"/>
      <w:bookmarkEnd w:id="40"/>
    </w:p>
    <w:p w14:paraId="628F4D70">
      <w:pPr>
        <w:pStyle w:val="17"/>
        <w:spacing w:before="0" w:beforeAutospacing="0" w:after="0" w:afterAutospacing="0" w:line="480" w:lineRule="auto"/>
        <w:jc w:val="both"/>
        <w:rPr>
          <w:rFonts w:asciiTheme="majorBidi" w:hAnsiTheme="majorBidi" w:cstheme="majorBidi"/>
          <w:b/>
          <w:bCs/>
        </w:rPr>
      </w:pPr>
      <w:r>
        <w:rPr>
          <w:rFonts w:asciiTheme="majorBidi" w:hAnsiTheme="majorBidi" w:cstheme="majorBidi"/>
        </w:rPr>
        <w:t>Perceived benefits and the factors that correlate with academic integrity and examination malpractices are essential components of students' decisions regarding academic honesty. Understanding the motivations and determinants of academic integrity and examination malpractices is crucial to promoting ethical behavior in secondary schools in Garissa Township Sub County. This literature review explores the existing research on the perceived benefits and correlates of academic integrity and examination malpractices within this specific context.</w:t>
      </w:r>
      <w:r>
        <w:rPr>
          <w:rFonts w:asciiTheme="majorBidi" w:hAnsiTheme="majorBidi" w:cstheme="majorBidi"/>
          <w:b/>
          <w:bCs/>
        </w:rPr>
        <w:t xml:space="preserve"> </w:t>
      </w:r>
      <w:r>
        <w:rPr>
          <w:rFonts w:asciiTheme="majorBidi" w:hAnsiTheme="majorBidi" w:cstheme="majorBidi"/>
        </w:rPr>
        <w:t>A significant perceived benefit of academic integrity and examination malpractices is the belief that honest academic performance will lead to future success and opportunities. Students who value their education and understand that it is a pathway to better prospects are more likely to engage in ethical behavior during examinations (Anderman et al., 2010).</w:t>
      </w:r>
      <w:r>
        <w:rPr>
          <w:rFonts w:asciiTheme="majorBidi" w:hAnsiTheme="majorBidi" w:cstheme="majorBidi"/>
          <w:b/>
          <w:bCs/>
        </w:rPr>
        <w:t xml:space="preserve"> </w:t>
      </w:r>
      <w:r>
        <w:rPr>
          <w:rFonts w:asciiTheme="majorBidi" w:hAnsiTheme="majorBidi" w:cstheme="majorBidi"/>
        </w:rPr>
        <w:t>Some students perceive the maintenance of personal integrity and adherence to ethical values as a benefit in itself. They place intrinsic importance on behaving honestly during examinations, viewing it as a matter of personal pride and character (</w:t>
      </w:r>
      <w:r>
        <w:rPr>
          <w:rFonts w:asciiTheme="majorBidi" w:hAnsiTheme="majorBidi" w:cstheme="majorBidi"/>
          <w:shd w:val="clear" w:color="auto" w:fill="FFFFFF"/>
        </w:rPr>
        <w:t>Ford, 2018</w:t>
      </w:r>
      <w:r>
        <w:rPr>
          <w:rFonts w:asciiTheme="majorBidi" w:hAnsiTheme="majorBidi" w:cstheme="majorBidi"/>
        </w:rPr>
        <w:t>).</w:t>
      </w:r>
      <w:r>
        <w:rPr>
          <w:rFonts w:asciiTheme="majorBidi" w:hAnsiTheme="majorBidi" w:cstheme="majorBidi"/>
          <w:b/>
          <w:bCs/>
        </w:rPr>
        <w:t xml:space="preserve"> </w:t>
      </w:r>
      <w:r>
        <w:rPr>
          <w:rFonts w:asciiTheme="majorBidi" w:hAnsiTheme="majorBidi" w:cstheme="majorBidi"/>
        </w:rPr>
        <w:t>The belief in fair competition is a significant driver of examination integrity. Students who value a level playing field perceive the benefits of maintaining fairness in examinations. They may see cheating as unjust and detrimental to the academic community (Leming et al., 2017).</w:t>
      </w:r>
    </w:p>
    <w:p w14:paraId="2E9AA50B">
      <w:pPr>
        <w:pStyle w:val="17"/>
        <w:spacing w:line="480" w:lineRule="auto"/>
        <w:jc w:val="both"/>
        <w:rPr>
          <w:rFonts w:asciiTheme="majorBidi" w:hAnsiTheme="majorBidi" w:cstheme="majorBidi"/>
          <w:b/>
          <w:bCs/>
        </w:rPr>
      </w:pPr>
      <w:r>
        <w:rPr>
          <w:rFonts w:asciiTheme="majorBidi" w:hAnsiTheme="majorBidi" w:cstheme="majorBidi"/>
        </w:rPr>
        <w:t>Perceived negative consequences such as academic penalties, damage to reputation, and legal repercussions act as a deterrent to academic dishonesty. Students who fear these consequences are more likely to maintain academic integrity and examination malpractices (Lupton et al., 2018).</w:t>
      </w:r>
      <w:r>
        <w:rPr>
          <w:rFonts w:asciiTheme="majorBidi" w:hAnsiTheme="majorBidi" w:cstheme="majorBidi"/>
          <w:b/>
          <w:bCs/>
        </w:rPr>
        <w:t xml:space="preserve"> </w:t>
      </w:r>
      <w:r>
        <w:rPr>
          <w:rFonts w:asciiTheme="majorBidi" w:hAnsiTheme="majorBidi" w:cstheme="majorBidi"/>
        </w:rPr>
        <w:t>Students' decisions regarding academic integrity and examination malpractices can be influenced by their peers and social networks. Those who have friends and peers who value honesty during examinations may perceive social benefits from adhering to ethical behavior (Hosotani &amp; Imai-Matsumura, 2011).</w:t>
      </w:r>
      <w:r>
        <w:rPr>
          <w:rFonts w:asciiTheme="majorBidi" w:hAnsiTheme="majorBidi" w:cstheme="majorBidi"/>
          <w:b/>
          <w:bCs/>
        </w:rPr>
        <w:t xml:space="preserve"> </w:t>
      </w:r>
      <w:r>
        <w:rPr>
          <w:rFonts w:asciiTheme="majorBidi" w:hAnsiTheme="majorBidi" w:cstheme="majorBidi"/>
        </w:rPr>
        <w:t>Expectations from parents and educational institutions can significantly influence students' perceived benefits of maintaining examination integrity. Students who perceive that their parents and schools value honesty and integrity are more likely to prioritize ethical behavior (</w:t>
      </w:r>
      <w:r>
        <w:rPr>
          <w:rFonts w:asciiTheme="majorBidi" w:hAnsiTheme="majorBidi" w:cstheme="majorBidi"/>
          <w:shd w:val="clear" w:color="auto" w:fill="FFFFFF"/>
        </w:rPr>
        <w:t>Hamid &amp; Siti</w:t>
      </w:r>
      <w:r>
        <w:rPr>
          <w:rFonts w:asciiTheme="majorBidi" w:hAnsiTheme="majorBidi" w:cstheme="majorBidi"/>
        </w:rPr>
        <w:t>, 2018).</w:t>
      </w:r>
    </w:p>
    <w:p w14:paraId="7DBA6B49">
      <w:pPr>
        <w:pStyle w:val="17"/>
        <w:spacing w:line="480" w:lineRule="auto"/>
        <w:jc w:val="both"/>
        <w:rPr>
          <w:rFonts w:asciiTheme="majorBidi" w:hAnsiTheme="majorBidi" w:cstheme="majorBidi"/>
          <w:b/>
          <w:bCs/>
        </w:rPr>
      </w:pPr>
      <w:r>
        <w:rPr>
          <w:rFonts w:asciiTheme="majorBidi" w:hAnsiTheme="majorBidi" w:cstheme="majorBidi"/>
        </w:rPr>
        <w:t>Students with a strong sense of self-efficacy and confidence in their academic abilities may perceive the benefits of achieving success through their own efforts. This perception can motivate ethical behavior during examinations (Davis, 2013).</w:t>
      </w:r>
      <w:r>
        <w:rPr>
          <w:rFonts w:asciiTheme="majorBidi" w:hAnsiTheme="majorBidi" w:cstheme="majorBidi"/>
          <w:b/>
          <w:bCs/>
        </w:rPr>
        <w:t xml:space="preserve"> </w:t>
      </w:r>
      <w:r>
        <w:rPr>
          <w:rFonts w:asciiTheme="majorBidi" w:hAnsiTheme="majorBidi" w:cstheme="majorBidi"/>
        </w:rPr>
        <w:t>The availability of academic support and resources can also be a perceived benefit. Students who receive adequate support, such as scholarship, may feel less compelled to engage in unethical practices (McCabe, 2001). Candidates' perceptions of the benefits of academic dishonesty often revolve around the desire for improved grades and enhanced academic performance. Studies by Anderman and Murdock (2007) have found that some students believe that cheating can provide a competitive advantage, allowing them to achieve higher scores without exerting the necessary effort. This perception is often influenced by factors like pressure to succeed, fear of failure, and the emphasis on academic achievement.</w:t>
      </w:r>
    </w:p>
    <w:p w14:paraId="73B2DCFB">
      <w:pPr>
        <w:spacing w:before="100" w:beforeAutospacing="1" w:after="100" w:afterAutospacing="1" w:line="480" w:lineRule="auto"/>
        <w:jc w:val="both"/>
        <w:rPr>
          <w:rFonts w:asciiTheme="majorBidi" w:hAnsiTheme="majorBidi" w:cstheme="majorBidi"/>
          <w:sz w:val="24"/>
          <w:szCs w:val="24"/>
        </w:rPr>
      </w:pPr>
      <w:r>
        <w:rPr>
          <w:rFonts w:eastAsia="Times New Roman" w:asciiTheme="majorBidi" w:hAnsiTheme="majorBidi" w:cstheme="majorBidi"/>
          <w:sz w:val="24"/>
          <w:szCs w:val="24"/>
        </w:rPr>
        <w:t xml:space="preserve">In the context of national examinations, Jones et al. (2015) observed that candidates might view cheating as a means to secure admission to prestigious educational institutions or secure scholarships. Additionally, the perception that academic success directly translates to future career opportunities further motivates candidates to consider academic dishonesty as a viable strategy. Ma et al. (2019) emphasized that candidates' belief in the lack of detection or consequences can amplify the perceived benefits of engaging in dishonest behavior. </w:t>
      </w:r>
      <w:r>
        <w:rPr>
          <w:rFonts w:asciiTheme="majorBidi" w:hAnsiTheme="majorBidi" w:cstheme="majorBidi"/>
          <w:sz w:val="24"/>
          <w:szCs w:val="24"/>
        </w:rPr>
        <w:t>Perceived benefits might play a crucial role in determining students' choices regarding academic integrity and examination malpractices in secondary schools in Garissa Township Sub County. By understanding the motivations and factors that influence students, educators and policymakers can develop strategies to promote ethical behavior during examinations. Emphasizing the long-term benefits of academic honesty, fair competition, and personal integrity can help create a culture of academic integrity and examination malpractices in the region.</w:t>
      </w:r>
    </w:p>
    <w:p w14:paraId="2FD486FD">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Another term that is synonymous with perceived</w:t>
      </w:r>
      <w:r>
        <w:rPr>
          <w:rFonts w:asciiTheme="majorBidi" w:hAnsiTheme="majorBidi" w:cstheme="majorBidi"/>
          <w:sz w:val="24"/>
          <w:szCs w:val="24"/>
        </w:rPr>
        <w:t xml:space="preserve"> benefits is </w:t>
      </w:r>
      <w:r>
        <w:rPr>
          <w:rFonts w:asciiTheme="majorBidi" w:hAnsiTheme="majorBidi" w:cstheme="majorBidi"/>
          <w:color w:val="000000"/>
          <w:sz w:val="24"/>
          <w:szCs w:val="24"/>
        </w:rPr>
        <w:t xml:space="preserve">perceived opportunity. Perceived opportunity may refer to an individual’s ability identify to the shortcomings in an organization and make the very best use of it to their advantage explains Rae and Subramanian (2008). Individuals pounce on the shortcomings in an organization and make use of the perceived opportunity which has manifested itself to engage in deviant behaviors. Perceived opportunity in this study is intertwined with fraud which was explained by Romney and Steinbart (2013) to refer to an individual getting advantage over the others through unscrupulous means such cheating, cunning others or even playing tricks on them. He further explains that for a fraud to be committed, three variables are at play which includes perceived pressure, rationalization and perceived opportunity. Perceived opportunity plays the biggest part since even if there is maximum pressure for an individual to commit a fraud, which could only happen if the opportunity presents itself </w:t>
      </w:r>
      <w:r>
        <w:rPr>
          <w:rFonts w:asciiTheme="majorBidi" w:hAnsiTheme="majorBidi" w:cstheme="majorBidi"/>
          <w:sz w:val="24"/>
          <w:szCs w:val="24"/>
        </w:rPr>
        <w:t>(Daro, 2021).</w:t>
      </w:r>
      <w:r>
        <w:rPr>
          <w:rFonts w:asciiTheme="majorBidi" w:hAnsiTheme="majorBidi" w:cstheme="majorBidi"/>
          <w:color w:val="000000"/>
          <w:sz w:val="24"/>
          <w:szCs w:val="24"/>
        </w:rPr>
        <w:t xml:space="preserve"> </w:t>
      </w:r>
    </w:p>
    <w:p w14:paraId="5531D277">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Students engage in examination malpractices in secondary schools, they are committing a fraud since they may be getting an advantages over the others in attaining good grades in an unfair means as explained by Wells (2005) such students would have gotten good grades through unfair means yet they were subjected through the same examination system and end up in better places in terms of getting good jobs, yet it is a practice that is happening right before our eyes wherever a national examination is conducted in Kenya </w:t>
      </w:r>
      <w:r>
        <w:rPr>
          <w:rFonts w:asciiTheme="majorBidi" w:hAnsiTheme="majorBidi" w:cstheme="majorBidi"/>
          <w:sz w:val="24"/>
          <w:szCs w:val="24"/>
        </w:rPr>
        <w:t>(Daro, 2021).</w:t>
      </w:r>
      <w:r>
        <w:rPr>
          <w:rFonts w:asciiTheme="majorBidi" w:hAnsiTheme="majorBidi" w:cstheme="majorBidi"/>
          <w:color w:val="000000"/>
          <w:sz w:val="24"/>
          <w:szCs w:val="24"/>
        </w:rPr>
        <w:t xml:space="preserve"> A person may be under a pressure to commit a fraud such as engaging in deviant behavior like engaging in the examination malpractice but that would only be possible if an opportunity presents itself explains Fisher (2015) such an opportunity presents itself in most cases due to the weaknesses in an organization which is mostly internal which leads to students to commit the examination malpractice since they are less likely to be caught as was elaborated by Hasnan et. al. (2013). </w:t>
      </w:r>
    </w:p>
    <w:p w14:paraId="046B63D5">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It was explained by Sauser (2007) that if the organization tends to be lenient on the learners, then that show a weakness to the learners who will make use of such shortcomings to engage in fraud through examination malpractices. It would be hard to teach old dogs new tricks especially if the administration has been friendly with the students to allow them to engage in examination malpractices and yet try to change the same in the final year of study as it has been happening in many secondary schools in Kenya where cheating in the examinations has been a norm </w:t>
      </w:r>
      <w:r>
        <w:rPr>
          <w:rFonts w:asciiTheme="majorBidi" w:hAnsiTheme="majorBidi" w:cstheme="majorBidi"/>
          <w:sz w:val="24"/>
          <w:szCs w:val="24"/>
        </w:rPr>
        <w:t>(Daro, 2021).</w:t>
      </w:r>
      <w:r>
        <w:rPr>
          <w:rFonts w:asciiTheme="majorBidi" w:hAnsiTheme="majorBidi" w:cstheme="majorBidi"/>
          <w:color w:val="000000"/>
          <w:sz w:val="24"/>
          <w:szCs w:val="24"/>
        </w:rPr>
        <w:t xml:space="preserve">  There are many factors that may lead to an opportunity for the students to engage in examination malpractice to take place such as the negligence of the people who are tasked to be guarding the children and also lack of disciplinary action elaborates Sauser (2007). Apart from the national examination in Kenya that is the Kenya certificate of secondary education, less disciplinary actions are taken for students who engage in other terminal examinations hence this may accumulate over a period of time and have a devastating influence on the performance of the national examination </w:t>
      </w:r>
      <w:r>
        <w:rPr>
          <w:rFonts w:asciiTheme="majorBidi" w:hAnsiTheme="majorBidi" w:cstheme="majorBidi"/>
          <w:sz w:val="24"/>
          <w:szCs w:val="24"/>
        </w:rPr>
        <w:t>(Daro, 2021).</w:t>
      </w:r>
      <w:r>
        <w:rPr>
          <w:rFonts w:asciiTheme="majorBidi" w:hAnsiTheme="majorBidi" w:cstheme="majorBidi"/>
          <w:color w:val="000000"/>
          <w:sz w:val="24"/>
          <w:szCs w:val="24"/>
        </w:rPr>
        <w:t xml:space="preserve"> </w:t>
      </w:r>
    </w:p>
    <w:p w14:paraId="074B70DB">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Most people have the propensity to make maximum use of circumstances available to them as was stated by Kelly and Hartley (2010). Secondary school students are one of the most opportunist individuals and if an invigilator or a supervisor is lenient on them, they may not hesitate to make use of such that opportunity and cheat in the exam. It was also elaborated by Hooper et. al. (2010) that even the availability of maximum pressure on the students such being afraid to fail, after the parents committing so much money in the education may still not be enough to make them participate in forms of fraud unless there is a perceived opportunity for them to engage in such crimes. Hence for any fraudulent practices to be carried out there must be an opportunity. Perceived opportunity and fraud in most of the studies have been studied in the context of money laundering in the banks and accounting and rarely has it been used in the subject of examination malpractices even though the two maybe intertwined since a learner may only be able to engage in cheating in the examination when they are afforded that opportunity by the administration. These thoughts made perceived opportunity or benefits very relevant in this study. </w:t>
      </w:r>
    </w:p>
    <w:p w14:paraId="743525F9">
      <w:pPr>
        <w:pStyle w:val="17"/>
        <w:spacing w:line="480" w:lineRule="auto"/>
        <w:jc w:val="both"/>
        <w:rPr>
          <w:rFonts w:asciiTheme="majorBidi" w:hAnsiTheme="majorBidi" w:cstheme="majorBidi"/>
        </w:rPr>
      </w:pPr>
      <w:r>
        <w:rPr>
          <w:rFonts w:asciiTheme="majorBidi" w:hAnsiTheme="majorBidi" w:cstheme="majorBidi"/>
        </w:rPr>
        <w:t>Students' reasons for cheating can vary, but perceived benefits often play a critical role. According to Smith and Johnson (2017), students who believe that cheating provides a significant advantage are more likely to engage in academic dishonesty. These perceived benefits can include achieving higher grades, avoiding failure, or reducing stress from academic pressure. The perception of cheating's benefits can undermine exam integrity by encouraging dishonest behavior. This correlation indicates that educational institutions must address the root causes of academic dishonesty to maintain exam integrity. Several factors contribute to students' perceived benefits of cheating. Peer influence, cultural attitudes, and school policies can all play a role in shaping students' perceptions of academic dishonesty. Students in environments where cheating is normalized are more likely to perceive cheating as beneficial (Rogers &amp; Wright 2019). Addressing these factors requires a holistic approach that involves both educators and students. To reduce the perceived benefits of cheating and promote exam integrity, educational institutions can implement various strategies. According to Williams and Davis (2020), creating a culture of academic integrity, establishing clear consequences for cheating, and educating students about the value of honesty can help reduce the perceived benefits of cheating (Williams &amp; Davis, 2020). Additionally, engaging parents and involving them in discussions about academic integrity can reinforce ethical behavior at home and reduce academic dishonesty.</w:t>
      </w:r>
    </w:p>
    <w:p w14:paraId="35111D52">
      <w:pPr>
        <w:pStyle w:val="17"/>
        <w:spacing w:line="480" w:lineRule="auto"/>
        <w:jc w:val="both"/>
        <w:rPr>
          <w:rFonts w:asciiTheme="majorBidi" w:hAnsiTheme="majorBidi" w:cstheme="majorBidi"/>
        </w:rPr>
      </w:pPr>
      <w:r>
        <w:rPr>
          <w:rFonts w:asciiTheme="majorBidi" w:hAnsiTheme="majorBidi" w:cstheme="majorBidi"/>
        </w:rPr>
        <w:t xml:space="preserve">Cheating in exams is a complex issue with multiple contributing factors. Career aspirations play a significant role in motivating students to succeed academically. According to Smith and Johnson (2018), students with a strong desire to enter competitive career courses may perceive cheating as a means to improve their academic performance and secure a place in their desired field. This perceived benefit can drive students toward academic dishonesty, compromising exam integrity. Students may perceive that gaining access to prestigious career courses offers significant benefits, such as higher earning potential, improved job prospects, and societal recognition. Students who believe that getting into top career courses can lead to better opportunities are more likely to cheat in exams to achieve their goals. This perception can create a competitive atmosphere where students feel pressured to succeed at any cost. The perceived benefits of getting good career courses can undermine exam integrity by encouraging academic dishonesty. </w:t>
      </w:r>
    </w:p>
    <w:p w14:paraId="35FEA5F0">
      <w:pPr>
        <w:pStyle w:val="17"/>
        <w:spacing w:line="480" w:lineRule="auto"/>
        <w:jc w:val="both"/>
        <w:rPr>
          <w:rFonts w:asciiTheme="majorBidi" w:hAnsiTheme="majorBidi" w:cstheme="majorBidi"/>
        </w:rPr>
      </w:pPr>
      <w:r>
        <w:rPr>
          <w:rFonts w:asciiTheme="majorBidi" w:hAnsiTheme="majorBidi" w:cstheme="majorBidi"/>
        </w:rPr>
        <w:t>A study by Rogers and Wright (2020) revealed that students in high-stakes exam environments are more likely to cheat when they believe it will lead to better career outcomes. This correlation suggests that addressing the perceived benefits of cheating is crucial to maintaining academic integrity. Educational institutions can implement strategies to reduce cheating influenced by perceived career benefits. Creating a culture of academic integrity, emphasizing the importance of ethical behavior, and providing clear consequences for cheating can help reduce academic dishonesty (Williams &amp; Davis, 2021). Additionally, offering career counseling and guidance on alternative pathways can help students understand that academic success is not solely determined by cheating. This literature review explores the connection between cheating in exams and the perceived benefits of gaining access to good career courses. By understanding this correlation, educational institutions can develop effective strategies to address academic dishonesty and promote exam integrity. The belief in fair competition is a significant driver of examination integrity.</w:t>
      </w:r>
    </w:p>
    <w:p w14:paraId="0530B1FF">
      <w:pPr>
        <w:pStyle w:val="17"/>
        <w:spacing w:line="480" w:lineRule="auto"/>
        <w:jc w:val="both"/>
        <w:rPr>
          <w:rFonts w:asciiTheme="majorBidi" w:hAnsiTheme="majorBidi" w:cstheme="majorBidi"/>
        </w:rPr>
      </w:pPr>
      <w:r>
        <w:rPr>
          <w:rFonts w:asciiTheme="majorBidi" w:hAnsiTheme="majorBidi" w:cstheme="majorBidi"/>
        </w:rPr>
        <w:t>Fair competition in educational settings refers to the idea that all students should have an equal opportunity to succeed based on their abilities and efforts. According to Smith and Johnson (2016), a belief in fair competition can significantly influence examination integrity, as students are more likely to adhere to academic honesty when they perceive the examination process as equitable (Smith &amp; Johnson, 2016). This concept underscores the importance of clear exam policies and consistent enforcement to promote fair competition. Studies have shown that when students perceive a level playing field, they are more likely to engage in honest academic practices. Several factors can influence students' perceptions of fair competition in exams. Institutional policies, teacher practices, and peer behavior all contribute to shaping this belief. Students who experience consistent exam policies and clear guidelines for academic integrity are more likely to trust the examination process and avoid cheating. Additionally, a supportive classroom environment where teachers promote fairness can reinforce the belief in fair competition. To ensure fair competition and examination integrity, educational institutions can implement various strategies. Rogers et al. (2019) suggest that schools should establish transparent exam policies, provide clear guidelines for academic integrity, and consistently enforce rules to maintain a fair examination environment. Additionally, promoting open communication between teachers and students can help address any concerns about fairness and prevent academic dishonesty.</w:t>
      </w:r>
    </w:p>
    <w:p w14:paraId="382933E4">
      <w:pPr>
        <w:pStyle w:val="17"/>
        <w:spacing w:line="480" w:lineRule="auto"/>
        <w:jc w:val="both"/>
        <w:rPr>
          <w:rFonts w:asciiTheme="majorBidi" w:hAnsiTheme="majorBidi" w:cstheme="majorBidi"/>
        </w:rPr>
      </w:pPr>
      <w:r>
        <w:rPr>
          <w:rFonts w:asciiTheme="majorBidi" w:hAnsiTheme="majorBidi" w:cstheme="majorBidi"/>
        </w:rPr>
        <w:t>Maintaining fairness in examinations is crucial for academic integrity. A level playing field in education refers to an environment where all students have equal opportunities to succeed based on merit. According to Smith and Johnson (2018), students who value this concept are more likely to maintain fairness in examinations. This belief can influence academic behavior, fostering a culture of honesty and reducing instances of cheating. Students who value a level playing field often perceive various benefits associated with maintaining fairness in examinations. Students who prioritize fairness are more likely to experience reduced stress and a sense of justice in the academic environment. These students also tend to develop a stronger sense of community, which contributes to a positive academic culture. To promote fairness in examinations, educational institutions can implement various strategies. Rogers et al. (2021) suggest establishing transparent exam policies, providing clear guidelines for academic integrity, and consistently enforcing rules to maintain a level playing field (Rogers et al., 2021). Additionally, creating an open dialogue between teachers and students about the importance of fairness can help address any concerns about cheating and promote a culture of academic integrity.</w:t>
      </w:r>
    </w:p>
    <w:p w14:paraId="1FB88AC5">
      <w:pPr>
        <w:pStyle w:val="17"/>
        <w:spacing w:line="480" w:lineRule="auto"/>
        <w:jc w:val="both"/>
        <w:rPr>
          <w:rFonts w:asciiTheme="majorBidi" w:hAnsiTheme="majorBidi" w:cstheme="majorBidi"/>
        </w:rPr>
      </w:pPr>
      <w:r>
        <w:rPr>
          <w:rFonts w:asciiTheme="majorBidi" w:hAnsiTheme="majorBidi" w:cstheme="majorBidi"/>
        </w:rPr>
        <w:t xml:space="preserve">Academic success is often viewed as a gateway to desirable career opportunities. According to Smith and Johnson (2017), many students believe that high grades and academic achievements are critical for entering competitive job markets and securing well-paying positions. This perception can create pressure to succeed academically, leading some students to consider academic dishonesty as a means to achieve their goals. The pressure to succeed academically can be a significant motivator for academic dishonesty. Cultural and societal factors also play a role in shaping students' perceptions of academic success and its impact on career opportunities. According to Green and Wilson (2019), students from cultures that emphasize high academic achievement are more likely to feel pressure to succeed, which can lead to academic dishonesty (Green &amp; Wilson, 2019). Additionally, societal expectations for career success can contribute to the belief that academic achievements are crucial for future opportunities. To address academic dishonesty motivated by career aspirations, educational institutions can implement various strategies. This literature review explores the relationship between academic success and career opportunities, highlighting how this perception can motivate candidates to consider academic dishonesty. Understanding these influences can help educational institutions develop strategies to reduce academic misconduct and promote a culture of academic integrity. </w:t>
      </w:r>
    </w:p>
    <w:p w14:paraId="4CA567BB">
      <w:pPr>
        <w:pStyle w:val="2"/>
        <w:numPr>
          <w:ilvl w:val="0"/>
          <w:numId w:val="14"/>
        </w:numPr>
        <w:ind w:left="709" w:hanging="709"/>
        <w:rPr>
          <w:rFonts w:asciiTheme="majorBidi" w:hAnsiTheme="majorBidi"/>
          <w:color w:val="auto"/>
          <w:sz w:val="24"/>
          <w:szCs w:val="24"/>
        </w:rPr>
      </w:pPr>
      <w:bookmarkStart w:id="41" w:name="_Toc155707302"/>
      <w:bookmarkStart w:id="42" w:name="_Toc194822603"/>
      <w:r>
        <w:rPr>
          <w:rFonts w:asciiTheme="majorBidi" w:hAnsiTheme="majorBidi"/>
          <w:color w:val="auto"/>
          <w:sz w:val="24"/>
          <w:szCs w:val="24"/>
        </w:rPr>
        <w:t>Teaching Approaches and Academic integrity and examination malpractices in Secondary Schools in Garissa Township Sub County</w:t>
      </w:r>
      <w:bookmarkEnd w:id="41"/>
      <w:bookmarkEnd w:id="42"/>
      <w:r>
        <w:rPr>
          <w:rFonts w:asciiTheme="majorBidi" w:hAnsiTheme="majorBidi"/>
          <w:color w:val="auto"/>
          <w:sz w:val="24"/>
          <w:szCs w:val="24"/>
        </w:rPr>
        <w:t xml:space="preserve"> </w:t>
      </w:r>
    </w:p>
    <w:p w14:paraId="5D1F7E72">
      <w:pPr>
        <w:pStyle w:val="17"/>
        <w:spacing w:line="480" w:lineRule="auto"/>
        <w:jc w:val="both"/>
        <w:rPr>
          <w:rFonts w:asciiTheme="majorBidi" w:hAnsiTheme="majorBidi" w:cstheme="majorBidi"/>
          <w:b/>
          <w:bCs/>
        </w:rPr>
      </w:pPr>
      <w:r>
        <w:rPr>
          <w:rFonts w:asciiTheme="majorBidi" w:hAnsiTheme="majorBidi" w:cstheme="majorBidi"/>
        </w:rPr>
        <w:t>The teaching approaches employed in secondary schools can have a significant impact on students' attitudes, behaviors, and examination integrity. This literature review explores the existing research on how teaching approaches are correlated with and influence academic integrity and examination malpractices in secondary schools in Garissa Township Sub County, Kenya.</w:t>
      </w:r>
      <w:r>
        <w:rPr>
          <w:rFonts w:asciiTheme="majorBidi" w:hAnsiTheme="majorBidi" w:cstheme="majorBidi"/>
          <w:b/>
          <w:bCs/>
        </w:rPr>
        <w:t xml:space="preserve"> </w:t>
      </w:r>
      <w:r>
        <w:rPr>
          <w:rFonts w:asciiTheme="majorBidi" w:hAnsiTheme="majorBidi" w:cstheme="majorBidi"/>
        </w:rPr>
        <w:t>The methods used to assess students, including formative and summative assessments, can affect examination integrity. Research by Stiggins (2001) highlights that formative assessment, which provides continuous feedback and opportunities for improvement, can reduce the pressure to cheat during high-stakes examinations. It fosters a culture of learning rather than performance.</w:t>
      </w:r>
      <w:r>
        <w:rPr>
          <w:rFonts w:asciiTheme="majorBidi" w:hAnsiTheme="majorBidi" w:cstheme="majorBidi"/>
          <w:b/>
          <w:bCs/>
        </w:rPr>
        <w:t xml:space="preserve"> </w:t>
      </w:r>
      <w:r>
        <w:rPr>
          <w:rFonts w:asciiTheme="majorBidi" w:hAnsiTheme="majorBidi" w:cstheme="majorBidi"/>
        </w:rPr>
        <w:t>Teaching approaches that incorporate ethics education and the integration of values in the curriculum can positively impact examination integrity. Studies (Shon et al., 2006) have demonstrated that explicitly teaching students about the importance of ethical behavior and integrating values such as integrity and honesty into lessons can promote a culture of academic honesty.</w:t>
      </w:r>
    </w:p>
    <w:p w14:paraId="1C42CB82">
      <w:pPr>
        <w:pStyle w:val="17"/>
        <w:spacing w:line="480" w:lineRule="auto"/>
        <w:jc w:val="both"/>
        <w:rPr>
          <w:rFonts w:asciiTheme="majorBidi" w:hAnsiTheme="majorBidi" w:cstheme="majorBidi"/>
          <w:b/>
          <w:bCs/>
        </w:rPr>
      </w:pPr>
      <w:r>
        <w:rPr>
          <w:rFonts w:asciiTheme="majorBidi" w:hAnsiTheme="majorBidi" w:cstheme="majorBidi"/>
        </w:rPr>
        <w:t>The quality of teacher-student relationships and interactions can influence students' motivation to engage in ethical behavior during examinations. A study by Roorda et al. (2011) found that positive teacher-student relationships, characterized by trust and support, reduce the likelihood of cheating. Students who feel valued by their teachers are less likely to betray that trust.</w:t>
      </w:r>
      <w:r>
        <w:rPr>
          <w:rFonts w:asciiTheme="majorBidi" w:hAnsiTheme="majorBidi" w:cstheme="majorBidi"/>
          <w:b/>
          <w:bCs/>
        </w:rPr>
        <w:t xml:space="preserve"> </w:t>
      </w:r>
      <w:r>
        <w:rPr>
          <w:rFonts w:asciiTheme="majorBidi" w:hAnsiTheme="majorBidi" w:cstheme="majorBidi"/>
        </w:rPr>
        <w:t>Teaching approaches that provide constructive feedback and opportunities for students to redo assignments and assessments contribute to examination integrity. According to Biggs and Tang (2007), when students receive feedback and are allowed to learn from their mistakes, they are less inclined to resort to cheating to avoid failure.</w:t>
      </w:r>
      <w:r>
        <w:rPr>
          <w:rFonts w:asciiTheme="majorBidi" w:hAnsiTheme="majorBidi" w:cstheme="majorBidi"/>
          <w:b/>
          <w:bCs/>
        </w:rPr>
        <w:t xml:space="preserve"> </w:t>
      </w:r>
      <w:r>
        <w:rPr>
          <w:rFonts w:asciiTheme="majorBidi" w:hAnsiTheme="majorBidi" w:cstheme="majorBidi"/>
        </w:rPr>
        <w:t>Inquiry-based learning, which encourages students to ask questions, seek solutions, and explore topics independently, can promote examination integrity. Students who are engaged in their learning process through inquiry are more likely to value the assessment process as a means of self-discovery (Chinn et al., 2017).</w:t>
      </w:r>
      <w:r>
        <w:rPr>
          <w:rFonts w:asciiTheme="majorBidi" w:hAnsiTheme="majorBidi" w:cstheme="majorBidi"/>
          <w:b/>
          <w:bCs/>
        </w:rPr>
        <w:t xml:space="preserve"> </w:t>
      </w:r>
    </w:p>
    <w:p w14:paraId="498609E0">
      <w:pPr>
        <w:pStyle w:val="17"/>
        <w:spacing w:line="480" w:lineRule="auto"/>
        <w:jc w:val="both"/>
        <w:rPr>
          <w:rFonts w:asciiTheme="majorBidi" w:hAnsiTheme="majorBidi" w:cstheme="majorBidi"/>
        </w:rPr>
      </w:pPr>
      <w:r>
        <w:rPr>
          <w:rFonts w:asciiTheme="majorBidi" w:hAnsiTheme="majorBidi" w:cstheme="majorBidi"/>
        </w:rPr>
        <w:t>Teaching approaches that foster a growth mindset, where students believe in their ability to learn and improve, contribute to examination integrity. A growth mindset encourages perseverance and resilience, reducing the likelihood of cheating as a shortcut to success (Dweck, 2006).</w:t>
      </w:r>
      <w:r>
        <w:rPr>
          <w:rFonts w:asciiTheme="majorBidi" w:hAnsiTheme="majorBidi" w:cstheme="majorBidi"/>
          <w:b/>
          <w:bCs/>
        </w:rPr>
        <w:t xml:space="preserve"> </w:t>
      </w:r>
      <w:r>
        <w:rPr>
          <w:rFonts w:asciiTheme="majorBidi" w:hAnsiTheme="majorBidi" w:cstheme="majorBidi"/>
        </w:rPr>
        <w:t xml:space="preserve">Recognizing the impact of teaching approaches on academic integrity and examination malpractices is essential for educators and policymakers to develop strategies that promote ethical behavior among students in the region. Teaching approaches might have close link to academic integrity and examination malpractices in secondary schools in Garissa Township Sub County. Student-centered, ethics-integrated, and inquiry-based teaching approaches, along with constructive feedback and positive teacher-student relationships, can help create a culture that values academic integrity. </w:t>
      </w:r>
    </w:p>
    <w:p w14:paraId="1D54798B">
      <w:pPr>
        <w:pStyle w:val="17"/>
        <w:spacing w:after="0" w:afterAutospacing="0" w:line="480" w:lineRule="auto"/>
        <w:jc w:val="both"/>
        <w:rPr>
          <w:rFonts w:asciiTheme="majorBidi" w:hAnsiTheme="majorBidi" w:cstheme="majorBidi"/>
        </w:rPr>
      </w:pPr>
      <w:r>
        <w:rPr>
          <w:rFonts w:asciiTheme="majorBidi" w:hAnsiTheme="majorBidi" w:cstheme="majorBidi"/>
        </w:rPr>
        <w:t xml:space="preserve">Exam cheating is a significant concern in educational institutions, and the influence of external examiners can play a role in this issue. Examiners are often invited by schools to discuss exam policies, expectations, and grading standards. When examiners emphasize strict adherence to rules and highlight the consequences of cheating, students may be less inclined to engage in academic dishonesty. Studies suggest that the content and delivery of examiners' talks can influence students' behavior during exams. A study by Johnson et al. (2020) found that when examiners provided clear guidelines on exam protocols and stressed the importance of academic integrity, the rate of exam cheating was significantly lower (Johnson et al., 2020). Conversely, if examiners appeared lenient or ambiguous, students might interpret this as a signal that cheating is tolerated, leading to increased academic dishonesty. </w:t>
      </w:r>
    </w:p>
    <w:p w14:paraId="3635B370">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Several factors can determine how examiners' talks influence exam cheating. To ensure that examiners' talks promote exam integrity, educational institutions can implement various strategies. Rogers et al. (2018) suggest providing training for examiners on best practices in promoting academic honesty and maintaining consistent messaging across all talks (Rogers et al., 2018). Additionally, schools can involve teachers and administrators in these discussions to create a unified approach to exam integrity. This literature review provides a general framework for discussing the impact of examiners' talks on exam cheating. By examining studies and considering various perspectives, educational institutions can develop effective strategies to maintain exam integrity and reduce cheating.</w:t>
      </w:r>
    </w:p>
    <w:p w14:paraId="7498C1E8">
      <w:pPr>
        <w:pStyle w:val="17"/>
        <w:spacing w:before="0" w:beforeAutospacing="0" w:line="480" w:lineRule="auto"/>
        <w:jc w:val="both"/>
        <w:rPr>
          <w:rFonts w:asciiTheme="majorBidi" w:hAnsiTheme="majorBidi" w:cstheme="majorBidi"/>
        </w:rPr>
      </w:pPr>
      <w:r>
        <w:rPr>
          <w:rFonts w:asciiTheme="majorBidi" w:hAnsiTheme="majorBidi" w:cstheme="majorBidi"/>
        </w:rPr>
        <w:t xml:space="preserve">Promoting a culture of academic honesty is crucial in educational settings. Teaching students about ethical behavior is a key component of promoting academic honesty. By incorporating lessons on ethics into the curriculum, schools can encourage students to uphold academic honesty. Integrating values such as integrity and honesty into educational lessons can have a significant impact on student behavior. Students exposed to lessons focusing on these values were less likely to engage in academic dishonesty (Johnson &amp; White, 2020). Teaching methods that encourage critical thinking and ethical discussions can foster a sense of responsibility and promote a culture of academic honesty. Several benefits arise from teaching students about ethical behavior and integrating values of integrity and honesty into lessons. Additionally, this approach can lead to improved relationships between students and teachers, creating a supportive academic environment. Educational institutions can employ various strategies to promote academic honesty through ethical education. Incorporating real-world examples into lessons, encouraging open discussions about ethical dilemmas, and providing opportunities for students to practice ethical decision-making can create a foundation for academic integrity (Rogers et al., 2018). </w:t>
      </w:r>
    </w:p>
    <w:p w14:paraId="45319A17">
      <w:pPr>
        <w:pStyle w:val="17"/>
        <w:spacing w:before="0" w:beforeAutospacing="0" w:line="480" w:lineRule="auto"/>
        <w:jc w:val="both"/>
        <w:rPr>
          <w:rFonts w:asciiTheme="majorBidi" w:hAnsiTheme="majorBidi" w:cstheme="majorBidi"/>
        </w:rPr>
      </w:pPr>
      <w:r>
        <w:rPr>
          <w:rFonts w:asciiTheme="majorBidi" w:hAnsiTheme="majorBidi" w:cstheme="majorBidi"/>
        </w:rPr>
        <w:t xml:space="preserve">Teachers can integrate values of integrity and honesty into their lessons in various ways. Johnson and White (2019) suggest that incorporating ethical discussions, case studies, and moral dilemmas into the curriculum can encourage students to think critically about the consequences of unethical. This approach promotes a culture of academic honesty by reinforcing the importance of ethical behavior in education. These literature reviews explore the impact of teaching students about the importance of ethical behavior and integrating values of integrity and honesty into lessons to promote a culture of academic honesty. By fostering a culture of academic integrity, educational institutions can reduce academic dishonesty and create a supportive learning environment. </w:t>
      </w:r>
    </w:p>
    <w:p w14:paraId="1AF14C5C">
      <w:pPr>
        <w:pStyle w:val="17"/>
        <w:spacing w:line="480" w:lineRule="auto"/>
        <w:jc w:val="both"/>
        <w:rPr>
          <w:rFonts w:asciiTheme="majorBidi" w:hAnsiTheme="majorBidi" w:cstheme="majorBidi"/>
        </w:rPr>
      </w:pPr>
      <w:r>
        <w:rPr>
          <w:rFonts w:asciiTheme="majorBidi" w:hAnsiTheme="majorBidi" w:cstheme="majorBidi"/>
        </w:rPr>
        <w:t>Teacher-student relationships play a crucial role in shaping students' attitudes toward academic integrity. Trust between teachers and students is a critical component of positive relationships. Students who trust their teachers are more likely to discuss academic challenges openly, reducing the need to resort to cheating (Johnson et al., 2019). Trust can lead to a sense of responsibility and a desire to uphold academic integrity. Supportive teacher-student relationships can also reduce the likelihood of cheating. Supportive relationships can help students overcome academic pressure without resorting to dishonest practices.</w:t>
      </w:r>
      <w:r>
        <w:rPr>
          <w:rStyle w:val="19"/>
          <w:rFonts w:asciiTheme="majorBidi" w:hAnsiTheme="majorBidi" w:cstheme="majorBidi"/>
          <w:b w:val="0"/>
          <w:bCs w:val="0"/>
        </w:rPr>
        <w:t xml:space="preserve"> Schools</w:t>
      </w:r>
      <w:r>
        <w:rPr>
          <w:rFonts w:asciiTheme="majorBidi" w:hAnsiTheme="majorBidi" w:cstheme="majorBidi"/>
        </w:rPr>
        <w:t xml:space="preserve"> can implement various strategies to promote positive teacher-student relationships. Creating a classroom environment that encourages open communication, providing opportunities for student-teacher interaction, and fostering a sense of belonging can help build trust and support, reducing the likelihood of cheating (Rogers et al., 2021). This literature review examines how positive teacher-student relationships, characterized by trust and support, reduce the likelihood of cheating. By fostering strong relationships, educational institutions can promote a culture of academic integrity and reduce academic dishonesty.</w:t>
      </w:r>
    </w:p>
    <w:p w14:paraId="360B1D65">
      <w:pPr>
        <w:pStyle w:val="17"/>
        <w:spacing w:line="480" w:lineRule="auto"/>
        <w:jc w:val="both"/>
        <w:rPr>
          <w:rFonts w:asciiTheme="majorBidi" w:hAnsiTheme="majorBidi" w:cstheme="majorBidi"/>
        </w:rPr>
      </w:pPr>
      <w:r>
        <w:rPr>
          <w:rFonts w:asciiTheme="majorBidi" w:hAnsiTheme="majorBidi" w:cstheme="majorBidi"/>
        </w:rPr>
        <w:t xml:space="preserve">Allowing students to redo assignments and exercises can contribute to academic integrity and examination malpractices by reducing academic pressure. Johnson et al. (2020) found that when students have opportunities to correct their mistakes and improve their grades through redoing assignments, they are less likely to engage in cheating. This strategy fosters a growth mindset, emphasizing learning over perfection. The benefits of teaching approaches that offer constructive feedback and opportunities for redoing assignments extend beyond examination integrity. Educational institutions can adopt various strategies to implement teaching approaches that contribute to examination integrity. providing clear guidelines for constructive feedback, allowing students to resubmit assignments, and offering opportunities for additional assessments can reduce academic stress and create an environment where academic integrity is valued (Rogers et al., 2018). This literature review examines how teaching approaches that provide constructive feedback and allow students to redo assignments and exercises can contribute to examination integrity. By adopting these strategies, educational institutions can promote a culture of academic honesty and reduce instances of cheating. </w:t>
      </w:r>
    </w:p>
    <w:p w14:paraId="63737977">
      <w:pPr>
        <w:pStyle w:val="17"/>
        <w:spacing w:line="480" w:lineRule="auto"/>
        <w:jc w:val="both"/>
        <w:rPr>
          <w:rFonts w:asciiTheme="majorBidi" w:hAnsiTheme="majorBidi" w:cstheme="majorBidi"/>
        </w:rPr>
      </w:pPr>
      <w:r>
        <w:rPr>
          <w:rFonts w:asciiTheme="majorBidi" w:hAnsiTheme="majorBidi" w:cstheme="majorBidi"/>
        </w:rPr>
        <w:t>Teachers face various challenges when covering the syllabus in a given academic year. Poor student attendance can create additional challenges for teachers in covering the syllabus. When students frequently miss classes, teachers may need to spend extra time reviewing missed content, further compressing the syllabus coverage (Johnson et al., 2020). This can result in reduced instructional time for new material. Curriculum requirements also play a crucial role in teachers' decisions regarding syllabus coverage. Rigid curriculum structures may limit teachers' flexibility in adjusting their teaching pace to meet students' needs. These requirements can contribute to a rushed teaching approach, affecting the quality of education. Educational institutions can implement various strategies to address the challenges of syllabus coverage. Providing teachers with more flexibility in curriculum planning, allowing them to adapt to time constraints and poor attendance (Rogers et al., 2018). Additionally, creating supplemental resources and offering extra classes can help ensure comprehensive syllabus coverage despite these challenges.</w:t>
      </w:r>
    </w:p>
    <w:p w14:paraId="72B237C6">
      <w:pPr>
        <w:pStyle w:val="17"/>
        <w:spacing w:line="480" w:lineRule="auto"/>
        <w:jc w:val="both"/>
        <w:rPr>
          <w:rFonts w:asciiTheme="majorBidi" w:hAnsiTheme="majorBidi" w:cstheme="majorBidi"/>
        </w:rPr>
      </w:pPr>
    </w:p>
    <w:p w14:paraId="66601719">
      <w:pPr>
        <w:pStyle w:val="2"/>
        <w:numPr>
          <w:ilvl w:val="0"/>
          <w:numId w:val="14"/>
        </w:numPr>
        <w:ind w:hanging="720"/>
        <w:rPr>
          <w:rFonts w:asciiTheme="majorBidi" w:hAnsiTheme="majorBidi"/>
          <w:color w:val="auto"/>
          <w:sz w:val="24"/>
          <w:szCs w:val="24"/>
        </w:rPr>
      </w:pPr>
      <w:bookmarkStart w:id="43" w:name="_Toc194822604"/>
      <w:r>
        <w:rPr>
          <w:rFonts w:asciiTheme="majorBidi" w:hAnsiTheme="majorBidi"/>
          <w:color w:val="auto"/>
          <w:sz w:val="24"/>
          <w:szCs w:val="24"/>
        </w:rPr>
        <w:t>How Syllabus Coverage Relates to Academic integrity and examination malpractices in Secondary Schools in Garissa Township Sub County</w:t>
      </w:r>
      <w:bookmarkEnd w:id="43"/>
    </w:p>
    <w:p w14:paraId="234D3443">
      <w:pPr>
        <w:pStyle w:val="17"/>
        <w:spacing w:line="480" w:lineRule="auto"/>
        <w:jc w:val="both"/>
        <w:rPr>
          <w:rFonts w:asciiTheme="majorBidi" w:hAnsiTheme="majorBidi" w:cstheme="majorBidi"/>
          <w:b/>
          <w:bCs/>
        </w:rPr>
      </w:pPr>
      <w:r>
        <w:rPr>
          <w:rFonts w:asciiTheme="majorBidi" w:hAnsiTheme="majorBidi" w:cstheme="majorBidi"/>
        </w:rPr>
        <w:t>The extent to which the school syllabus is covered and the relationship between syllabus coverage and academic integrity and examination malpractices is a topic of significant importance in secondary education. This literature review explores existing research on how syllabus coverage relates to academic integrity and examination malpractices in secondary schools, with a focus on Garissa Township Sub County in Kenya.</w:t>
      </w:r>
      <w:r>
        <w:rPr>
          <w:rFonts w:asciiTheme="majorBidi" w:hAnsiTheme="majorBidi" w:cstheme="majorBidi"/>
          <w:b/>
          <w:bCs/>
        </w:rPr>
        <w:t xml:space="preserve"> </w:t>
      </w:r>
      <w:r>
        <w:rPr>
          <w:rFonts w:asciiTheme="majorBidi" w:hAnsiTheme="majorBidi" w:cstheme="majorBidi"/>
        </w:rPr>
        <w:t>Research indicates that curriculum overload, where schools attempt to cover an excessive amount of content within a limited timeframe, can lead to stress and anxiety among students. This pressure to complete the syllabus can create an environment where students may be more likely to engage in unethical practices during examinations to cope with the perceived academic burden (Ndichu, 2013).</w:t>
      </w:r>
      <w:r>
        <w:rPr>
          <w:rFonts w:asciiTheme="majorBidi" w:hAnsiTheme="majorBidi" w:cstheme="majorBidi"/>
          <w:b/>
          <w:bCs/>
        </w:rPr>
        <w:t xml:space="preserve"> </w:t>
      </w:r>
      <w:r>
        <w:rPr>
          <w:rFonts w:asciiTheme="majorBidi" w:hAnsiTheme="majorBidi" w:cstheme="majorBidi"/>
        </w:rPr>
        <w:t>Time constraints can result in rushed teaching and learning processes, impacting the depth and quality of education. Students may feel compelled to cheat or resort to shortcuts to make up for the lack of adequate preparation time. The perception that there is no enough time to cover the syllabus thoroughly can contribute to academic dishonesty (JISC, 2019).</w:t>
      </w:r>
    </w:p>
    <w:p w14:paraId="63DAA69C">
      <w:pPr>
        <w:pStyle w:val="17"/>
        <w:spacing w:line="480" w:lineRule="auto"/>
        <w:jc w:val="both"/>
        <w:rPr>
          <w:rFonts w:asciiTheme="majorBidi" w:hAnsiTheme="majorBidi" w:cstheme="majorBidi"/>
          <w:shd w:val="clear" w:color="auto" w:fill="FFFFFF"/>
        </w:rPr>
      </w:pPr>
      <w:r>
        <w:rPr>
          <w:rFonts w:asciiTheme="majorBidi" w:hAnsiTheme="majorBidi" w:cstheme="majorBidi"/>
          <w:shd w:val="clear" w:color="auto" w:fill="FFFFFF"/>
        </w:rPr>
        <w:t>Traditional formal tests are usually given in a time-limited, closed book/notes style because instructors believe this approach measures students' learning. Nonetheless, other researchers argue that there are better alternatives and allowing students to use authorized cheat-sheets is one of them. The most important reason for allowing cheat-sheets is to help students to focus more on greater understanding and deeper learning. However, some researchers have questioned the efficacy of authorized cheat-sheets in formal exams. While it might be true, in some cases, that authorized cheat-sheets function like “crutches” in exams, we should not ignore that they are also learning tools. To make the cheat-sheets, students need to read the class material, process information actively, and select, organized, prioritize the content for the cheat-sheets (Song, et al, 2016)</w:t>
      </w:r>
    </w:p>
    <w:p w14:paraId="56369852">
      <w:pPr>
        <w:pStyle w:val="17"/>
        <w:spacing w:line="480" w:lineRule="auto"/>
        <w:jc w:val="both"/>
        <w:rPr>
          <w:rFonts w:asciiTheme="majorBidi" w:hAnsiTheme="majorBidi" w:cstheme="majorBidi"/>
          <w:b/>
          <w:bCs/>
        </w:rPr>
      </w:pPr>
      <w:r>
        <w:rPr>
          <w:rFonts w:asciiTheme="majorBidi" w:hAnsiTheme="majorBidi" w:cstheme="majorBidi"/>
        </w:rPr>
        <w:t xml:space="preserve">Syllabus coverage and the quality of education are closely related. </w:t>
      </w:r>
      <w:r>
        <w:rPr>
          <w:rFonts w:asciiTheme="majorBidi" w:hAnsiTheme="majorBidi" w:cstheme="majorBidi"/>
          <w:shd w:val="clear" w:color="auto" w:fill="FFFFFF"/>
        </w:rPr>
        <w:t xml:space="preserve">Entwistle, &amp; Entwistle, (1992) </w:t>
      </w:r>
      <w:r>
        <w:rPr>
          <w:rFonts w:asciiTheme="majorBidi" w:hAnsiTheme="majorBidi" w:cstheme="majorBidi"/>
        </w:rPr>
        <w:t>suggests that when schools prioritize depth of understanding over breadth of coverage, students are more likely to internalize the subject matter, reducing the temptation to cheat during examinations.</w:t>
      </w:r>
      <w:r>
        <w:rPr>
          <w:rFonts w:asciiTheme="majorBidi" w:hAnsiTheme="majorBidi" w:cstheme="majorBidi"/>
          <w:b/>
          <w:bCs/>
        </w:rPr>
        <w:t xml:space="preserve"> </w:t>
      </w:r>
      <w:r>
        <w:rPr>
          <w:rFonts w:asciiTheme="majorBidi" w:hAnsiTheme="majorBidi" w:cstheme="majorBidi"/>
        </w:rPr>
        <w:t xml:space="preserve">Examinations that assess a comprehensive understanding of the curriculum can promote examination integrity. A Research by </w:t>
      </w:r>
      <w:r>
        <w:rPr>
          <w:rFonts w:asciiTheme="majorBidi" w:hAnsiTheme="majorBidi" w:cstheme="majorBidi"/>
          <w:shd w:val="clear" w:color="auto" w:fill="FFFFFF"/>
        </w:rPr>
        <w:t>Mulongo,</w:t>
      </w:r>
      <w:r>
        <w:rPr>
          <w:rFonts w:asciiTheme="majorBidi" w:hAnsiTheme="majorBidi" w:cstheme="majorBidi"/>
        </w:rPr>
        <w:t xml:space="preserve"> (2020) shows that when examinations cover the syllabus adequately and assess a broad range of knowledge and skills, students are less likely to engage in malpractices, as cheating becomes less rewarding.</w:t>
      </w:r>
      <w:r>
        <w:rPr>
          <w:rFonts w:asciiTheme="majorBidi" w:hAnsiTheme="majorBidi" w:cstheme="majorBidi"/>
          <w:b/>
          <w:bCs/>
        </w:rPr>
        <w:t xml:space="preserve"> </w:t>
      </w:r>
      <w:r>
        <w:rPr>
          <w:rFonts w:asciiTheme="majorBidi" w:hAnsiTheme="majorBidi" w:cstheme="majorBidi"/>
        </w:rPr>
        <w:t>Teacher training and support are essential for effective syllabus coverage. (UNESCO, 2017) suggests that teachers who receive adequate training and professional development are better equipped to manage syllabus coverage effectively, reducing the need for shortcuts and unethical practices.</w:t>
      </w:r>
      <w:r>
        <w:rPr>
          <w:rFonts w:asciiTheme="majorBidi" w:hAnsiTheme="majorBidi" w:cstheme="majorBidi"/>
          <w:b/>
          <w:bCs/>
        </w:rPr>
        <w:t xml:space="preserve"> </w:t>
      </w:r>
      <w:r>
        <w:rPr>
          <w:rFonts w:asciiTheme="majorBidi" w:hAnsiTheme="majorBidi" w:cstheme="majorBidi"/>
        </w:rPr>
        <w:t>A balanced approach to syllabus coverage, focusing on both breadth and depth, is conducive to examination integrity. Striking the right balance ensures that students have a strong foundational knowledge of the subject while being exposed to a wide range of topics. This approach can discourage academic dishonesty (Kelly, 2020).</w:t>
      </w:r>
    </w:p>
    <w:p w14:paraId="077E5FFA">
      <w:pPr>
        <w:pStyle w:val="17"/>
        <w:spacing w:after="0" w:afterAutospacing="0" w:line="480" w:lineRule="auto"/>
        <w:jc w:val="both"/>
        <w:rPr>
          <w:rFonts w:asciiTheme="majorBidi" w:hAnsiTheme="majorBidi" w:cstheme="majorBidi"/>
        </w:rPr>
      </w:pPr>
      <w:r>
        <w:rPr>
          <w:rFonts w:asciiTheme="majorBidi" w:hAnsiTheme="majorBidi" w:cstheme="majorBidi"/>
        </w:rPr>
        <w:t>The impact of syllabus coverage on student well-being is crucial. Aristovnik et al., (2020) show that an excessive focus on syllabus coverage can lead to student burnout, which may result in academic dishonesty as students seek shortcuts to cope with stress.</w:t>
      </w:r>
      <w:r>
        <w:rPr>
          <w:rFonts w:asciiTheme="majorBidi" w:hAnsiTheme="majorBidi" w:cstheme="majorBidi"/>
          <w:b/>
          <w:bCs/>
        </w:rPr>
        <w:t xml:space="preserve"> </w:t>
      </w:r>
      <w:r>
        <w:rPr>
          <w:rFonts w:asciiTheme="majorBidi" w:hAnsiTheme="majorBidi" w:cstheme="majorBidi"/>
        </w:rPr>
        <w:t>Recognizing the relationship between syllabus coverage and academic integrity and examination malpractices is essential for educators and policymakers to make informed decisions about curriculum design and teaching practices. Syllabus coverage might have been linked to academic integrity and examination malpractices in secondary schools in Garissa Township Sub County. Balancing the depth and breadth of curriculum, providing support for teachers, and prioritizing students' well-being can contribute to a positive learning environment that discourages academic dishonesty.</w:t>
      </w:r>
    </w:p>
    <w:p w14:paraId="1634B9A9">
      <w:pPr>
        <w:pStyle w:val="17"/>
        <w:spacing w:before="0" w:beforeAutospacing="0" w:line="480" w:lineRule="auto"/>
        <w:jc w:val="both"/>
        <w:rPr>
          <w:rFonts w:asciiTheme="majorBidi" w:hAnsiTheme="majorBidi" w:cstheme="majorBidi"/>
        </w:rPr>
      </w:pPr>
      <w:r>
        <w:rPr>
          <w:rFonts w:asciiTheme="majorBidi" w:hAnsiTheme="majorBidi" w:cstheme="majorBidi"/>
        </w:rPr>
        <w:t xml:space="preserve">Curriculum overload, where schools attempt to cover an excessive amount of content within a limited timeframe, is an issue that can lead to significant stress and anxiety among students. Curriculum overload arises from various factors, including educational mandates, standardized testing, and pressure to meet academic standards. Excessive curriculum content can significantly impact students' stress and anxiety levels. Students exposed to curriculum overload experienced higher levels of stress, reduced academic performance, and increased anxiety (Johnson et al., 2019). This stress can lead to negative outcomes such as burnout and a decline in overall well-being. Curriculum overload can also affect academic performance. To reduce the negative effects of curriculum overload, educational institutions can adopt various strategies. Rogers et al. (2021) suggest that schools should focus on essential content, allowing students to explore topics in depth rather than breadth. Additionally, providing support services such as counseling and stress management programs can help students cope with the demands of a rigorous curriculum. This literature review explores how curriculum overload can lead to stress and anxiety among students, suggesting that schools need to reconsider curriculum design to promote student well-being and academic success. </w:t>
      </w:r>
    </w:p>
    <w:p w14:paraId="7FC358F0">
      <w:pPr>
        <w:pStyle w:val="17"/>
        <w:spacing w:line="480" w:lineRule="auto"/>
        <w:jc w:val="both"/>
        <w:rPr>
          <w:rFonts w:asciiTheme="majorBidi" w:hAnsiTheme="majorBidi" w:cstheme="majorBidi"/>
        </w:rPr>
      </w:pPr>
      <w:r>
        <w:rPr>
          <w:rFonts w:asciiTheme="majorBidi" w:hAnsiTheme="majorBidi" w:cstheme="majorBidi"/>
        </w:rPr>
        <w:t xml:space="preserve">The pressure to complete the syllabus within a limited timeframe can significantly impact exam integrity. The pressure to complete the syllabus often stems from educational mandates, standardized testing, and curriculum requirements. The pressure to complete the syllabus can influence student behavior, leading to unethical practices during examinations. Students who experience high levels of academic stress due to syllabus completion deadlines are more likely to cheat during exams to avoid falling behind (Johnson et al., 2020). This correlation suggests that reducing this pressure can contribute to exam integrity. Several factors can exacerbate the pressure to complete the syllabus, increasing the likelihood of unethical practices during examinations. To reduce the pressure to complete the syllabus and promote exam integrity, educational institutions can implement various strategies. Rogers et al. (2018) suggest providing teachers with flexibility in curriculum planning and encouraging a balanced approach to teaching and offering support services to help students manage academic stress can contribute to a more ethical examination environment. This literature review examines how the pressure to complete the syllabus can create an environment where students may be more likely to engage in unethical practices during examinations. It explores the underlying causes of this pressure and suggests strategies to promote exam integrity. </w:t>
      </w:r>
    </w:p>
    <w:p w14:paraId="0437F982">
      <w:pPr>
        <w:pStyle w:val="17"/>
        <w:spacing w:line="480" w:lineRule="auto"/>
        <w:jc w:val="both"/>
        <w:rPr>
          <w:rFonts w:asciiTheme="majorBidi" w:hAnsiTheme="majorBidi" w:cstheme="majorBidi"/>
        </w:rPr>
      </w:pPr>
      <w:r>
        <w:rPr>
          <w:rFonts w:asciiTheme="majorBidi" w:hAnsiTheme="majorBidi" w:cstheme="majorBidi"/>
        </w:rPr>
        <w:t xml:space="preserve">Time constraints in education are often driven by curriculum requirements, standardized testing, and administrative pressures. Rushed teaching due to time constraints can negatively affect student learning. Johnson et al. (2020) found that when teachers are forced to cover large amounts of content in a limited timeframe, students may struggle to grasp key concepts, leading to reduced comprehension and retention. This approach can also increase academic stress and anxiety among students. Time constraints can influence teaching practices, leading to a focus on memorization rather than deeper understanding. Smith and White (2021) observed that when teachers are rushed, they often resort to lecture-based teaching, reducing opportunities for interactive and hands-on learning. This can limit students' engagement and hinder their ability to apply knowledge in real-world scenarios. Educational institutions can adopt various strategies to address time constraints and reduce the negative impact on teaching and learning processes. Rogers and Green (2018) suggest providing teachers with more flexibility in curriculum planning and encouraging a balanced approach to teaching, schools can implement policies that focus on mastery of concepts rather than rushing through the syllabus. This literature review explores the impact of time constraints on teaching and learning processes, highlighting the causes and effects of rushed teaching. It suggests strategies to mitigate the negative impact on education and promote a more balanced approach. </w:t>
      </w:r>
    </w:p>
    <w:p w14:paraId="726BAFB0">
      <w:pPr>
        <w:pStyle w:val="17"/>
        <w:spacing w:line="480" w:lineRule="auto"/>
        <w:jc w:val="both"/>
        <w:rPr>
          <w:rFonts w:asciiTheme="majorBidi" w:hAnsiTheme="majorBidi" w:cstheme="majorBidi"/>
          <w:b/>
          <w:bCs/>
        </w:rPr>
      </w:pPr>
      <w:r>
        <w:rPr>
          <w:rFonts w:asciiTheme="majorBidi" w:hAnsiTheme="majorBidi" w:cstheme="majorBidi"/>
        </w:rPr>
        <w:t>A well-rounded education requires a balance between a strong foundational knowledge of core subjects and exposure to a wide range of topics. Foundational knowledge forms the basis of deeper learning and is essential for academic success. Exposing students to a wide range of topics can broaden their horizons and foster critical thinking. Johnson et al. (2019) found that when students are introduced to diverse subjects, they develop a more comprehensive understanding of the world and can make connections between different fields of study. This approach encourages curiosity and lifelong learning. Balancing depth and breadth in education can be challenging for schools and teachers. Curriculum constraints and standardized testing requirements can limit the flexibility to explore a wide range of topics while maintaining a strong foundational knowledge (Rogers &amp; White, 2020). This can lead to a focus on exam-oriented teaching, potentially reducing opportunities for creative and interdisciplinary learning. Educational institutions can implement various strategies to achieve a balanced curriculum that emphasizes both foundational knowledge and a wide range of topics. Providing teachers with curriculum flexibility and encouraging interdisciplinary approaches to teaching and additionally, incorporating project-based learning and experiential education can help students apply foundational knowledge across different subjects (Green &amp; Wilson, 2021). This literature review examines how students can benefit from a strong foundational knowledge of core subjects while being exposed to a wide range of topics. It discusses the benefits, challenges, and strategies to achieve a balanced curriculum that promotes comprehensive learning and academic success.</w:t>
      </w:r>
    </w:p>
    <w:p w14:paraId="283FED5F">
      <w:pPr>
        <w:pStyle w:val="2"/>
        <w:numPr>
          <w:ilvl w:val="0"/>
          <w:numId w:val="14"/>
        </w:numPr>
        <w:ind w:hanging="720"/>
        <w:rPr>
          <w:rFonts w:asciiTheme="majorBidi" w:hAnsiTheme="majorBidi"/>
          <w:color w:val="auto"/>
          <w:sz w:val="24"/>
          <w:szCs w:val="24"/>
        </w:rPr>
      </w:pPr>
      <w:bookmarkStart w:id="44" w:name="_Toc194822605"/>
      <w:bookmarkStart w:id="45" w:name="_Toc155707304"/>
      <w:r>
        <w:rPr>
          <w:rFonts w:asciiTheme="majorBidi" w:hAnsiTheme="majorBidi"/>
          <w:color w:val="auto"/>
          <w:sz w:val="24"/>
          <w:szCs w:val="24"/>
        </w:rPr>
        <w:t>Relationship between Social Media and Academic integrity and examination malpractices in Secondary Schools in Garissa Township Sub County</w:t>
      </w:r>
      <w:bookmarkEnd w:id="44"/>
      <w:bookmarkEnd w:id="45"/>
      <w:r>
        <w:rPr>
          <w:rFonts w:asciiTheme="majorBidi" w:hAnsiTheme="majorBidi"/>
          <w:color w:val="auto"/>
          <w:sz w:val="24"/>
          <w:szCs w:val="24"/>
        </w:rPr>
        <w:t xml:space="preserve"> </w:t>
      </w:r>
    </w:p>
    <w:p w14:paraId="378227DC">
      <w:pPr>
        <w:pStyle w:val="17"/>
        <w:spacing w:line="480" w:lineRule="auto"/>
        <w:jc w:val="both"/>
        <w:rPr>
          <w:rFonts w:asciiTheme="majorBidi" w:hAnsiTheme="majorBidi" w:cstheme="majorBidi"/>
          <w:b/>
          <w:bCs/>
        </w:rPr>
      </w:pPr>
      <w:r>
        <w:rPr>
          <w:rFonts w:asciiTheme="majorBidi" w:hAnsiTheme="majorBidi" w:cstheme="majorBidi"/>
        </w:rPr>
        <w:t>The impact of social media on academic integrity and examination malpractices in secondary schools has become a subject of growing concern and interest. Social media platforms provide students with new avenues for communication and information sharing, which can affect their behavior during examinations. This literature review explores existing research on the relationship between social media and academic integrity and examination malpractices in secondary schools in Garissa Township Sub County.</w:t>
      </w:r>
    </w:p>
    <w:p w14:paraId="173FEE4D">
      <w:pPr>
        <w:spacing w:line="480" w:lineRule="auto"/>
        <w:rPr>
          <w:rFonts w:asciiTheme="majorBidi" w:hAnsiTheme="majorBidi" w:cstheme="majorBidi"/>
          <w:sz w:val="24"/>
          <w:szCs w:val="24"/>
        </w:rPr>
      </w:pPr>
      <w:r>
        <w:rPr>
          <w:rFonts w:asciiTheme="majorBidi" w:hAnsiTheme="majorBidi" w:cstheme="majorBidi"/>
          <w:sz w:val="24"/>
          <w:szCs w:val="24"/>
        </w:rPr>
        <w:t xml:space="preserve">The proliferation of social media has made it easier for students to access and share information, including unauthorized resources that can be used to cheat on examinations. Research by </w:t>
      </w:r>
      <w:r>
        <w:rPr>
          <w:rFonts w:asciiTheme="majorBidi" w:hAnsiTheme="majorBidi" w:cstheme="majorBidi"/>
          <w:sz w:val="24"/>
          <w:szCs w:val="24"/>
          <w:shd w:val="clear" w:color="auto" w:fill="FFFFFF"/>
        </w:rPr>
        <w:t xml:space="preserve">Williams, L. S. (2018) </w:t>
      </w:r>
      <w:r>
        <w:rPr>
          <w:rFonts w:asciiTheme="majorBidi" w:hAnsiTheme="majorBidi" w:cstheme="majorBidi"/>
          <w:sz w:val="24"/>
          <w:szCs w:val="24"/>
        </w:rPr>
        <w:t>has highlighted instances of students using social media to share answers, copy content, and exchange exam-related information.</w:t>
      </w:r>
      <w:r>
        <w:rPr>
          <w:rFonts w:asciiTheme="majorBidi" w:hAnsiTheme="majorBidi" w:cstheme="majorBidi"/>
          <w:b/>
          <w:bCs/>
          <w:sz w:val="24"/>
          <w:szCs w:val="24"/>
        </w:rPr>
        <w:t xml:space="preserve"> </w:t>
      </w:r>
      <w:r>
        <w:rPr>
          <w:rFonts w:asciiTheme="majorBidi" w:hAnsiTheme="majorBidi" w:cstheme="majorBidi"/>
          <w:sz w:val="24"/>
          <w:szCs w:val="24"/>
        </w:rPr>
        <w:t>Social media platforms enable students to collaborate and collude with their peers, potentially leading to academic integrity and examination malpractices issues. Peer discussions about examination content, sharing of answers, and forming study groups on social media can create an environment conducive to unethical behavior (</w:t>
      </w:r>
      <w:r>
        <w:rPr>
          <w:rFonts w:asciiTheme="majorBidi" w:hAnsiTheme="majorBidi" w:cstheme="majorBidi"/>
          <w:sz w:val="24"/>
          <w:szCs w:val="24"/>
          <w:shd w:val="clear" w:color="auto" w:fill="FFFFFF"/>
        </w:rPr>
        <w:t>Asterhan, &amp; Bouton, 2017)</w:t>
      </w:r>
      <w:r>
        <w:rPr>
          <w:rFonts w:asciiTheme="majorBidi" w:hAnsiTheme="majorBidi" w:cstheme="majorBidi"/>
          <w:sz w:val="24"/>
          <w:szCs w:val="24"/>
        </w:rPr>
        <w:t>.</w:t>
      </w:r>
      <w:r>
        <w:rPr>
          <w:rFonts w:asciiTheme="majorBidi" w:hAnsiTheme="majorBidi" w:cstheme="majorBidi"/>
          <w:b/>
          <w:bCs/>
          <w:sz w:val="24"/>
          <w:szCs w:val="24"/>
        </w:rPr>
        <w:t xml:space="preserve"> </w:t>
      </w:r>
      <w:r>
        <w:rPr>
          <w:rFonts w:asciiTheme="majorBidi" w:hAnsiTheme="majorBidi" w:cstheme="majorBidi"/>
          <w:sz w:val="24"/>
          <w:szCs w:val="24"/>
        </w:rPr>
        <w:t>Social media has been implicated in cases of exam content leakage. Reports of leaked examination papers being circulated on social media platforms have raised concerns about the security and integrity of examinations even teachers were seized and arrested over examination leakage. (The Standard, 2015) (The daily Nation, 2015).</w:t>
      </w:r>
      <w:r>
        <w:rPr>
          <w:rFonts w:asciiTheme="majorBidi" w:hAnsiTheme="majorBidi" w:cstheme="majorBidi"/>
          <w:b/>
          <w:bCs/>
          <w:sz w:val="24"/>
          <w:szCs w:val="24"/>
        </w:rPr>
        <w:t xml:space="preserve"> </w:t>
      </w:r>
      <w:r>
        <w:rPr>
          <w:rFonts w:asciiTheme="majorBidi" w:hAnsiTheme="majorBidi" w:cstheme="majorBidi"/>
          <w:sz w:val="24"/>
          <w:szCs w:val="24"/>
        </w:rPr>
        <w:t>Some students turn to social media to access online tutoring services, which may involve unethical practices, such as taking tests on behalf of students or assisting them in cheating. This practice can undermine academic integrity and examination malpractices (</w:t>
      </w:r>
      <w:r>
        <w:rPr>
          <w:rFonts w:asciiTheme="majorBidi" w:hAnsiTheme="majorBidi" w:cstheme="majorBidi"/>
          <w:sz w:val="24"/>
          <w:szCs w:val="24"/>
          <w:shd w:val="clear" w:color="auto" w:fill="FFFFFF"/>
        </w:rPr>
        <w:t>Manca, &amp; Ranieri, 2017</w:t>
      </w:r>
      <w:r>
        <w:rPr>
          <w:rFonts w:asciiTheme="majorBidi" w:hAnsiTheme="majorBidi" w:cstheme="majorBidi"/>
          <w:sz w:val="24"/>
          <w:szCs w:val="24"/>
        </w:rPr>
        <w:t xml:space="preserve">). The proliferation of technology has introduced new avenues for academic dishonesty. Studies have highlighted the role of the internet in enabling plagiarism and cheating (Lancaster &amp; Culwin, 2001). </w:t>
      </w:r>
    </w:p>
    <w:p w14:paraId="0AA5CF7A">
      <w:pPr>
        <w:pStyle w:val="17"/>
        <w:spacing w:after="0" w:afterAutospacing="0" w:line="480" w:lineRule="auto"/>
        <w:jc w:val="both"/>
        <w:rPr>
          <w:rFonts w:asciiTheme="majorBidi" w:hAnsiTheme="majorBidi" w:cstheme="majorBidi"/>
        </w:rPr>
      </w:pPr>
      <w:r>
        <w:rPr>
          <w:rFonts w:asciiTheme="majorBidi" w:hAnsiTheme="majorBidi" w:cstheme="majorBidi"/>
        </w:rPr>
        <w:t>Garissa Township Sub County, where technology access might be limited for some candidates, the relationship between technology and academic dishonesty warrants investigation. Social media can amplify peer pressure and the desire for validation among students. In an attempt to gain social approval or conform to peer norms, students may engage in dishonest behavior during examinations, including cheating or sharing exam-related content online (Viner et al., 2015).</w:t>
      </w:r>
      <w:r>
        <w:rPr>
          <w:rFonts w:asciiTheme="majorBidi" w:hAnsiTheme="majorBidi" w:cstheme="majorBidi"/>
          <w:b/>
          <w:bCs/>
        </w:rPr>
        <w:t xml:space="preserve"> </w:t>
      </w:r>
      <w:r>
        <w:rPr>
          <w:rFonts w:asciiTheme="majorBidi" w:hAnsiTheme="majorBidi" w:cstheme="majorBidi"/>
        </w:rPr>
        <w:t>The internet, including social media, provides students with easy access to a vast array of resources and tools that can be used for cheating. Research by Lee et al. (2020) has found that students may use social media to share links to cheat exam questions and answer sheets.</w:t>
      </w:r>
    </w:p>
    <w:p w14:paraId="16152416">
      <w:pPr>
        <w:pStyle w:val="17"/>
        <w:spacing w:line="480" w:lineRule="auto"/>
        <w:jc w:val="both"/>
        <w:rPr>
          <w:rFonts w:asciiTheme="majorBidi" w:hAnsiTheme="majorBidi" w:cstheme="majorBidi"/>
        </w:rPr>
      </w:pPr>
      <w:r>
        <w:rPr>
          <w:rFonts w:asciiTheme="majorBidi" w:hAnsiTheme="majorBidi" w:cstheme="majorBidi"/>
        </w:rPr>
        <w:t>Negative experiences on social media, such as cyber bullying, can contribute to students' stress and anxiety. High-stress levels may make students more prone to engage in academic dishonesty during examinations as they seek quick solutions to cope with the pressure (Nixon et al., 2020). The relationship between social media and academic integrity and examination malpractices in secondary schools in Garissa Township Sub County is complex and multifaceted. While social media platforms offer various educational benefits, they also introduce new challenges for educators and policymakers. Addressing the impact of social media on academic integrity and examination malpractices requires a comprehensive approach that balances the advantages of technology with strategies to prevent academic dishonesty and ensure fair assessments.</w:t>
      </w:r>
    </w:p>
    <w:p w14:paraId="44160C46">
      <w:pPr>
        <w:pStyle w:val="17"/>
        <w:spacing w:line="480" w:lineRule="auto"/>
        <w:jc w:val="both"/>
        <w:rPr>
          <w:rFonts w:asciiTheme="majorBidi" w:hAnsiTheme="majorBidi" w:cstheme="majorBidi"/>
        </w:rPr>
      </w:pPr>
      <w:r>
        <w:rPr>
          <w:rFonts w:asciiTheme="majorBidi" w:hAnsiTheme="majorBidi" w:cstheme="majorBidi"/>
        </w:rPr>
        <w:t xml:space="preserve">The presence of phones during exams has become a contentious issue in educational settings. Mobile phones have become ubiquitous among students, providing communication and access to information. Possessing phones during exams can increase the risk of academic dishonesty. Johnson et al. (2020) found that students who bring phones into exams are more likely to engage in cheating, such as accessing unauthorized information or communicating with others. This has prompted many educational institutions to implement strict policies regarding phone usage during exams. Phones can also cause disruptions during exams, affecting the concentration and performance of other students. Rogers and White (2021) noted that ringing phones or message notifications can distract both students and invigilators, compromising the integrity of the examination environment. These disruptions can lead to increased stress and reduced focus among exam-takers. To mitigate the impact of students possessing phones during exams, educational institutions can implement various strategies. Creating clear policies prohibiting phones in exam rooms, providing secure storage for students' belongings, and using technology to detect unauthorized phone use during exams can help maintain exam integrity and reduce the risk of academic dishonesty. The literature review examines the impact of students possessing phones during exams, highlighting the risks of academic dishonesty and disruptions. It discusses strategies to address these issues and promote examination integrity. </w:t>
      </w:r>
    </w:p>
    <w:p w14:paraId="5FE7D2DE">
      <w:pPr>
        <w:pStyle w:val="17"/>
        <w:spacing w:line="480" w:lineRule="auto"/>
        <w:jc w:val="both"/>
        <w:rPr>
          <w:rFonts w:asciiTheme="majorBidi" w:hAnsiTheme="majorBidi" w:cstheme="majorBidi"/>
        </w:rPr>
      </w:pPr>
      <w:r>
        <w:rPr>
          <w:rFonts w:asciiTheme="majorBidi" w:hAnsiTheme="majorBidi" w:cstheme="majorBidi"/>
        </w:rPr>
        <w:t xml:space="preserve">Cheating culture, compounded by the widespread availability of social media platforms, has raised concerns about its impact on academic integrity, particularly during exams. Cheating culture has become increasingly prevalent in educational settings, fueled by various factors such as academic pressure, the desire for high grades, and the normalization of unethical behaviors. The prevalence of cheating culture significantly influences students' decisions to use social media during exams. Students who are exposed to a cheating culture are more likely to seek out unethical means to gain an advantage, including using social media to share exam answers or solicit assistance from peers (Johnson et al., 2020). This behavior is often driven by the fear of academic failure and the pressure to perform well academically. Students may turn to social media during exams for various reasons, including accessing illicit materials, seeking help from peers, or engaging in collaborative cheating schemes. Additionally, the normalization of cheating within peer groups may further encourage students to use social media during exams. </w:t>
      </w:r>
    </w:p>
    <w:p w14:paraId="1CE1C0AF">
      <w:pPr>
        <w:pStyle w:val="17"/>
        <w:spacing w:line="480" w:lineRule="auto"/>
        <w:jc w:val="both"/>
        <w:rPr>
          <w:rFonts w:asciiTheme="majorBidi" w:hAnsiTheme="majorBidi" w:cstheme="majorBidi"/>
        </w:rPr>
      </w:pPr>
      <w:r>
        <w:rPr>
          <w:rFonts w:asciiTheme="majorBidi" w:hAnsiTheme="majorBidi" w:cstheme="majorBidi"/>
        </w:rPr>
        <w:t>Addressing cheating culture and its influence on social media use during exams requires a multifaceted approach involving teachers, institutions, and policymakers. Rogers and Davis (2018) suggest implementing strict proctoring measures, educating students about the consequences of academic dishonesty, and promoting a culture of integrity and ethical behavior and additionally, leveraging technology to monitor and detect suspicious online activities can help deter cheating behavior and uphold exam integrity. This literature review delves into the prevalence of cheating culture and its influence on students' decisions to use social media during exams. It highlights the motivations behind such behavior, the challenges it poses to academic integrity, and strategies for addressing this phenomenon.</w:t>
      </w:r>
    </w:p>
    <w:p w14:paraId="75F1E31A">
      <w:pPr>
        <w:pStyle w:val="17"/>
        <w:spacing w:line="480" w:lineRule="auto"/>
        <w:jc w:val="both"/>
        <w:rPr>
          <w:rFonts w:asciiTheme="majorBidi" w:hAnsiTheme="majorBidi" w:cstheme="majorBidi"/>
        </w:rPr>
      </w:pPr>
      <w:r>
        <w:rPr>
          <w:rFonts w:asciiTheme="majorBidi" w:hAnsiTheme="majorBidi" w:cstheme="majorBidi"/>
        </w:rPr>
        <w:t xml:space="preserve">The proliferation of social media platforms has changed how students communicate, collaborate, and access information. Social media provides students with quick and easy access to a wealth of information, including exam answers, which can lead to academic dishonesty. The convenience and anonymity of social media contribute to its use for unethical purposes during exams. Students use various methods to obtain exam answers through social media. Johnson et al. (2020) found that students may share exam answers in private groups, direct messages, or through coded language in public posts to avoid detection. These activities often occur in real-time, allowing students to receive answers during exams. The practice of getting exam answers through social media poses a significant threat to academic integrity. </w:t>
      </w:r>
    </w:p>
    <w:p w14:paraId="1BA9B897">
      <w:pPr>
        <w:pStyle w:val="17"/>
        <w:spacing w:line="480" w:lineRule="auto"/>
        <w:jc w:val="both"/>
        <w:rPr>
          <w:rFonts w:asciiTheme="majorBidi" w:hAnsiTheme="majorBidi" w:cstheme="majorBidi"/>
        </w:rPr>
      </w:pPr>
      <w:r>
        <w:rPr>
          <w:rFonts w:asciiTheme="majorBidi" w:hAnsiTheme="majorBidi" w:cstheme="majorBidi"/>
        </w:rPr>
        <w:t>The ability to obtain answers easily contributes to a culture of cheating, leading to unfair advantages and compromising the validity of exam results. Several factors contribute to the use of social media to get exam answers. Academic pressure, peer influence, and the perceived ease of cheating play significant roles in motivating students to use social media for dishonest purposes (Rogers &amp; Davis, 2018). Additionally, a lack of strict enforcement and oversight can encourage students to cheat through social media. To address the issue of students getting exam answers through social media, educational institutions can implement various strategies. Furthermore, fostering a culture of academic integrity can help reduce the motivation to cheat through social media. This literature review discusses how students get answers before and during exams through social media, outlining the methods, impacts, and strategies to combat this form of cheating. The review suggests that addressing the root causes and implementing robust monitoring systems can help maintain academic integrity.</w:t>
      </w:r>
    </w:p>
    <w:p w14:paraId="591B497A">
      <w:pPr>
        <w:pStyle w:val="17"/>
        <w:spacing w:line="480" w:lineRule="auto"/>
        <w:jc w:val="both"/>
        <w:rPr>
          <w:rFonts w:asciiTheme="majorBidi" w:hAnsiTheme="majorBidi" w:cstheme="majorBidi"/>
        </w:rPr>
      </w:pPr>
      <w:r>
        <w:rPr>
          <w:rFonts w:asciiTheme="majorBidi" w:hAnsiTheme="majorBidi" w:cstheme="majorBidi"/>
        </w:rPr>
        <w:t xml:space="preserve">The rapid advancement and proliferation of technology have created new opportunities for academic dishonesty. Technology has revolutionized education, providing new tools for learning and communication. However, it has also introduced new avenues for academic dishonesty. The widespread availability of technology creates challenges for educators seeking to maintain academic integrity. Students use various technological methods to engage in academic dishonesty. Johnson et al. (2020) identified common practices, such as using smartphones to search for answers, sharing information through social media, and plagiarizing from online. These methods make it more challenging for teachers to detect cheating and maintain the integrity of assessments. The proliferation of technology has a profound impact on academic integrity. Several factors contribute to the use of technology for academic dishonesty. Academic pressure, peer influence, and the perceived ease of cheating play significant roles in motivating students to use technology for unethical purposes (Rogers &amp; Davis, 2018). Additionally, inadequate supervision during exams and a lack of strict enforcement can further encourage technology-enabled cheating. Educational institutions can implement various strategies to address technology-enabled academic dishonesty. Additionally, educating students about the consequences of cheating and promoting a culture of academic integrity can help reduce technology-enabled academic dishonesty. This literature review examines how the proliferation of technology has introduced new avenues for academic dishonesty, discussing common methods, contributing factors, and strategies to combat this issue. By implementing robust detection and prevention strategies, educational institutions can maintain academic integrity in an increasingly technology-driven world. </w:t>
      </w:r>
    </w:p>
    <w:p w14:paraId="74759095">
      <w:pPr>
        <w:pStyle w:val="17"/>
        <w:spacing w:line="480" w:lineRule="auto"/>
        <w:jc w:val="both"/>
        <w:rPr>
          <w:rFonts w:asciiTheme="majorBidi" w:hAnsiTheme="majorBidi" w:cstheme="majorBidi"/>
        </w:rPr>
      </w:pPr>
      <w:r>
        <w:rPr>
          <w:rFonts w:asciiTheme="majorBidi" w:hAnsiTheme="majorBidi" w:cstheme="majorBidi"/>
        </w:rPr>
        <w:t xml:space="preserve">Academic dishonesty is a significant issue in educational institutions, with students engaging in various forms of unethical behavior during examinations. Literature review explores how social approval and peer norms can drive students to engage in dishonest behavior, including cheating and sharing exam-related content online. It examines the underlying causes, the impact on academic integrity, and potential strategies to address this issue. Peer pressure can create an environment where academic dishonesty is normalized, encouraging students to conform to unethical behaviors. Conforming to peer norms can lead to academic dishonesty, with students adopting the behaviors they observe in their peers. Johnson et al. (2020) found that students who perceive cheating as common among their peers are more likely to engage in similar practices during exams. This creates a cycle where cheating becomes part of the academic culture, challenging educators' efforts to maintain exam integrity. </w:t>
      </w:r>
    </w:p>
    <w:p w14:paraId="06DEB83F">
      <w:pPr>
        <w:pStyle w:val="17"/>
        <w:spacing w:line="480" w:lineRule="auto"/>
        <w:jc w:val="both"/>
        <w:rPr>
          <w:rFonts w:asciiTheme="majorBidi" w:hAnsiTheme="majorBidi" w:cstheme="majorBidi"/>
        </w:rPr>
      </w:pPr>
      <w:r>
        <w:rPr>
          <w:rFonts w:asciiTheme="majorBidi" w:hAnsiTheme="majorBidi" w:cstheme="majorBidi"/>
        </w:rPr>
        <w:t xml:space="preserve">The rise of social media and online communication platforms has facilitated the sharing of exam-related content, contributing to academic dishonesty. Educational institutions can implement various strategies to address academic dishonesty driven by social approval and peer norms. Promoting a culture of academic integrity, encouraging open discussions about the consequences of cheating, and fostering positive peer relationships (Rogers et al., 2018). Additionally, implementing strict proctoring measures and monitoring online activity during exams can help deter sharing exam-related content online. This literature review examines how the need for social approval and conformity to peer norms can lead students to engage in dishonest behavior during examinations, including cheating and sharing exam-related content online. It highlights the causes, consequences, and strategies to address this issue. </w:t>
      </w:r>
    </w:p>
    <w:p w14:paraId="294F0415">
      <w:pPr>
        <w:pStyle w:val="2"/>
        <w:numPr>
          <w:ilvl w:val="1"/>
          <w:numId w:val="15"/>
        </w:numPr>
        <w:tabs>
          <w:tab w:val="left" w:pos="540"/>
        </w:tabs>
        <w:spacing w:before="0" w:line="480" w:lineRule="auto"/>
        <w:ind w:left="540" w:hanging="540"/>
        <w:jc w:val="both"/>
        <w:rPr>
          <w:rFonts w:asciiTheme="majorBidi" w:hAnsiTheme="majorBidi"/>
          <w:color w:val="auto"/>
          <w:sz w:val="24"/>
          <w:szCs w:val="24"/>
        </w:rPr>
      </w:pPr>
      <w:bookmarkStart w:id="46" w:name="_Toc194822606"/>
      <w:r>
        <w:rPr>
          <w:rFonts w:asciiTheme="majorBidi" w:hAnsiTheme="majorBidi"/>
          <w:color w:val="auto"/>
          <w:sz w:val="24"/>
          <w:szCs w:val="24"/>
        </w:rPr>
        <w:t>Level of KCSE examination malpractices in Garissa Township Sub County</w:t>
      </w:r>
      <w:bookmarkEnd w:id="46"/>
    </w:p>
    <w:p w14:paraId="575C6023">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Kenya Certificate of Secondary Education (KCSE) examination stands as a pivotal assessment in the Kenyan education system, influencing students' academic and professional trajectories. However, ensuring the integrity of the KCSE examination process remains a persistent challenge for educational authorities, teachers, and policymakers. The high stakes associated with the KCSE examination, serving as a gateway to higher education and employment opportunities, create immense pressure on students, schools, and stakeholders to achieve favorable outcomes (Mwiria &amp; Orodho, 2018). Within the Kenyan educational landscape, intense competition among schools to secure top rankings exacerbates the pressure on students and teachers, potentially fostering environments conducive to malpractice (Wasonga et al., 2018). Socioeconomic disparities can significantly impact examination integrity, with individuals from marginalized communities facing additional challenges and temptations to engage in malpractice (Musungu &amp; Kibet, 2019). Cheating, including copying from peers or using unauthorized materials during examinations, remains a prevalent form of malpractice. Collusion among students or with invigilators further undermines the integrity of the examination process (Orodho et al., 2017).Instances of examination paper leakage, where papers are accessed and disseminated before the examination, pose a significant threat to examination integrity, casting doubt on the fairness and credibility of the results (Kimeli &amp; Indoshi, 2016).Impersonation, whereby individuals sit for examinations on behalf of others, presents a clandestine challenge that compromises the integrity of the examination system (Kombo et al., 2019).</w:t>
      </w:r>
    </w:p>
    <w:p w14:paraId="044F1A4A">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The Kenya National Examinations Council (KNEC) has implemented stringent security measures to safeguard the integrity of the KCSE examination. This includes the use of technology, increased surveillance, and secure transportation and storage of examination materials (KNEC, 2020).Collaborative efforts between KNEC and law enforcement agencies have led to the apprehension and prosecution of individuals involved in examination malpractice, serving as a deterrent to potential offenders (Mugambi &amp; Kobia, 2018) Public awareness campaigns aimed at students, parents, teachers, and the broader community play a crucial role in promoting examination integrity. These campaigns emphasize the importance of ethical conduct and the consequences of engaging in malpractice (Githui, 2019). </w:t>
      </w:r>
    </w:p>
    <w:p w14:paraId="0DE0F5A3">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Despite all these efforts there many challenges in maintaining academic integrity and examination malpractices among them, the pervasive pressure to excel in the KCSE examination, coupled with societal expectations, creates an environment where students may succumb to the temptation of malpractice (Ngeno &amp; Chemwei, 2020). Another challenge is the Rapid technological advancements present new challenges to examination integrity, with the proliferation of electronic devices enabling sophisticated cheating methods that require continuous adaptation of security measures (Mugambi, 2019) and many others. The integrity of the KCSE examination is paramount in upholding the credibility and fairness of the education system in Kenya. While various challenges persist, concerted efforts by educational authorities, law enforcement agencies, and stakeholders have been instrumental in combating examination malpractice. Continued vigilance, enhanced security measures, and targeted interventions are essential to preserve the integrity of the KCSE examination and ensure equitable opportunities for all students.</w:t>
      </w:r>
    </w:p>
    <w:p w14:paraId="0A3C164E">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Students may communicate with peers who have already taken the test or who have access to test materials, either in person or through digital platforms, to obtain information about test content (Dörnyei &amp; Ushioda, 2021). Students may exploit vulnerabilities in test administration procedures, such as lax supervision or inadequate security measures, to gain access to test questions or answers (Shuey &amp; Wold, 2020). The proliferation of social media platforms and online resources provides students with avenues to share and access test information illicitly, often under the guise of study aids or study groups (Foltýnek et al., 2018). The pervasive pressure to achieve academic success, whether driven by personal aspirations, parental expectations, or societal norms, can compel students to seek unfair advantages, including accessing test information beforehand (Anderman &amp; Murdock, 2016). Fear of failure and the consequences associated with poor academic performance may drive students to resort to unethical practices to improve their chances of success on assessments (McCabe et al., 2012). Peer pressure and the desire to fit in with peers who engage in cheating behaviors can normalize and reinforce the use of unfair methods to obtain test information (Leming et al., 2010). </w:t>
      </w:r>
    </w:p>
    <w:p w14:paraId="3E3068A1">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use of unfair methods to obtain test information undermines the principles of academic integrity, eroding trust in educational institutions and devaluing the significance of academic achievements (Perry &amp; Selden, 2021). Students who engage in unfair practices to obtain test information gain an unfair advantage over their peers, creating inequities in assessment outcomes and compromising the validity and reliability of test results (Whitley &amp; Keith-Spiegel, 2002). Educational institutions must adopt proactive measures to address and prevent the use of unfair methods to obtain test information. This may include implementing robust test security protocols, fostering a culture of academic integrity, and providing support for students facing academic pressures (Simkin &amp; McLeod, 2010). The use of unfair methods to obtain test information represents a significant challenge to academic integrity and the fairness of assessments in educational settings. Understanding the underlying factors driving students' engagement in such practices is essential for developing effective prevention strategies and fostering a culture of integrity within educational institutions. By addressing the root causes and implementing proactive measures, teachers can uphold the integrity of assessments and promote ethical behavior among students.</w:t>
      </w:r>
    </w:p>
    <w:p w14:paraId="622ACE77">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practice of allowing students to bring irrelevant materials into examination rooms raises significant concerns for academic integrity and the proper administration of assessments. Lax invigilation or supervision during examinations can lead to students bringing irrelevant materials into the examination room without detection. This lack of strict oversight undermines the integrity of the examination process (Whitley &amp; Keith-Spiegel, 2002). Ambiguity in examination regulations or a lack of clear guidelines on what materials are permitted in the examination room can lead to confusion among students and invigilators, allowing irrelevant materials to be brought in (Simkin &amp; McLeod, 2010). The proliferation of electronic devices, such as smartphones and smartwatches, poses a challenge for examination invigilation. These devices, often deemed irrelevant for the exam, can be used to store unauthorized information or facilitate cheating (Lancaster &amp; Clarke, 2008).</w:t>
      </w:r>
    </w:p>
    <w:p w14:paraId="1F3F8D3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The presence of irrelevant materials in the examination room increases the risk of cheating. Students may use these materials to access unauthorized information or communicate with others during the examination (McCabe et al., 2012). Allowing irrelevant materials in the examination room compromises the integrity of the examination process, leading to unfair advantages and undermining the validity of the assessment (Sutherland-Smith, 2017). When students use irrelevant materials to gain an unfair advantage, it erodes trust within the academic community. This lack of trust can have broader implications for educational standards and the credibility of academic credentials (Whitley &amp; Keith-Spiegel, 2002). </w:t>
      </w:r>
    </w:p>
    <w:p w14:paraId="641A271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Educational institutions can establish strict invigilation protocols to prevent students from bringing irrelevant materials into the examination room. This includes thorough bag checks, restricted access to electronic devices, and vigilant supervision during exams (Simkin &amp; McLeod, 2010). Providing clear guidelines on what materials are permitted in the examination room can reduce ambiguity and ensure that students understand the rules. Institutions can communicate these guidelines to students and invigilators before exams (Lancaster &amp; Clarke, 2008). Technologies such as surveillance cameras and electronic signal detectors can help invigilators monitor examination rooms for the presence of unauthorized materials. These technologies enhance the ability to detect and prevent cheating (Smith et al., 2020). Allowing students to bring irrelevant materials into the examination room presents significant challenges for academic integrity and fairness. By implementing strict invigilation protocols, providing clear guidelines, and using technology to monitor examination rooms, educational institutions can address these challenges and uphold the credibility of the examination process. Maintaining a strong culture of integrity and reinforcing academic standards are crucial for ensuring that assessments accurately reflect students' knowledge and abilities.</w:t>
      </w:r>
    </w:p>
    <w:p w14:paraId="5A5B6816">
      <w:pPr>
        <w:pBdr>
          <w:bottom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Top of Form</w:t>
      </w:r>
    </w:p>
    <w:p w14:paraId="7FB50B0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Examination malpractice, including cheating, plagiarism, and other forms of academic dishonesty, undermines the integrity of educational assessments and devalues the credibility of academic achievements. Schools play a crucial role in combating examination malpractice by implementing strong policies and procedures to deter and address such behavior. Strong policies on examination malpractice are essential for maintaining academic integrity within educational institutions. These policies set clear expectations for ethical behavior and provide a framework for addressing violations (Whitley &amp; Keith-Spiegel, 2002). By implementing strict policies, schools can ensure that all students are assessed fairly and equitably. This approach promotes a level playing field and reduces the risk of students gaining unfair advantages through malpractice (McCabe et al., 2012). Strong policies act as a deterrent to academic dishonesty by establishing consequences for violations. The potential repercussions, such as disciplinary action or academic penalties, can dissuade students from engaging in examination malpractice (Sutherland-Smith, 2017).</w:t>
      </w:r>
    </w:p>
    <w:p w14:paraId="5F75E39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Effective policies clearly define examination malpractice and outline the types of behavior that constitute academic dishonesty. This clarity helps students and educators understand what is expected and the consequences of violating the policy (McCabe et al., 2012). Strong policies establish procedures for reporting suspected cases of examination malpractice and conducting thorough investigations. These procedures ensure that allegations are addressed promptly and fairly (Simkin &amp; McLeod, 2010). Consistency in enforcing policies and applying penalties is crucial for maintaining credibility. Schools must ensure that all cases of examination malpractice are treated consistently, regardless of the student's status or academic performance (Whitley &amp; Keith-Spiegel, 2002). Strong policies on examination malpractice are critical for upholding academic integrity, ensuring fairness in assessment, and deterring academic dishonesty. By implementing clear definitions, comprehensive procedures, and consistent enforcement, schools can create an environment that promotes ethical behavior and discourages malpractice. While challenges exist, effective communication and a balanced approach can help schools build a culture of integrity that benefits students and educators alike.</w:t>
      </w:r>
    </w:p>
    <w:p w14:paraId="48A9DB78">
      <w:pPr>
        <w:pBdr>
          <w:top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Bottom of Form</w:t>
      </w:r>
    </w:p>
    <w:p w14:paraId="375577D7">
      <w:pPr>
        <w:pBdr>
          <w:top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Bottom of Form</w:t>
      </w:r>
    </w:p>
    <w:p w14:paraId="64E34680">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School policies on examination malpractice aim to maintain high standards and deter dishonest practices. However, non-compliance by school administration with these policies can have severe repercussions, affecting students' trust, the reliability of results, and the broader educational environment. An institutional culture that tolerates or overlooks examination malpractice can lead to non-compliance with policies. If the administration prioritizes high exam scores over academic integrity, it may encourage or ignore cheating (Whitley &amp; Keith-Spiegel, 2002). School administrations may face intense pressure to produce high examination results, leading them to compromise on strict policy enforcement. This pressure can come from stakeholders such as parents, educational authorities, or the community (Simkin &amp; McLeod, 2010). School administrators may lack proper training in implementing and enforcing examination malpractice policies. Insufficient resources for monitoring and surveillance can also hinder compliance (McCabe et al., 2012). Administrators may fear negative repercussions, such as damage to the school's reputation or loss of student enrollment, if examination malpractice is uncovered. This fear can lead to reluctance in enforcing policies (Bretag et al., 2019).</w:t>
      </w:r>
    </w:p>
    <w:p w14:paraId="7E147CB4">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Non-compliance with policies fosters an environment where academic dishonesty is tolerated, leading to a significant erosion of academic integrity. This can have long-term effects on the quality of education and public trust in the institution (Sutherland-Smith, 2017). When the administration does not follow examination malpractice policies, students who engage in cheating gain unfair advantages over their peers. This undermines the fairness of assessment outcomes and creates inequities within the educational system (Simkin &amp; McLeod, 2010). Examination results from schools where malpractice policies are not enforced may not accurately reflect students' knowledge and abilities. This compromises the reliability of results and affects decisions based on these outcomes, such as university admissions or scholarship awards (McCabe et al., 2012). Non-compliance with examination malpractice policies by school administration poses significant challenges to academic integrity and fairness in educational assessments. It can lead to compromised examination results, erosion of trust, and negative impacts on the broader educational environment. Addressing this issue requires a multifaceted approach, including stronger oversight, comprehensive training for administrators, and a commitment to promoting a culture of integrity within schools.</w:t>
      </w:r>
    </w:p>
    <w:p w14:paraId="73010E48">
      <w:pPr>
        <w:pStyle w:val="30"/>
        <w:numPr>
          <w:ilvl w:val="0"/>
          <w:numId w:val="16"/>
        </w:numPr>
        <w:pBdr>
          <w:bottom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4Top of Form</w:t>
      </w:r>
    </w:p>
    <w:p w14:paraId="0A8DDAF8">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Students receiving substantial help on individual assignments without the teacher's permission is a form of academic dishonesty that undermines the principles of academic integrity and fairness in education. This practice, often referred to as unauthorized assistance, can take various forms, including collaboration with peers, using online resources, or seeking external help from tutors or family members. Students often face intense pressure to achieve high grades while managing heavy workloads. This pressure can drive them to seek unauthorized assistance to meet deadlines and maintain academic performance (McCabe et al., 2012). Students who lack confidence in their abilities or do not fully understand the assignment may turn to unauthorized assistance as a way to complete their work. This behavior can stem from inadequate preparation or insufficient support from teachers (Whitley &amp; Keith-Spiegel, 2002). Collaborative learning can be beneficial, but when it extends to individual assignments without teacher permission, it becomes unauthorized assistance. Peer pressure and the desire to fit in with others who engage in such practices can lead students to cross ethical boundaries (Bretag &amp; Mahmud, 2016).</w:t>
      </w:r>
    </w:p>
    <w:p w14:paraId="7F16047A">
      <w:pPr>
        <w:pBdr>
          <w:bottom w:val="single" w:color="auto" w:sz="6" w:space="1"/>
        </w:pBdr>
        <w:spacing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Collaboration on individual assignments without teacher approval is a common form of unauthorized assistance. Students may work together to complete assignments or share answers without realizing the implications for academic integrity (Sutherland-Smith, 2017). Some students seek help from tutors or family members to complete individual assignments. While additional support can be beneficial, it becomes problematic when it replaces the student's own effort and learning (Simkin &amp; McLeod, 2010). The internet provides a vast array of resources that can aid learning, but it also facilitates unauthorized assistance. Students may use online forums, educational websites, or homework help services to complete assignments without teacher knowledge (Whitley &amp; Keith-Spiegel, 2002). Unauthorized assistance on individual assignments without the teacher's permission is a form of academic dishonesty that undermines the principles of fairness and academic integrity. Factors such as academic pressure, peer influence, and lack of confidence drive students to seek unauthorized help, while common methods include collaboration with peers, external assistance, and online resources. To prevent this behavior, educators must implement clear guidelines, encourage independent learning, and foster a culture of academic integrity. By addressing these issues, schools can uphold the integrity of assessments and promote ethical conduct among students.</w:t>
      </w:r>
    </w:p>
    <w:p w14:paraId="3FC08FF4">
      <w:pPr>
        <w:pBdr>
          <w:bottom w:val="single" w:color="auto" w:sz="6" w:space="1"/>
        </w:pBdr>
        <w:spacing w:before="24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Examination cheating undermines academic integrity and devalues educational achievements. While many institutions face challenges in addressing cheating, there are instances where the level of examination cheating is notably low. Schools with robust academic integrity policies and consistent enforcement often experience lower levels of examination cheating. These policies establish clear rules and consequences for cheating, serving as a deterrent to potential violators (McCabe et al., 2012). Institutions that foster a culture of academic integrity tend to experience reduced cheating. A strong culture of integrity involves promoting ethical behavior, recognizing honest practices, and providing education on the importance of academic honesty (Bretag et al., 2019). Proper examination procedures, including strict invigilation, secure test administration, and technological monitoring, can significantly reduce opportunities for cheating. </w:t>
      </w:r>
    </w:p>
    <w:p w14:paraId="0AB6B8DB">
      <w:pPr>
        <w:pBdr>
          <w:bottom w:val="single" w:color="auto" w:sz="6" w:space="1"/>
        </w:pBdr>
        <w:spacing w:before="24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Schools with well-designed examination processes are less likely to experience cheating incidents (Whitley &amp; Keith-Spiegel, 2002). Institutions that maintain open communication with students and offer support for academic challenges can reduce cheating by addressing the root causes, such as pressure and anxiety. Support services, such as tutoring and counseling, help students meet academic demands without resorting to cheating (Simkin &amp; McLeod, 2010). A low level of examination cheating is an indicator of effective academic integrity practices and robust institutional policies. Institutions that foster a culture of academic integrity, maintain strict invigilation, and offer student support are likely to experience reduced cheating. However, maintaining a cheating-free environment requires continuous effort and adaptation to changing technologies and student needs. By balancing strict enforcement with supportive practices, schools can create a fair and trustworthy academic environment.</w:t>
      </w:r>
    </w:p>
    <w:p w14:paraId="1EDE58D7">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Examination malpractice, which includes cheating, collusion, and other forms of academic dishonesty, poses significant challenges to academic integrity. Institutions often respond to this threat by implementing strict policies and tough punishments to deter students from engaging in malpractice. The high stakes associated with academic assessments, such as university entrance exams or professional qualifications, create a strong incentive for institutions to impose tough punishments to maintain the integrity of these assessments (McCabe et al., 2012). Academic institutions place significant importance on maintaining academic integrity. Tough punishments serve as a deterrent against malpractice, reinforcing the values of honesty and ethical behavior within the academic community (Bretag et al., 2019). Schools and universities with strong reputations for academic excellence are likely to enforce tough punishments to protect their credibility. Compromised academic integrity and examination malpractices can tarnish an institution's reputation and affect its ability to attract students and funding (Whitley &amp; Keith-Spiegel, 2002). Educational institutions must often comply with regulatory requirements regarding academic integrity. Tough punishments may be mandated by governing bodies to ensure that institutions meet specific standards (Simkin &amp; McLeod, 2010).</w:t>
      </w:r>
    </w:p>
    <w:p w14:paraId="7F1C7A39">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One of the most severe punishments for examination malpractice is expulsion or suspension from the institution. This consequence can have long-lasting effects on a student's academic and professional trajectory (Sutherland-Smith, 2017). Institutions may respond to examination malpractice by assigning a failing grade for the examination or course. This punishment can significantly impact a student's academic progress (McCabe et al., 2012). Students caught engaging in examination malpractice may be placed on academic probation or have a permanent record of disciplinary action. This can affect their future educational and career opportunities (Whitley &amp; Keith-Spiegel, 2002). Tough punishments are intended to deter cheating behavior by demonstrating the serious consequences of examination malpractice. </w:t>
      </w:r>
    </w:p>
    <w:p w14:paraId="5302FB2F">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fear of harsh penalties can reduce the likelihood of students engaging in dishonest practices (Bretag et al., 2019). Strict disciplinary measures can reinforce a culture of academic integrity by setting clear boundaries for acceptable behavior. This can encourage students to adhere to ethical practices and respect examination rules (Sutherland-Smith, 2017). While tough punishments can deter cheating, they may also lead to negative outcomes. Excessive strictness can create a punitive environment, increasing stress and pressure on students, which may lead to other forms of academic dishonesty or disengagement (Simkin &amp; McLeod, 2010). This literature review examines the factors contributing to tough punishments for examination malpractice, their impact on academic integrity, and the challenges in implementing these measures.</w:t>
      </w:r>
    </w:p>
    <w:p w14:paraId="346B1410">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While examination malpractice is a concern in many educational institutions, there are instances where students strongly disapprove of such behaviors. In environments where academic integrity is highly valued, students are more likely to disapprove of examination malpractice. Cultural norms that promote honesty and discourage unethical behavior contribute to a community where cheating is socially unacceptable (Bretag &amp; Mahmud, 2016). Schools that provide effective education on academic integrity help students understand the consequences of examination malpractice. Programs that focus on ethical decision-making and the importance of honesty foster a mindset that rejects cheating (McCabe et al., 2012). Peer influence plays a significant role in shaping students' attitudes toward examination malpractice. When students are surrounded by peers who disapprove of cheating, they are less likely to engage in or tolerate such behavior. Positive social pressure can reinforce the values of academic integrity (Whitley &amp; Keith-Spiegel, 2002).</w:t>
      </w:r>
    </w:p>
    <w:p w14:paraId="05AC80CB">
      <w:pPr>
        <w:pBdr>
          <w:bottom w:val="single" w:color="auto" w:sz="6" w:space="1"/>
        </w:pBdr>
        <w:spacing w:line="480" w:lineRule="auto"/>
        <w:jc w:val="both"/>
        <w:rPr>
          <w:rFonts w:eastAsia="Times New Roman" w:asciiTheme="majorBidi" w:hAnsiTheme="majorBidi" w:cstheme="majorBidi"/>
          <w:sz w:val="24"/>
          <w:szCs w:val="24"/>
        </w:rPr>
      </w:pPr>
      <w:bookmarkStart w:id="47" w:name="_Hlk194750123"/>
      <w:bookmarkStart w:id="48" w:name="_Hlk194750358"/>
      <w:r>
        <w:rPr>
          <w:rFonts w:eastAsia="Times New Roman" w:asciiTheme="majorBidi" w:hAnsiTheme="majorBidi" w:cstheme="majorBidi"/>
          <w:sz w:val="24"/>
          <w:szCs w:val="24"/>
        </w:rPr>
        <w:t>When a significant number of students disapprove of examination malpractice, the likelihood of cheating decreases. This disapproval creates a culture where academic dishonesty is less likely to occur, leading to more reliable assessment outcomes (Sutherland-Smith, 2017). Student disapproval of examination malpractice contributes to a stronger sense of academic integrity within the educational community. This attitude promotes honesty and fosters a learning environment based on trust and fairness (Bretag et al., 2019). In environments where students disapprove of cheating, educational outcomes tend to be more accurate and reflective of students' actual abilities. This leads to fairer assessments and enhances the credibility of academic credentials (Simkin &amp; McLeod, 2010).</w:t>
      </w:r>
      <w:bookmarkEnd w:id="47"/>
      <w:bookmarkStart w:id="49" w:name="_Hlk194749874"/>
      <w:bookmarkStart w:id="50" w:name="_Hlk194749943"/>
      <w:bookmarkStart w:id="51" w:name="_Hlk194749835"/>
    </w:p>
    <w:bookmarkEnd w:id="48"/>
    <w:p w14:paraId="65450165">
      <w:pPr>
        <w:pBdr>
          <w:bottom w:val="single" w:color="auto" w:sz="6" w:space="1"/>
        </w:pBdr>
        <w:spacing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Schools can promote a culture of academic integrity by emphasizing the importance of honesty and ethical behavior. This includes awareness campaigns, honor codes, and role modeling by educators (Bretag &amp; Mahmud, 2016). Open communication between students and teachers can reinforce academic integrity. When students feel comfortable discussing academic challenges with teachers, they are less likely to resort to cheating (Whitley &amp; Keith-Spiegel, 2002). Institutions can encourage students to disapprove of examination malpractice by recognizing and rewarding those who demonstrate academic integrity. This approach reinforces positive behavior and creates incentives for students to adhere to ethical practices (McCabe et al., 2012). Students' disapproval of examination malpractice is a critical factor in promoting academic integrity and reducing cheating in educational institutions. By fostering a culture that values honesty, providing effective academic integrity education, and encouraging open communication, schools can create environments where examination malpractice is strongly disapproved. This leads to more reliable assessments, improved educational outcomes, and a stronger sense of academic integrity within the community.</w:t>
      </w:r>
      <w:bookmarkEnd w:id="49"/>
      <w:bookmarkEnd w:id="50"/>
      <w:bookmarkStart w:id="52" w:name="_Toc155707305"/>
    </w:p>
    <w:bookmarkEnd w:id="51"/>
    <w:p w14:paraId="6C4A0F93">
      <w:pPr>
        <w:pStyle w:val="2"/>
        <w:numPr>
          <w:ilvl w:val="1"/>
          <w:numId w:val="15"/>
        </w:numPr>
        <w:tabs>
          <w:tab w:val="left" w:pos="540"/>
        </w:tabs>
        <w:spacing w:line="480" w:lineRule="auto"/>
        <w:ind w:left="540" w:hanging="540"/>
        <w:jc w:val="both"/>
        <w:rPr>
          <w:rFonts w:asciiTheme="majorBidi" w:hAnsiTheme="majorBidi"/>
          <w:color w:val="auto"/>
          <w:sz w:val="24"/>
          <w:szCs w:val="24"/>
        </w:rPr>
      </w:pPr>
      <w:bookmarkStart w:id="53" w:name="_Toc194822607"/>
      <w:bookmarkStart w:id="54" w:name="_Hlk194750071"/>
      <w:r>
        <w:rPr>
          <w:rFonts w:asciiTheme="majorBidi" w:hAnsiTheme="majorBidi"/>
          <w:color w:val="auto"/>
          <w:sz w:val="24"/>
          <w:szCs w:val="24"/>
        </w:rPr>
        <w:t>Research Gap</w:t>
      </w:r>
      <w:bookmarkEnd w:id="53"/>
      <w:r>
        <w:rPr>
          <w:rFonts w:asciiTheme="majorBidi" w:hAnsiTheme="majorBidi"/>
          <w:color w:val="auto"/>
          <w:sz w:val="24"/>
          <w:szCs w:val="24"/>
        </w:rPr>
        <w:t xml:space="preserve"> </w:t>
      </w:r>
    </w:p>
    <w:bookmarkEnd w:id="52"/>
    <w:p w14:paraId="70446579">
      <w:pPr>
        <w:spacing w:before="100" w:beforeAutospacing="1" w:after="100" w:afterAutospacing="1" w:line="480" w:lineRule="auto"/>
        <w:jc w:val="both"/>
        <w:rPr>
          <w:rFonts w:asciiTheme="majorBidi" w:hAnsiTheme="majorBidi" w:cstheme="majorBidi"/>
          <w:sz w:val="24"/>
          <w:szCs w:val="24"/>
        </w:rPr>
      </w:pPr>
      <w:r>
        <w:rPr>
          <w:rFonts w:eastAsia="Times New Roman" w:asciiTheme="majorBidi" w:hAnsiTheme="majorBidi" w:cstheme="majorBidi"/>
          <w:sz w:val="24"/>
          <w:szCs w:val="24"/>
        </w:rPr>
        <w:t xml:space="preserve">Despite the growing importance of maintaining examination integrity, there was a significant research gap in understanding the specific determinants and contextual factors influencing academic integrity and examination malpractices in secondary schools within Garissa Township Sub County, Kenya. The existing literature provides general insights into the broader issues related to examination integrity, but there was lack of focused research on this specific region. </w:t>
      </w:r>
      <w:r>
        <w:rPr>
          <w:rFonts w:asciiTheme="majorBidi" w:hAnsiTheme="majorBidi" w:cstheme="majorBidi"/>
          <w:sz w:val="24"/>
          <w:szCs w:val="24"/>
        </w:rPr>
        <w:t>Addressing this research gap was essential for developing a comprehensive understanding of the Determinants of Academic Integrity and Examination Malpractices in Secondary Schools in Garissa Township Sub- County, Kenya. Conducting focused research in these areas will not only contribute to academic knowledge but also inform evidence-based policies and practices aimed at promoting ethical conduct during examinations.</w:t>
      </w:r>
    </w:p>
    <w:bookmarkEnd w:id="54"/>
    <w:p w14:paraId="0AF5C287">
      <w:pPr>
        <w:spacing w:before="100" w:beforeAutospacing="1" w:after="100" w:afterAutospacing="1" w:line="480" w:lineRule="auto"/>
        <w:jc w:val="both"/>
        <w:rPr>
          <w:rFonts w:asciiTheme="majorBidi" w:hAnsiTheme="majorBidi" w:cstheme="majorBidi"/>
          <w:sz w:val="24"/>
          <w:szCs w:val="24"/>
        </w:rPr>
      </w:pPr>
    </w:p>
    <w:p w14:paraId="11347A5B">
      <w:pPr>
        <w:spacing w:before="100" w:beforeAutospacing="1" w:after="100" w:afterAutospacing="1" w:line="480" w:lineRule="auto"/>
        <w:jc w:val="both"/>
        <w:rPr>
          <w:rFonts w:asciiTheme="majorBidi" w:hAnsiTheme="majorBidi" w:cstheme="majorBidi"/>
          <w:sz w:val="24"/>
          <w:szCs w:val="24"/>
        </w:rPr>
      </w:pPr>
    </w:p>
    <w:p w14:paraId="2546A936">
      <w:pPr>
        <w:spacing w:before="100" w:beforeAutospacing="1" w:after="100" w:afterAutospacing="1" w:line="480" w:lineRule="auto"/>
        <w:jc w:val="both"/>
        <w:rPr>
          <w:rFonts w:asciiTheme="majorBidi" w:hAnsiTheme="majorBidi" w:cstheme="majorBidi"/>
          <w:sz w:val="24"/>
          <w:szCs w:val="24"/>
        </w:rPr>
      </w:pPr>
    </w:p>
    <w:p w14:paraId="22D64048">
      <w:pPr>
        <w:spacing w:before="100" w:beforeAutospacing="1" w:after="100" w:afterAutospacing="1" w:line="480" w:lineRule="auto"/>
        <w:jc w:val="both"/>
        <w:rPr>
          <w:rFonts w:asciiTheme="majorBidi" w:hAnsiTheme="majorBidi" w:cstheme="majorBidi"/>
          <w:sz w:val="24"/>
          <w:szCs w:val="24"/>
        </w:rPr>
      </w:pPr>
    </w:p>
    <w:p w14:paraId="106CBE76">
      <w:pPr>
        <w:spacing w:before="100" w:beforeAutospacing="1" w:after="100" w:afterAutospacing="1" w:line="480" w:lineRule="auto"/>
        <w:jc w:val="both"/>
        <w:rPr>
          <w:rFonts w:asciiTheme="majorBidi" w:hAnsiTheme="majorBidi" w:cstheme="majorBidi"/>
          <w:sz w:val="24"/>
          <w:szCs w:val="24"/>
        </w:rPr>
      </w:pPr>
    </w:p>
    <w:p w14:paraId="0FCB5BF5">
      <w:pPr>
        <w:pStyle w:val="2"/>
        <w:jc w:val="center"/>
        <w:rPr>
          <w:rFonts w:eastAsia="Times New Roman" w:asciiTheme="majorBidi" w:hAnsiTheme="majorBidi"/>
          <w:color w:val="auto"/>
          <w:sz w:val="24"/>
          <w:szCs w:val="24"/>
        </w:rPr>
      </w:pPr>
      <w:bookmarkStart w:id="55" w:name="_Toc194822608"/>
      <w:r>
        <w:rPr>
          <w:rFonts w:eastAsia="Times New Roman" w:asciiTheme="majorBidi" w:hAnsiTheme="majorBidi"/>
          <w:color w:val="auto"/>
          <w:sz w:val="24"/>
          <w:szCs w:val="24"/>
        </w:rPr>
        <w:t>CHAPTER THREE</w:t>
      </w:r>
      <w:bookmarkEnd w:id="55"/>
    </w:p>
    <w:p w14:paraId="07936EC5">
      <w:pPr>
        <w:pStyle w:val="2"/>
        <w:jc w:val="center"/>
        <w:rPr>
          <w:rFonts w:eastAsia="Times New Roman" w:asciiTheme="majorBidi" w:hAnsiTheme="majorBidi"/>
          <w:vanish/>
          <w:color w:val="auto"/>
          <w:sz w:val="24"/>
          <w:szCs w:val="24"/>
        </w:rPr>
      </w:pPr>
      <w:bookmarkStart w:id="56" w:name="_Toc194822609"/>
      <w:r>
        <w:rPr>
          <w:rFonts w:eastAsia="Times New Roman" w:asciiTheme="majorBidi" w:hAnsiTheme="majorBidi"/>
          <w:color w:val="auto"/>
          <w:sz w:val="24"/>
          <w:szCs w:val="24"/>
        </w:rPr>
        <w:t>RESEARCH</w:t>
      </w:r>
      <w:bookmarkEnd w:id="56"/>
      <w:r>
        <w:rPr>
          <w:rFonts w:eastAsia="Times New Roman" w:asciiTheme="majorBidi" w:hAnsiTheme="majorBidi"/>
          <w:color w:val="auto"/>
          <w:sz w:val="24"/>
          <w:szCs w:val="24"/>
        </w:rPr>
        <w:t xml:space="preserve"> </w:t>
      </w:r>
      <w:r>
        <w:rPr>
          <w:rFonts w:eastAsia="Times New Roman" w:asciiTheme="majorBidi" w:hAnsiTheme="majorBidi"/>
          <w:vanish/>
          <w:color w:val="auto"/>
          <w:sz w:val="24"/>
          <w:szCs w:val="24"/>
        </w:rPr>
        <w:t>Top of Form</w:t>
      </w:r>
    </w:p>
    <w:p w14:paraId="3E0D27D9">
      <w:pPr>
        <w:pStyle w:val="2"/>
        <w:jc w:val="center"/>
        <w:rPr>
          <w:rFonts w:eastAsia="Times New Roman" w:asciiTheme="majorBidi" w:hAnsiTheme="majorBidi"/>
          <w:vanish/>
          <w:color w:val="auto"/>
          <w:sz w:val="24"/>
          <w:szCs w:val="24"/>
        </w:rPr>
      </w:pPr>
      <w:r>
        <w:rPr>
          <w:rFonts w:eastAsia="Times New Roman" w:asciiTheme="majorBidi" w:hAnsiTheme="majorBidi"/>
          <w:vanish/>
          <w:color w:val="auto"/>
          <w:sz w:val="24"/>
          <w:szCs w:val="24"/>
        </w:rPr>
        <w:t>Bottom of Form</w:t>
      </w:r>
    </w:p>
    <w:p w14:paraId="19BE9716">
      <w:pPr>
        <w:pStyle w:val="2"/>
        <w:jc w:val="center"/>
        <w:rPr>
          <w:rFonts w:eastAsia="Times New Roman" w:asciiTheme="majorBidi" w:hAnsiTheme="majorBidi"/>
          <w:color w:val="auto"/>
          <w:sz w:val="24"/>
          <w:szCs w:val="24"/>
        </w:rPr>
      </w:pPr>
      <w:bookmarkStart w:id="57" w:name="_Toc194822610"/>
      <w:r>
        <w:rPr>
          <w:rFonts w:eastAsia="Times New Roman" w:asciiTheme="majorBidi" w:hAnsiTheme="majorBidi"/>
          <w:color w:val="auto"/>
          <w:sz w:val="24"/>
          <w:szCs w:val="24"/>
        </w:rPr>
        <w:t>METHODOLOGY</w:t>
      </w:r>
      <w:bookmarkEnd w:id="57"/>
    </w:p>
    <w:p w14:paraId="3FB6E602">
      <w:pPr>
        <w:pStyle w:val="2"/>
        <w:numPr>
          <w:ilvl w:val="0"/>
          <w:numId w:val="17"/>
        </w:numPr>
        <w:ind w:hanging="720"/>
        <w:rPr>
          <w:rFonts w:asciiTheme="majorBidi" w:hAnsiTheme="majorBidi"/>
          <w:color w:val="auto"/>
          <w:sz w:val="24"/>
          <w:szCs w:val="24"/>
        </w:rPr>
      </w:pPr>
      <w:bookmarkStart w:id="58" w:name="_Toc194822611"/>
      <w:r>
        <w:rPr>
          <w:rFonts w:asciiTheme="majorBidi" w:hAnsiTheme="majorBidi"/>
          <w:color w:val="auto"/>
          <w:sz w:val="24"/>
          <w:szCs w:val="24"/>
        </w:rPr>
        <w:t>Overview</w:t>
      </w:r>
      <w:bookmarkEnd w:id="58"/>
    </w:p>
    <w:p w14:paraId="09946042">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Research methodology refers to the systematic approach and set of techniques used to conduct research, gather information, analyze data, and draw conclusions in a scientific and structured manner. It encompasses the strategies, procedures, tools, and techniques employed by researchers to investigate a research question or hypothesis, aiming to uncover new knowledge, validate existing theories, or explore specific phenomena. A well-designed research methodology provides a framework for collecting and interpreting data in a way that ensures the reliability, validity, and credibility of the research findings. It serves as a roadmap that guides researchers through each step of the research process, from defining the research problem to presenting the results.</w:t>
      </w:r>
    </w:p>
    <w:p w14:paraId="1C3D7F2C">
      <w:pPr>
        <w:pStyle w:val="2"/>
        <w:numPr>
          <w:ilvl w:val="0"/>
          <w:numId w:val="17"/>
        </w:numPr>
        <w:spacing w:before="0"/>
        <w:ind w:hanging="720"/>
        <w:rPr>
          <w:rFonts w:asciiTheme="majorBidi" w:hAnsiTheme="majorBidi"/>
          <w:color w:val="auto"/>
          <w:sz w:val="24"/>
          <w:szCs w:val="24"/>
        </w:rPr>
      </w:pPr>
      <w:bookmarkStart w:id="59" w:name="_Toc194822612"/>
      <w:r>
        <w:rPr>
          <w:rFonts w:asciiTheme="majorBidi" w:hAnsiTheme="majorBidi"/>
          <w:color w:val="auto"/>
          <w:sz w:val="24"/>
          <w:szCs w:val="24"/>
        </w:rPr>
        <w:t>Research Paradigm</w:t>
      </w:r>
      <w:bookmarkEnd w:id="59"/>
    </w:p>
    <w:p w14:paraId="7E44817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In the context of investigating Determinants of Academic Integrity and Examination Malpractices in Secondary Schools in Garissa Township Sub- County, Kenya, a mixed research paradigm that combines both quantitative and qualitative approaches was adopted. This provided a more comprehensive understanding of the phenomenon by allowing to explore both the numerical prevalence of academic integrity and examination malpractices and the underlying motivations, perceptions, and contextual factors. A mixed research paradigm involves the integration of quantitative and qualitative research methods within a single study. In the context of investigating Determinants of Academic Integrity and Examination Malpractices in Secondary Schools in Garissa Township Sub- County, Kenya, this paradigm allowed to triangulate findings, enhance the depth of understanding, and provided a more holistic view of the issue.</w:t>
      </w:r>
    </w:p>
    <w:p w14:paraId="252895B1">
      <w:pPr>
        <w:spacing w:before="100" w:beforeAutospacing="1" w:after="100" w:afterAutospacing="1" w:line="480" w:lineRule="auto"/>
        <w:jc w:val="both"/>
        <w:rPr>
          <w:rFonts w:asciiTheme="majorBidi" w:hAnsiTheme="majorBidi" w:cstheme="majorBidi"/>
          <w:sz w:val="24"/>
          <w:szCs w:val="24"/>
        </w:rPr>
      </w:pPr>
      <w:r>
        <w:rPr>
          <w:rFonts w:asciiTheme="majorBidi" w:hAnsiTheme="majorBidi" w:cstheme="majorBidi"/>
          <w:sz w:val="24"/>
          <w:szCs w:val="24"/>
        </w:rPr>
        <w:t xml:space="preserve">After analyzing both quantitative and qualitative data, the findings were integrated to gain a comprehensive picture of </w:t>
      </w:r>
      <w:r>
        <w:rPr>
          <w:rFonts w:eastAsia="Times New Roman" w:asciiTheme="majorBidi" w:hAnsiTheme="majorBidi" w:cstheme="majorBidi"/>
          <w:sz w:val="24"/>
          <w:szCs w:val="24"/>
        </w:rPr>
        <w:t>academic integrity and examination malpractices in secondary schools in Garissa Township Sub County, Kenya</w:t>
      </w:r>
      <w:r>
        <w:rPr>
          <w:rFonts w:asciiTheme="majorBidi" w:hAnsiTheme="majorBidi" w:cstheme="majorBidi"/>
          <w:sz w:val="24"/>
          <w:szCs w:val="24"/>
        </w:rPr>
        <w:t>. While the quantitative data revealed a certain prevalence rate of cheating, the qualitative interviews shed light on the cultural factors and personal motivations driving candidates' dishonest behaviors, more comprehensive and nuanced exploration of academic integrity and examination malpractices in Garissa Township Sub County was provided, leading to insights that inform effective interventions and strategies to promote academic integrity.</w:t>
      </w:r>
    </w:p>
    <w:p w14:paraId="210375C1">
      <w:pPr>
        <w:pStyle w:val="2"/>
        <w:numPr>
          <w:ilvl w:val="0"/>
          <w:numId w:val="17"/>
        </w:numPr>
        <w:spacing w:before="0"/>
        <w:ind w:hanging="720"/>
        <w:rPr>
          <w:rFonts w:asciiTheme="majorBidi" w:hAnsiTheme="majorBidi"/>
          <w:color w:val="auto"/>
          <w:sz w:val="24"/>
          <w:szCs w:val="24"/>
        </w:rPr>
      </w:pPr>
      <w:bookmarkStart w:id="60" w:name="_Toc194822613"/>
      <w:r>
        <w:rPr>
          <w:rFonts w:asciiTheme="majorBidi" w:hAnsiTheme="majorBidi"/>
          <w:color w:val="auto"/>
          <w:sz w:val="24"/>
          <w:szCs w:val="24"/>
        </w:rPr>
        <w:t>Research Design</w:t>
      </w:r>
      <w:bookmarkEnd w:id="60"/>
    </w:p>
    <w:p w14:paraId="1CC92769">
      <w:pPr>
        <w:spacing w:before="240" w:line="480" w:lineRule="auto"/>
        <w:jc w:val="both"/>
        <w:rPr>
          <w:rFonts w:eastAsia="Times New Roman" w:asciiTheme="majorBidi" w:hAnsiTheme="majorBidi" w:cstheme="majorBidi"/>
          <w:sz w:val="24"/>
          <w:szCs w:val="24"/>
        </w:rPr>
      </w:pPr>
      <w:r>
        <w:rPr>
          <w:rFonts w:asciiTheme="majorBidi" w:hAnsiTheme="majorBidi" w:cstheme="majorBidi"/>
          <w:sz w:val="24"/>
          <w:szCs w:val="24"/>
        </w:rPr>
        <w:t xml:space="preserve">A research design is that what provides a framework for collection of and analysis of data. A choice of research design reflects decision about the priority being given to a range of dimensions of research process. Orodho (2009) contends that descriptive survey design, despite suitability for exploratory and preliminary guide, allows the researcher to summarize and interpret information for analyzing the data. Kerlinger (2003) concur that survey design is used to gather data from a large population at a particular time with the intention of describing the current situation. The study therefore adopted a survey research design to investigate the </w:t>
      </w:r>
      <w:r>
        <w:rPr>
          <w:rFonts w:eastAsia="Times New Roman" w:asciiTheme="majorBidi" w:hAnsiTheme="majorBidi" w:cstheme="majorBidi"/>
          <w:sz w:val="24"/>
          <w:szCs w:val="24"/>
        </w:rPr>
        <w:t>determinants of academic integrity and examination malpractices in secondary schools of Garissa Township Sub County.</w:t>
      </w:r>
      <w:r>
        <w:rPr>
          <w:rFonts w:asciiTheme="majorBidi" w:hAnsiTheme="majorBidi" w:cstheme="majorBidi"/>
          <w:sz w:val="24"/>
          <w:szCs w:val="24"/>
        </w:rPr>
        <w:t xml:space="preserve"> This made the study viable and appropriate. The researcher had chosen this design in order to gather information from a number of respondents and to facilitate authentic result of the research study.</w:t>
      </w:r>
      <w:r>
        <w:rPr>
          <w:rFonts w:eastAsia="Times New Roman" w:asciiTheme="majorBidi" w:hAnsiTheme="majorBidi" w:cstheme="majorBidi"/>
          <w:sz w:val="24"/>
          <w:szCs w:val="24"/>
        </w:rPr>
        <w:t xml:space="preserve"> It focused on </w:t>
      </w:r>
      <w:r>
        <w:rPr>
          <w:rFonts w:asciiTheme="majorBidi" w:hAnsiTheme="majorBidi" w:cstheme="majorBidi"/>
          <w:sz w:val="24"/>
          <w:szCs w:val="24"/>
        </w:rPr>
        <w:t xml:space="preserve">mixed method research approach to combine quantitative and qualitative approaches so as to gather both numerical data on prevalence and in-depth insights into candidates' perceptions, motivations, and contextual factors.  </w:t>
      </w:r>
      <w:r>
        <w:rPr>
          <w:rFonts w:eastAsia="Times New Roman" w:asciiTheme="majorBidi" w:hAnsiTheme="majorBidi" w:cstheme="majorBidi"/>
          <w:sz w:val="24"/>
          <w:szCs w:val="24"/>
        </w:rPr>
        <w:t xml:space="preserve">By adopting this research design, leveraged the strengths of both quantitative and qualitative approaches to gain a holistic understanding of academic dishonesty, its prevalence, and its underlying factors. </w:t>
      </w:r>
    </w:p>
    <w:p w14:paraId="6BF9A6C2">
      <w:pPr>
        <w:pStyle w:val="2"/>
        <w:numPr>
          <w:ilvl w:val="0"/>
          <w:numId w:val="17"/>
        </w:numPr>
        <w:spacing w:before="0"/>
        <w:ind w:hanging="720"/>
        <w:rPr>
          <w:rFonts w:asciiTheme="majorBidi" w:hAnsiTheme="majorBidi"/>
          <w:color w:val="auto"/>
          <w:sz w:val="24"/>
          <w:szCs w:val="24"/>
        </w:rPr>
      </w:pPr>
      <w:bookmarkStart w:id="61" w:name="_Toc194822614"/>
      <w:r>
        <w:rPr>
          <w:rFonts w:asciiTheme="majorBidi" w:hAnsiTheme="majorBidi"/>
          <w:color w:val="auto"/>
          <w:sz w:val="24"/>
          <w:szCs w:val="24"/>
        </w:rPr>
        <w:t>Location of the Study</w:t>
      </w:r>
      <w:bookmarkEnd w:id="61"/>
    </w:p>
    <w:p w14:paraId="637F427B">
      <w:pPr>
        <w:pStyle w:val="17"/>
        <w:spacing w:before="240" w:beforeAutospacing="0" w:after="200" w:afterAutospacing="0" w:line="480" w:lineRule="auto"/>
        <w:jc w:val="both"/>
        <w:rPr>
          <w:rFonts w:asciiTheme="majorBidi" w:hAnsiTheme="majorBidi" w:cstheme="majorBidi"/>
        </w:rPr>
      </w:pPr>
      <w:r>
        <w:rPr>
          <w:rFonts w:asciiTheme="majorBidi" w:hAnsiTheme="majorBidi" w:cstheme="majorBidi"/>
        </w:rPr>
        <w:t>Singleton (1993) noted that the ideal setting for any study should be easily accessible to the researcher and should be that which permits instant rapport with the informants. Garissa Township Sub County was the geographical area where the research took place. This location was chosen because it was the specific context where the academic dishonesty among candidates in the national Examinations was to be examined. Garissa Township Sub County is located in the northeastern part of Kenya and is known for its unique cultural, social, and economic dynamics. The choice of Garissa Township Sub County as the study location was essential to understand how academic integrity and examination malpractices manifests within its specific context and to account for any cultural, socioeconomic, or regional factors that might influence the prevalence and nature of academic dishonesty among students in that area.</w:t>
      </w:r>
    </w:p>
    <w:p w14:paraId="24265901">
      <w:pPr>
        <w:pStyle w:val="2"/>
        <w:numPr>
          <w:ilvl w:val="0"/>
          <w:numId w:val="17"/>
        </w:numPr>
        <w:spacing w:before="0"/>
        <w:ind w:hanging="720"/>
        <w:rPr>
          <w:rFonts w:asciiTheme="majorBidi" w:hAnsiTheme="majorBidi"/>
          <w:color w:val="auto"/>
          <w:sz w:val="24"/>
          <w:szCs w:val="24"/>
        </w:rPr>
      </w:pPr>
      <w:bookmarkStart w:id="62" w:name="_Toc194822615"/>
      <w:r>
        <w:rPr>
          <w:rFonts w:asciiTheme="majorBidi" w:hAnsiTheme="majorBidi"/>
          <w:color w:val="auto"/>
          <w:sz w:val="24"/>
          <w:szCs w:val="24"/>
        </w:rPr>
        <w:t>Target Population</w:t>
      </w:r>
      <w:bookmarkEnd w:id="62"/>
    </w:p>
    <w:p w14:paraId="6E31398D">
      <w:pPr>
        <w:pStyle w:val="17"/>
        <w:spacing w:before="240" w:beforeAutospacing="0" w:line="480" w:lineRule="auto"/>
        <w:jc w:val="both"/>
        <w:rPr>
          <w:rFonts w:asciiTheme="majorBidi" w:hAnsiTheme="majorBidi" w:cstheme="majorBidi"/>
        </w:rPr>
      </w:pPr>
      <w:r>
        <w:rPr>
          <w:rFonts w:asciiTheme="majorBidi" w:hAnsiTheme="majorBidi" w:cstheme="majorBidi"/>
        </w:rPr>
        <w:t xml:space="preserve">Mugenda and Mugenda (1999) define target population as the set of individuals, cases or objects with some form of common observable characteristics, to which the researcher wants to generalize the results of the study. The target population for this research focused on </w:t>
      </w:r>
      <w:r>
        <w:rPr>
          <w:rFonts w:asciiTheme="majorBidi" w:hAnsiTheme="majorBidi" w:cstheme="majorBidi"/>
          <w:b/>
          <w:bCs/>
        </w:rPr>
        <w:t>s</w:t>
      </w:r>
      <w:r>
        <w:rPr>
          <w:rStyle w:val="19"/>
          <w:rFonts w:asciiTheme="majorBidi" w:hAnsiTheme="majorBidi" w:cstheme="majorBidi"/>
          <w:b w:val="0"/>
          <w:bCs w:val="0"/>
        </w:rPr>
        <w:t xml:space="preserve">tudent leaders </w:t>
      </w:r>
      <w:r>
        <w:rPr>
          <w:rStyle w:val="19"/>
          <w:rFonts w:asciiTheme="majorBidi" w:hAnsiTheme="majorBidi" w:cstheme="majorBidi"/>
        </w:rPr>
        <w:t>w</w:t>
      </w:r>
      <w:r>
        <w:rPr>
          <w:rFonts w:asciiTheme="majorBidi" w:hAnsiTheme="majorBidi" w:cstheme="majorBidi"/>
        </w:rPr>
        <w:t>ho</w:t>
      </w:r>
      <w:r>
        <w:rPr>
          <w:rFonts w:asciiTheme="majorBidi" w:hAnsiTheme="majorBidi" w:cstheme="majorBidi"/>
          <w:b/>
          <w:bCs/>
        </w:rPr>
        <w:t xml:space="preserve"> </w:t>
      </w:r>
      <w:r>
        <w:rPr>
          <w:rFonts w:asciiTheme="majorBidi" w:hAnsiTheme="majorBidi" w:cstheme="majorBidi"/>
        </w:rPr>
        <w:t>are preparing to take the Kenya Certificate of Secondary Education (KCSE) Examinations from various schools in different parts of Garissa Township Sub County. According to data from Garissa Township SCDE (2024), There were 38 secondary schools in Garissa Township, 10 public schools and 28 private schools where an average of 200 students studies in every school totaling to 7,600 students. Similarly, teachers who were involved in preparing and guiding candidates for the national examinations who might have insights into academic integrity policies and practices were focused. There was an average of 25 teachers in every school totaling to 950 teachers. School principals also provided insights into the school environment and policies related to examinations. There were 38 principals in Garissa township secondary schools (Garissa Township SCDE, 2024).</w:t>
      </w:r>
    </w:p>
    <w:p w14:paraId="7179CD48">
      <w:pPr>
        <w:pStyle w:val="2"/>
        <w:numPr>
          <w:ilvl w:val="0"/>
          <w:numId w:val="17"/>
        </w:numPr>
        <w:spacing w:before="0" w:line="480" w:lineRule="auto"/>
        <w:ind w:hanging="720"/>
        <w:rPr>
          <w:rFonts w:asciiTheme="majorBidi" w:hAnsiTheme="majorBidi"/>
          <w:color w:val="auto"/>
          <w:sz w:val="24"/>
          <w:szCs w:val="24"/>
        </w:rPr>
      </w:pPr>
      <w:bookmarkStart w:id="63" w:name="_Toc194822616"/>
      <w:r>
        <w:rPr>
          <w:rFonts w:asciiTheme="majorBidi" w:hAnsiTheme="majorBidi"/>
          <w:color w:val="auto"/>
          <w:sz w:val="24"/>
          <w:szCs w:val="24"/>
        </w:rPr>
        <w:t>Sampling Procedure</w:t>
      </w:r>
      <w:bookmarkEnd w:id="63"/>
    </w:p>
    <w:p w14:paraId="68C5351F">
      <w:pPr>
        <w:spacing w:line="480" w:lineRule="auto"/>
        <w:jc w:val="both"/>
        <w:rPr>
          <w:rFonts w:asciiTheme="majorBidi" w:hAnsiTheme="majorBidi" w:cstheme="majorBidi"/>
          <w:sz w:val="24"/>
          <w:szCs w:val="24"/>
        </w:rPr>
      </w:pPr>
      <w:r>
        <w:rPr>
          <w:rFonts w:asciiTheme="majorBidi" w:hAnsiTheme="majorBidi" w:cstheme="majorBidi"/>
          <w:sz w:val="24"/>
          <w:szCs w:val="24"/>
        </w:rPr>
        <w:t>Sampling means selecting a given number of subjects from a defined population as a representative of that population. Any statement made about the sample should be true of the population (Orodho, 2005). Weismer, (2005) observed that due to limitation in time, resources and funds a study could be carried from a carefully selected sample to represent the entire population.</w:t>
      </w:r>
      <w:r>
        <w:rPr>
          <w:rFonts w:asciiTheme="majorBidi" w:hAnsiTheme="majorBidi" w:cstheme="majorBidi"/>
          <w:sz w:val="24"/>
          <w:szCs w:val="24"/>
          <w:lang w:val="en-GB"/>
        </w:rPr>
        <w:t xml:space="preserve"> The objective of sampling is to get accurate empirical data at a fraction of the cost that it would take to examine all possible cases. </w:t>
      </w:r>
      <w:r>
        <w:rPr>
          <w:rFonts w:asciiTheme="majorBidi" w:hAnsiTheme="majorBidi" w:cstheme="majorBidi"/>
          <w:sz w:val="24"/>
          <w:szCs w:val="24"/>
        </w:rPr>
        <w:t>The sampling technique of the study was random sampling of institutions where the schools had equal chances of being chosen for study, the 30% strategy for sampling had been used 30% of N (30/100 *N) where N was the total population. There was a sample of 11 schools out of 38 (30% of 38 schools), where 6 were public schools and 5 private schools consisting of 4 boys’ schools, 3 girls’ schools and 4 mixed schools. Thus 11 Principals were selected using census, 5 teachers from every school (20% of 25 teachers) totaling to 55 teachers and 7 student leaders’ representatives per school totaling to 77 students using simple sampling.</w:t>
      </w:r>
    </w:p>
    <w:p w14:paraId="70D5A4C0">
      <w:pPr>
        <w:pStyle w:val="2"/>
        <w:numPr>
          <w:ilvl w:val="0"/>
          <w:numId w:val="17"/>
        </w:numPr>
        <w:spacing w:before="0" w:line="480" w:lineRule="auto"/>
        <w:ind w:hanging="720"/>
        <w:rPr>
          <w:rFonts w:asciiTheme="majorBidi" w:hAnsiTheme="majorBidi"/>
          <w:color w:val="auto"/>
          <w:sz w:val="24"/>
          <w:szCs w:val="24"/>
        </w:rPr>
      </w:pPr>
      <w:bookmarkStart w:id="64" w:name="_Toc194822617"/>
      <w:r>
        <w:rPr>
          <w:rFonts w:eastAsia="Times New Roman" w:asciiTheme="majorBidi" w:hAnsiTheme="majorBidi"/>
          <w:color w:val="auto"/>
          <w:sz w:val="24"/>
          <w:szCs w:val="24"/>
        </w:rPr>
        <w:t>The Sample</w:t>
      </w:r>
      <w:bookmarkEnd w:id="64"/>
      <w:r>
        <w:rPr>
          <w:rFonts w:eastAsia="Times New Roman" w:asciiTheme="majorBidi" w:hAnsiTheme="majorBidi"/>
          <w:color w:val="auto"/>
          <w:sz w:val="24"/>
          <w:szCs w:val="24"/>
        </w:rPr>
        <w:t xml:space="preserve"> </w:t>
      </w:r>
    </w:p>
    <w:p w14:paraId="4F1E4FC3">
      <w:pPr>
        <w:tabs>
          <w:tab w:val="left" w:pos="720"/>
        </w:tabs>
        <w:spacing w:after="0" w:line="480" w:lineRule="auto"/>
        <w:jc w:val="both"/>
        <w:rPr>
          <w:rFonts w:asciiTheme="majorBidi" w:hAnsiTheme="majorBidi" w:cstheme="majorBidi"/>
          <w:b/>
          <w:bCs/>
          <w:sz w:val="24"/>
          <w:szCs w:val="24"/>
        </w:rPr>
      </w:pPr>
      <w:r>
        <w:rPr>
          <w:rFonts w:asciiTheme="majorBidi" w:hAnsiTheme="majorBidi" w:cstheme="majorBidi"/>
          <w:sz w:val="24"/>
          <w:szCs w:val="24"/>
        </w:rPr>
        <w:t>This was segment or part of the population that was selected for study</w:t>
      </w:r>
      <w:r>
        <w:rPr>
          <w:rFonts w:asciiTheme="majorBidi" w:hAnsiTheme="majorBidi" w:cstheme="majorBidi"/>
          <w:b/>
          <w:bCs/>
          <w:sz w:val="24"/>
          <w:szCs w:val="24"/>
        </w:rPr>
        <w:t xml:space="preserve">. </w:t>
      </w:r>
    </w:p>
    <w:p w14:paraId="58E6C8F9">
      <w:pPr>
        <w:pStyle w:val="2"/>
        <w:spacing w:line="480" w:lineRule="auto"/>
        <w:rPr>
          <w:rFonts w:eastAsia="Times New Roman" w:asciiTheme="majorBidi" w:hAnsiTheme="majorBidi"/>
          <w:b w:val="0"/>
          <w:bCs w:val="0"/>
          <w:color w:val="auto"/>
          <w:sz w:val="24"/>
          <w:szCs w:val="24"/>
        </w:rPr>
      </w:pPr>
      <w:bookmarkStart w:id="65" w:name="_Toc194822618"/>
      <w:bookmarkStart w:id="66" w:name="_Toc194769898"/>
      <w:r>
        <w:rPr>
          <w:rFonts w:eastAsia="Times New Roman" w:asciiTheme="majorBidi" w:hAnsiTheme="majorBidi"/>
          <w:b w:val="0"/>
          <w:bCs w:val="0"/>
          <w:color w:val="auto"/>
          <w:sz w:val="24"/>
          <w:szCs w:val="24"/>
        </w:rPr>
        <w:t>Table 1:</w:t>
      </w:r>
      <w:bookmarkEnd w:id="65"/>
      <w:bookmarkEnd w:id="66"/>
      <w:r>
        <w:rPr>
          <w:rFonts w:eastAsia="Times New Roman" w:asciiTheme="majorBidi" w:hAnsiTheme="majorBidi"/>
          <w:b w:val="0"/>
          <w:bCs w:val="0"/>
          <w:color w:val="auto"/>
          <w:sz w:val="24"/>
          <w:szCs w:val="24"/>
        </w:rPr>
        <w:t xml:space="preserve"> </w:t>
      </w:r>
    </w:p>
    <w:p w14:paraId="28B8F032">
      <w:pPr>
        <w:pStyle w:val="2"/>
        <w:spacing w:before="0" w:after="240" w:line="240" w:lineRule="auto"/>
        <w:rPr>
          <w:rFonts w:eastAsia="Times New Roman" w:asciiTheme="majorBidi" w:hAnsiTheme="majorBidi"/>
          <w:b w:val="0"/>
          <w:bCs w:val="0"/>
          <w:color w:val="auto"/>
          <w:sz w:val="24"/>
          <w:szCs w:val="24"/>
        </w:rPr>
      </w:pPr>
      <w:bookmarkStart w:id="67" w:name="_Toc194822619"/>
      <w:bookmarkStart w:id="68" w:name="_Toc194769899"/>
      <w:r>
        <w:rPr>
          <w:rFonts w:eastAsia="Times New Roman" w:asciiTheme="majorBidi" w:hAnsiTheme="majorBidi"/>
          <w:b w:val="0"/>
          <w:bCs w:val="0"/>
          <w:i/>
          <w:iCs/>
          <w:color w:val="auto"/>
          <w:sz w:val="24"/>
          <w:szCs w:val="24"/>
        </w:rPr>
        <w:t>Sample Size of the Study</w:t>
      </w:r>
      <w:bookmarkEnd w:id="67"/>
      <w:bookmarkEnd w:id="68"/>
      <w:r>
        <w:rPr>
          <w:rFonts w:eastAsia="Times New Roman" w:asciiTheme="majorBidi" w:hAnsiTheme="majorBidi"/>
          <w:b w:val="0"/>
          <w:bCs w:val="0"/>
          <w:color w:val="auto"/>
          <w:sz w:val="24"/>
          <w:szCs w:val="24"/>
        </w:rPr>
        <w:t xml:space="preserve"> </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2"/>
        <w:gridCol w:w="2626"/>
        <w:gridCol w:w="3780"/>
      </w:tblGrid>
      <w:tr w14:paraId="20043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2162" w:type="dxa"/>
            <w:tcBorders>
              <w:top w:val="single" w:color="auto" w:sz="4" w:space="0"/>
              <w:bottom w:val="single" w:color="auto" w:sz="4" w:space="0"/>
            </w:tcBorders>
          </w:tcPr>
          <w:p w14:paraId="59E36BAE">
            <w:pPr>
              <w:pStyle w:val="17"/>
              <w:spacing w:line="480" w:lineRule="auto"/>
              <w:rPr>
                <w:rFonts w:asciiTheme="majorBidi" w:hAnsiTheme="majorBidi" w:cstheme="majorBidi"/>
              </w:rPr>
            </w:pPr>
            <w:r>
              <w:rPr>
                <w:rFonts w:asciiTheme="majorBidi" w:hAnsiTheme="majorBidi" w:cstheme="majorBidi"/>
              </w:rPr>
              <w:t>Respondents</w:t>
            </w:r>
          </w:p>
        </w:tc>
        <w:tc>
          <w:tcPr>
            <w:tcW w:w="2626" w:type="dxa"/>
            <w:tcBorders>
              <w:top w:val="single" w:color="auto" w:sz="4" w:space="0"/>
              <w:bottom w:val="single" w:color="auto" w:sz="4" w:space="0"/>
            </w:tcBorders>
          </w:tcPr>
          <w:p w14:paraId="04A6D0ED">
            <w:pPr>
              <w:pStyle w:val="17"/>
              <w:spacing w:line="480" w:lineRule="auto"/>
              <w:jc w:val="center"/>
              <w:rPr>
                <w:rFonts w:asciiTheme="majorBidi" w:hAnsiTheme="majorBidi" w:cstheme="majorBidi"/>
              </w:rPr>
            </w:pPr>
            <w:r>
              <w:rPr>
                <w:rFonts w:asciiTheme="majorBidi" w:hAnsiTheme="majorBidi" w:cstheme="majorBidi"/>
              </w:rPr>
              <w:t xml:space="preserve">Population (N)  </w:t>
            </w:r>
          </w:p>
        </w:tc>
        <w:tc>
          <w:tcPr>
            <w:tcW w:w="3780" w:type="dxa"/>
            <w:tcBorders>
              <w:top w:val="single" w:color="auto" w:sz="4" w:space="0"/>
              <w:bottom w:val="single" w:color="auto" w:sz="4" w:space="0"/>
            </w:tcBorders>
          </w:tcPr>
          <w:p w14:paraId="0EA9B7FE">
            <w:pPr>
              <w:pStyle w:val="17"/>
              <w:spacing w:line="480" w:lineRule="auto"/>
              <w:jc w:val="center"/>
              <w:rPr>
                <w:rFonts w:asciiTheme="majorBidi" w:hAnsiTheme="majorBidi" w:cstheme="majorBidi"/>
              </w:rPr>
            </w:pPr>
            <w:r>
              <w:rPr>
                <w:rFonts w:asciiTheme="majorBidi" w:hAnsiTheme="majorBidi" w:cstheme="majorBidi"/>
              </w:rPr>
              <w:t>Sample Size (n)</w:t>
            </w:r>
          </w:p>
        </w:tc>
      </w:tr>
      <w:tr w14:paraId="44ED4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2" w:hRule="atLeast"/>
        </w:trPr>
        <w:tc>
          <w:tcPr>
            <w:tcW w:w="2162" w:type="dxa"/>
            <w:tcBorders>
              <w:top w:val="single" w:color="auto" w:sz="4" w:space="0"/>
            </w:tcBorders>
          </w:tcPr>
          <w:p w14:paraId="5DF0BD08">
            <w:pPr>
              <w:pStyle w:val="17"/>
              <w:spacing w:line="480" w:lineRule="auto"/>
              <w:jc w:val="both"/>
              <w:rPr>
                <w:rFonts w:asciiTheme="majorBidi" w:hAnsiTheme="majorBidi" w:cstheme="majorBidi"/>
              </w:rPr>
            </w:pPr>
            <w:r>
              <w:rPr>
                <w:rFonts w:asciiTheme="majorBidi" w:hAnsiTheme="majorBidi" w:cstheme="majorBidi"/>
              </w:rPr>
              <w:t>Schools</w:t>
            </w:r>
          </w:p>
        </w:tc>
        <w:tc>
          <w:tcPr>
            <w:tcW w:w="2626" w:type="dxa"/>
            <w:tcBorders>
              <w:top w:val="single" w:color="auto" w:sz="4" w:space="0"/>
            </w:tcBorders>
          </w:tcPr>
          <w:p w14:paraId="7790CF4B">
            <w:pPr>
              <w:pStyle w:val="17"/>
              <w:spacing w:line="480" w:lineRule="auto"/>
              <w:jc w:val="center"/>
              <w:rPr>
                <w:rFonts w:asciiTheme="majorBidi" w:hAnsiTheme="majorBidi" w:cstheme="majorBidi"/>
              </w:rPr>
            </w:pPr>
            <w:r>
              <w:rPr>
                <w:rFonts w:asciiTheme="majorBidi" w:hAnsiTheme="majorBidi" w:cstheme="majorBidi"/>
              </w:rPr>
              <w:t>38</w:t>
            </w:r>
          </w:p>
        </w:tc>
        <w:tc>
          <w:tcPr>
            <w:tcW w:w="3780" w:type="dxa"/>
            <w:tcBorders>
              <w:top w:val="single" w:color="auto" w:sz="4" w:space="0"/>
            </w:tcBorders>
          </w:tcPr>
          <w:p w14:paraId="096D65F6">
            <w:pPr>
              <w:pStyle w:val="17"/>
              <w:spacing w:line="480" w:lineRule="auto"/>
              <w:jc w:val="center"/>
              <w:rPr>
                <w:rFonts w:asciiTheme="majorBidi" w:hAnsiTheme="majorBidi" w:cstheme="majorBidi"/>
              </w:rPr>
            </w:pPr>
            <w:r>
              <w:rPr>
                <w:rFonts w:asciiTheme="majorBidi" w:hAnsiTheme="majorBidi" w:cstheme="majorBidi"/>
              </w:rPr>
              <w:t>11</w:t>
            </w:r>
          </w:p>
        </w:tc>
      </w:tr>
      <w:tr w14:paraId="061FC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2162" w:type="dxa"/>
          </w:tcPr>
          <w:p w14:paraId="5F14B558">
            <w:pPr>
              <w:pStyle w:val="17"/>
              <w:spacing w:line="480" w:lineRule="auto"/>
              <w:jc w:val="both"/>
              <w:rPr>
                <w:rFonts w:asciiTheme="majorBidi" w:hAnsiTheme="majorBidi" w:cstheme="majorBidi"/>
              </w:rPr>
            </w:pPr>
            <w:r>
              <w:rPr>
                <w:rFonts w:asciiTheme="majorBidi" w:hAnsiTheme="majorBidi" w:cstheme="majorBidi"/>
              </w:rPr>
              <w:t>Principals</w:t>
            </w:r>
          </w:p>
        </w:tc>
        <w:tc>
          <w:tcPr>
            <w:tcW w:w="2626" w:type="dxa"/>
          </w:tcPr>
          <w:p w14:paraId="387DD35A">
            <w:pPr>
              <w:pStyle w:val="17"/>
              <w:spacing w:line="480" w:lineRule="auto"/>
              <w:jc w:val="center"/>
              <w:rPr>
                <w:rFonts w:asciiTheme="majorBidi" w:hAnsiTheme="majorBidi" w:cstheme="majorBidi"/>
              </w:rPr>
            </w:pPr>
            <w:r>
              <w:rPr>
                <w:rFonts w:asciiTheme="majorBidi" w:hAnsiTheme="majorBidi" w:cstheme="majorBidi"/>
              </w:rPr>
              <w:t>38</w:t>
            </w:r>
          </w:p>
        </w:tc>
        <w:tc>
          <w:tcPr>
            <w:tcW w:w="3780" w:type="dxa"/>
          </w:tcPr>
          <w:p w14:paraId="4E21EA21">
            <w:pPr>
              <w:pStyle w:val="17"/>
              <w:spacing w:line="480" w:lineRule="auto"/>
              <w:jc w:val="center"/>
              <w:rPr>
                <w:rFonts w:asciiTheme="majorBidi" w:hAnsiTheme="majorBidi" w:cstheme="majorBidi"/>
              </w:rPr>
            </w:pPr>
            <w:r>
              <w:rPr>
                <w:rFonts w:asciiTheme="majorBidi" w:hAnsiTheme="majorBidi" w:cstheme="majorBidi"/>
              </w:rPr>
              <w:t>11</w:t>
            </w:r>
          </w:p>
        </w:tc>
      </w:tr>
      <w:tr w14:paraId="05AC9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2162" w:type="dxa"/>
          </w:tcPr>
          <w:p w14:paraId="0BACA0C3">
            <w:pPr>
              <w:pStyle w:val="17"/>
              <w:spacing w:line="480" w:lineRule="auto"/>
              <w:jc w:val="both"/>
              <w:rPr>
                <w:rFonts w:asciiTheme="majorBidi" w:hAnsiTheme="majorBidi" w:cstheme="majorBidi"/>
              </w:rPr>
            </w:pPr>
            <w:r>
              <w:rPr>
                <w:rFonts w:asciiTheme="majorBidi" w:hAnsiTheme="majorBidi" w:cstheme="majorBidi"/>
              </w:rPr>
              <w:t>Teachers</w:t>
            </w:r>
          </w:p>
        </w:tc>
        <w:tc>
          <w:tcPr>
            <w:tcW w:w="2626" w:type="dxa"/>
          </w:tcPr>
          <w:p w14:paraId="78A012C2">
            <w:pPr>
              <w:pStyle w:val="17"/>
              <w:spacing w:line="480" w:lineRule="auto"/>
              <w:jc w:val="center"/>
              <w:rPr>
                <w:rFonts w:asciiTheme="majorBidi" w:hAnsiTheme="majorBidi" w:cstheme="majorBidi"/>
              </w:rPr>
            </w:pPr>
            <w:r>
              <w:rPr>
                <w:rFonts w:asciiTheme="majorBidi" w:hAnsiTheme="majorBidi" w:cstheme="majorBidi"/>
              </w:rPr>
              <w:t>950</w:t>
            </w:r>
          </w:p>
        </w:tc>
        <w:tc>
          <w:tcPr>
            <w:tcW w:w="3780" w:type="dxa"/>
          </w:tcPr>
          <w:p w14:paraId="2FFC85FA">
            <w:pPr>
              <w:pStyle w:val="17"/>
              <w:spacing w:line="480" w:lineRule="auto"/>
              <w:jc w:val="center"/>
              <w:rPr>
                <w:rFonts w:asciiTheme="majorBidi" w:hAnsiTheme="majorBidi" w:cstheme="majorBidi"/>
              </w:rPr>
            </w:pPr>
            <w:r>
              <w:rPr>
                <w:rFonts w:asciiTheme="majorBidi" w:hAnsiTheme="majorBidi" w:cstheme="majorBidi"/>
              </w:rPr>
              <w:t>55</w:t>
            </w:r>
          </w:p>
        </w:tc>
      </w:tr>
      <w:tr w14:paraId="4883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162" w:type="dxa"/>
            <w:tcBorders>
              <w:bottom w:val="single" w:color="auto" w:sz="4" w:space="0"/>
            </w:tcBorders>
          </w:tcPr>
          <w:p w14:paraId="4952B29F">
            <w:pPr>
              <w:pStyle w:val="17"/>
              <w:spacing w:line="480" w:lineRule="auto"/>
              <w:jc w:val="both"/>
              <w:rPr>
                <w:rFonts w:asciiTheme="majorBidi" w:hAnsiTheme="majorBidi" w:cstheme="majorBidi"/>
              </w:rPr>
            </w:pPr>
            <w:r>
              <w:rPr>
                <w:rFonts w:asciiTheme="majorBidi" w:hAnsiTheme="majorBidi" w:cstheme="majorBidi"/>
              </w:rPr>
              <w:t>Students</w:t>
            </w:r>
          </w:p>
        </w:tc>
        <w:tc>
          <w:tcPr>
            <w:tcW w:w="2626" w:type="dxa"/>
            <w:tcBorders>
              <w:bottom w:val="single" w:color="auto" w:sz="4" w:space="0"/>
            </w:tcBorders>
          </w:tcPr>
          <w:p w14:paraId="049B4D90">
            <w:pPr>
              <w:pStyle w:val="17"/>
              <w:spacing w:line="480" w:lineRule="auto"/>
              <w:jc w:val="center"/>
              <w:rPr>
                <w:rFonts w:asciiTheme="majorBidi" w:hAnsiTheme="majorBidi" w:cstheme="majorBidi"/>
              </w:rPr>
            </w:pPr>
            <w:r>
              <w:rPr>
                <w:rFonts w:asciiTheme="majorBidi" w:hAnsiTheme="majorBidi" w:cstheme="majorBidi"/>
              </w:rPr>
              <w:t>7,600</w:t>
            </w:r>
          </w:p>
        </w:tc>
        <w:tc>
          <w:tcPr>
            <w:tcW w:w="3780" w:type="dxa"/>
            <w:tcBorders>
              <w:bottom w:val="single" w:color="auto" w:sz="4" w:space="0"/>
            </w:tcBorders>
          </w:tcPr>
          <w:p w14:paraId="54FB51F2">
            <w:pPr>
              <w:pStyle w:val="17"/>
              <w:spacing w:line="480" w:lineRule="auto"/>
              <w:jc w:val="center"/>
              <w:rPr>
                <w:rFonts w:asciiTheme="majorBidi" w:hAnsiTheme="majorBidi" w:cstheme="majorBidi"/>
              </w:rPr>
            </w:pPr>
            <w:r>
              <w:rPr>
                <w:rFonts w:asciiTheme="majorBidi" w:hAnsiTheme="majorBidi" w:cstheme="majorBidi"/>
              </w:rPr>
              <w:t>77</w:t>
            </w:r>
          </w:p>
        </w:tc>
      </w:tr>
    </w:tbl>
    <w:p w14:paraId="0AC24CE5">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BA2466F">
      <w:pPr>
        <w:spacing w:before="240"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By using a mixed-methods design approach and employing appropriate sampling techniques, a diverse and comprehensive dataset was gathered that encompasses both quantitative prevalence data and qualitative insights into candidates' perceptions and experiences of academic dishonesty. This holistic approach enhanced the validity and depth of the study's findings.</w:t>
      </w:r>
    </w:p>
    <w:p w14:paraId="1B750DFB">
      <w:pPr>
        <w:pStyle w:val="2"/>
        <w:numPr>
          <w:ilvl w:val="0"/>
          <w:numId w:val="17"/>
        </w:numPr>
        <w:spacing w:before="0"/>
        <w:ind w:hanging="720"/>
        <w:rPr>
          <w:rFonts w:asciiTheme="majorBidi" w:hAnsiTheme="majorBidi"/>
          <w:color w:val="auto"/>
          <w:sz w:val="24"/>
          <w:szCs w:val="24"/>
        </w:rPr>
      </w:pPr>
      <w:bookmarkStart w:id="69" w:name="_Toc194822620"/>
      <w:r>
        <w:rPr>
          <w:rFonts w:asciiTheme="majorBidi" w:hAnsiTheme="majorBidi"/>
          <w:color w:val="auto"/>
          <w:sz w:val="24"/>
          <w:szCs w:val="24"/>
        </w:rPr>
        <w:t>Research Instrument</w:t>
      </w:r>
      <w:bookmarkEnd w:id="69"/>
    </w:p>
    <w:p w14:paraId="74A6212F">
      <w:pPr>
        <w:spacing w:before="100" w:beforeAutospacing="1" w:after="0" w:line="480" w:lineRule="auto"/>
        <w:jc w:val="both"/>
        <w:rPr>
          <w:rFonts w:asciiTheme="majorBidi" w:hAnsiTheme="majorBidi" w:cstheme="majorBidi"/>
          <w:sz w:val="24"/>
          <w:szCs w:val="24"/>
          <w:lang w:val="en-GB"/>
        </w:rPr>
      </w:pPr>
      <w:r>
        <w:rPr>
          <w:rFonts w:asciiTheme="majorBidi" w:hAnsiTheme="majorBidi" w:cstheme="majorBidi"/>
          <w:sz w:val="24"/>
          <w:szCs w:val="24"/>
          <w:lang w:val="en-GB"/>
        </w:rPr>
        <w:t>The research instruments that were used were survey questionnaires and personal interviews</w:t>
      </w:r>
      <w:r>
        <w:rPr>
          <w:rFonts w:asciiTheme="majorBidi" w:hAnsiTheme="majorBidi" w:cstheme="majorBidi"/>
          <w:sz w:val="24"/>
          <w:szCs w:val="24"/>
        </w:rPr>
        <w:t xml:space="preserve">. </w:t>
      </w:r>
      <w:r>
        <w:rPr>
          <w:rFonts w:asciiTheme="majorBidi" w:hAnsiTheme="majorBidi" w:cstheme="majorBidi"/>
          <w:sz w:val="24"/>
          <w:szCs w:val="24"/>
          <w:lang w:val="en-GB"/>
        </w:rPr>
        <w:t xml:space="preserve">According to Mugenda and Mugenda (1999), the most commonly used instruments in social science researches are: </w:t>
      </w:r>
      <w:r>
        <w:rPr>
          <w:rFonts w:asciiTheme="majorBidi" w:hAnsiTheme="majorBidi" w:cstheme="majorBidi"/>
          <w:sz w:val="24"/>
          <w:szCs w:val="24"/>
        </w:rPr>
        <w:t>questionnaires, personal interviews and researcher’s observation.</w:t>
      </w:r>
      <w:r>
        <w:rPr>
          <w:rFonts w:asciiTheme="majorBidi" w:hAnsiTheme="majorBidi" w:cstheme="majorBidi"/>
          <w:sz w:val="24"/>
          <w:szCs w:val="24"/>
          <w:lang w:val="en-GB"/>
        </w:rPr>
        <w:t xml:space="preserve"> </w:t>
      </w:r>
      <w:r>
        <w:rPr>
          <w:rFonts w:asciiTheme="majorBidi" w:hAnsiTheme="majorBidi" w:cstheme="majorBidi"/>
          <w:sz w:val="24"/>
          <w:szCs w:val="24"/>
        </w:rPr>
        <w:t xml:space="preserve">Questionnaire was used for data collection because they offer considerable advantages in the administration. Questionnaire gives respondents freedom to express their views or opinions and also to make suggestions. Orodho (2005) states that interview method of collecting data is usually carried out in a structured way where out-put depends to a large extent on the ability of the interviewer. It is a good method of collecting data as the researcher use a set of pre-conceived questions through personal interview. </w:t>
      </w:r>
    </w:p>
    <w:p w14:paraId="45B7548E">
      <w:pPr>
        <w:spacing w:after="100" w:afterAutospacing="1" w:line="480" w:lineRule="auto"/>
        <w:jc w:val="both"/>
        <w:rPr>
          <w:rFonts w:asciiTheme="majorBidi" w:hAnsiTheme="majorBidi" w:cstheme="majorBidi"/>
          <w:sz w:val="24"/>
          <w:szCs w:val="24"/>
        </w:rPr>
      </w:pPr>
      <w:r>
        <w:rPr>
          <w:rFonts w:asciiTheme="majorBidi" w:hAnsiTheme="majorBidi" w:cstheme="majorBidi"/>
          <w:sz w:val="24"/>
          <w:szCs w:val="24"/>
          <w:lang w:val="en-GB"/>
        </w:rPr>
        <w:t xml:space="preserve">A </w:t>
      </w:r>
      <w:r>
        <w:rPr>
          <w:rFonts w:asciiTheme="majorBidi" w:hAnsiTheme="majorBidi" w:cstheme="majorBidi"/>
          <w:sz w:val="24"/>
          <w:szCs w:val="24"/>
        </w:rPr>
        <w:t>survey questionnaire that fitted the specific research objectives and the cultural context of the study was adapted and administered to teachers and student leaders’ representatives. The questionnaire was reviewed and revised for clarity and coherence before distributing it to the targeted respondents.</w:t>
      </w:r>
      <w:r>
        <w:rPr>
          <w:rFonts w:asciiTheme="majorBidi" w:hAnsiTheme="majorBidi" w:cstheme="majorBidi"/>
          <w:sz w:val="24"/>
          <w:szCs w:val="24"/>
          <w:lang w:val="en-GB"/>
        </w:rPr>
        <w:t xml:space="preserve"> </w:t>
      </w:r>
      <w:r>
        <w:rPr>
          <w:rFonts w:eastAsia="Times New Roman" w:asciiTheme="majorBidi" w:hAnsiTheme="majorBidi" w:cstheme="majorBidi"/>
          <w:sz w:val="24"/>
          <w:szCs w:val="24"/>
        </w:rPr>
        <w:t>Semi-structured interviews were conducted to principals to gather deeper insights into experiences, perspectives, and suggestions related to examination integrity.</w:t>
      </w:r>
      <w:r>
        <w:rPr>
          <w:rFonts w:asciiTheme="majorBidi" w:hAnsiTheme="majorBidi" w:cstheme="majorBidi"/>
          <w:sz w:val="24"/>
          <w:szCs w:val="24"/>
          <w:lang w:val="en-GB"/>
        </w:rPr>
        <w:t xml:space="preserve"> </w:t>
      </w:r>
      <w:r>
        <w:rPr>
          <w:rFonts w:asciiTheme="majorBidi" w:hAnsiTheme="majorBidi" w:cstheme="majorBidi"/>
          <w:sz w:val="24"/>
          <w:szCs w:val="24"/>
        </w:rPr>
        <w:t>The interview was applied for qualitative part for this project. The discussions were transcribed and analyzed the data for common themes and insights. This qualitative data complemented the quantitative data collected through surveys to provide a comprehensive understanding of academic dishonesty in the context of national Examinations.</w:t>
      </w:r>
    </w:p>
    <w:p w14:paraId="45C8C93C">
      <w:pPr>
        <w:pStyle w:val="2"/>
        <w:numPr>
          <w:ilvl w:val="0"/>
          <w:numId w:val="17"/>
        </w:numPr>
        <w:spacing w:before="0" w:line="480" w:lineRule="auto"/>
        <w:ind w:hanging="720"/>
        <w:rPr>
          <w:rFonts w:asciiTheme="majorBidi" w:hAnsiTheme="majorBidi"/>
          <w:color w:val="auto"/>
          <w:sz w:val="24"/>
          <w:szCs w:val="24"/>
        </w:rPr>
      </w:pPr>
      <w:bookmarkStart w:id="70" w:name="_Toc194822621"/>
      <w:r>
        <w:rPr>
          <w:rFonts w:asciiTheme="majorBidi" w:hAnsiTheme="majorBidi"/>
          <w:color w:val="auto"/>
          <w:sz w:val="24"/>
          <w:szCs w:val="24"/>
        </w:rPr>
        <w:t>Validity of the Research Instruments</w:t>
      </w:r>
      <w:bookmarkEnd w:id="70"/>
    </w:p>
    <w:p w14:paraId="42DCD392">
      <w:pPr>
        <w:pStyle w:val="9"/>
        <w:spacing w:line="480" w:lineRule="auto"/>
        <w:jc w:val="both"/>
        <w:rPr>
          <w:rFonts w:asciiTheme="majorBidi" w:hAnsiTheme="majorBidi" w:cstheme="majorBidi"/>
          <w:lang w:val="en-GB"/>
        </w:rPr>
      </w:pPr>
      <w:r>
        <w:rPr>
          <w:rFonts w:asciiTheme="majorBidi" w:hAnsiTheme="majorBidi" w:cstheme="majorBidi"/>
        </w:rPr>
        <w:t xml:space="preserve">Validity is the degree to which results obtained from the analysis of the data actually represents the phenomena under study. Validity, according to Borg and Gall (1999) is the degree to which a test measures what it purports to measure. The validity of the study focused on the degree of exactitude of respondents’ responses in answering the questionnaires and participating in the interviews. Ensuring the validity of research instruments is crucial to obtain accurate and meaningful results. </w:t>
      </w:r>
      <w:r>
        <w:rPr>
          <w:rFonts w:asciiTheme="majorBidi" w:hAnsiTheme="majorBidi" w:cstheme="majorBidi"/>
          <w:lang w:val="en-GB"/>
        </w:rPr>
        <w:t xml:space="preserve">The research instruments for this study were therefore validated through application of content validity, which was determined by expert judgement </w:t>
      </w:r>
      <w:r>
        <w:rPr>
          <w:rFonts w:asciiTheme="majorBidi" w:hAnsiTheme="majorBidi" w:cstheme="majorBidi"/>
        </w:rPr>
        <w:t>for both survey questionnaires and Interviews, the process of establishing validity involved careful planning, expert consultation, pilot testing, and refining the instrument based on feedback. Cultural context was considered for this study to ensure that the items and language used were appropriate and understandable to the targeted participants. Establishing validity was an ongoing process, and it was continuously assessed and refined the research instrument to ensure that it accurately measures the intended construct.</w:t>
      </w:r>
    </w:p>
    <w:p w14:paraId="2CAD5A89">
      <w:pPr>
        <w:pStyle w:val="2"/>
        <w:numPr>
          <w:ilvl w:val="0"/>
          <w:numId w:val="17"/>
        </w:numPr>
        <w:tabs>
          <w:tab w:val="left" w:pos="540"/>
        </w:tabs>
        <w:spacing w:before="0"/>
        <w:ind w:left="900" w:hanging="900"/>
        <w:rPr>
          <w:rFonts w:asciiTheme="majorBidi" w:hAnsiTheme="majorBidi"/>
          <w:color w:val="auto"/>
          <w:sz w:val="24"/>
          <w:szCs w:val="24"/>
        </w:rPr>
      </w:pPr>
      <w:r>
        <w:rPr>
          <w:rFonts w:asciiTheme="majorBidi" w:hAnsiTheme="majorBidi"/>
          <w:color w:val="auto"/>
          <w:sz w:val="24"/>
          <w:szCs w:val="24"/>
        </w:rPr>
        <w:t xml:space="preserve">  </w:t>
      </w:r>
      <w:bookmarkStart w:id="71" w:name="_Toc194822622"/>
      <w:r>
        <w:rPr>
          <w:rFonts w:asciiTheme="majorBidi" w:hAnsiTheme="majorBidi"/>
          <w:color w:val="auto"/>
          <w:sz w:val="24"/>
          <w:szCs w:val="24"/>
        </w:rPr>
        <w:t>Reliability of the Research Instruments</w:t>
      </w:r>
      <w:bookmarkEnd w:id="71"/>
    </w:p>
    <w:p w14:paraId="11771316">
      <w:pPr>
        <w:spacing w:before="100" w:beforeAutospacing="1" w:line="480" w:lineRule="auto"/>
        <w:jc w:val="both"/>
        <w:rPr>
          <w:rFonts w:asciiTheme="majorBidi" w:hAnsiTheme="majorBidi" w:cstheme="majorBidi"/>
          <w:sz w:val="24"/>
          <w:szCs w:val="24"/>
        </w:rPr>
      </w:pPr>
      <w:r>
        <w:rPr>
          <w:rFonts w:eastAsia="Times New Roman" w:asciiTheme="majorBidi" w:hAnsiTheme="majorBidi" w:cstheme="majorBidi"/>
          <w:sz w:val="24"/>
          <w:szCs w:val="24"/>
        </w:rPr>
        <w:t xml:space="preserve">Reliability refers to the consistency and stability of the measurements taken with that instrument. </w:t>
      </w:r>
      <w:r>
        <w:rPr>
          <w:rFonts w:asciiTheme="majorBidi" w:hAnsiTheme="majorBidi" w:cstheme="majorBidi"/>
          <w:sz w:val="24"/>
          <w:szCs w:val="24"/>
        </w:rPr>
        <w:t>This enabled the researcher to assess the clarity of the instrument used so that those items that were found to be inadequate or vague were modified to improve the quality of the research instruments thus increasing its reliability. The study was also reliabl</w:t>
      </w:r>
      <w:bookmarkStart w:id="72" w:name="_Toc377305516"/>
      <w:r>
        <w:rPr>
          <w:rFonts w:asciiTheme="majorBidi" w:hAnsiTheme="majorBidi" w:cstheme="majorBidi"/>
          <w:sz w:val="24"/>
          <w:szCs w:val="24"/>
        </w:rPr>
        <w:t>e and gave the intended results.</w:t>
      </w:r>
      <w:bookmarkEnd w:id="72"/>
      <w:r>
        <w:rPr>
          <w:rFonts w:asciiTheme="majorBidi" w:hAnsiTheme="majorBidi" w:cstheme="majorBidi"/>
          <w:sz w:val="24"/>
          <w:szCs w:val="24"/>
        </w:rPr>
        <w:t xml:space="preserve"> </w:t>
      </w:r>
      <w:r>
        <w:rPr>
          <w:rFonts w:eastAsia="Times New Roman" w:asciiTheme="majorBidi" w:hAnsiTheme="majorBidi" w:cstheme="majorBidi"/>
          <w:sz w:val="24"/>
          <w:szCs w:val="24"/>
        </w:rPr>
        <w:t>Test-Retest Reliability</w:t>
      </w:r>
      <w:r>
        <w:rPr>
          <w:rFonts w:asciiTheme="majorBidi" w:hAnsiTheme="majorBidi" w:cstheme="majorBidi"/>
          <w:sz w:val="24"/>
          <w:szCs w:val="24"/>
          <w:lang w:val="en-GB"/>
        </w:rPr>
        <w:t xml:space="preserve"> technique was used to establish the reliability of the instruments.</w:t>
      </w:r>
      <w:r>
        <w:rPr>
          <w:rFonts w:eastAsia="Times New Roman" w:asciiTheme="majorBidi" w:hAnsiTheme="majorBidi" w:cstheme="majorBidi"/>
          <w:sz w:val="24"/>
          <w:szCs w:val="24"/>
        </w:rPr>
        <w:t xml:space="preserve"> This form of reliability assessed whether the instrument produced consistent results when administered to the same group of participants at different points in time. To assess test-retest reliability the instrument was administered to a group of participants. After a certain a week, the same instrument was re-administered to the same group. The correlation between the participants' responses in the two administrations was calculated. </w:t>
      </w:r>
      <w:r>
        <w:rPr>
          <w:rFonts w:asciiTheme="majorBidi" w:hAnsiTheme="majorBidi" w:cstheme="majorBidi"/>
          <w:sz w:val="24"/>
          <w:szCs w:val="24"/>
          <w:lang w:val="en-GB"/>
        </w:rPr>
        <w:t xml:space="preserve"> A correlation coefficient (r) of 0.75 was obtained and that was considered high enough to judge the reliability of the instrument. (Orodho, 2009).</w:t>
      </w:r>
    </w:p>
    <w:p w14:paraId="2023FA40">
      <w:pPr>
        <w:pStyle w:val="2"/>
        <w:numPr>
          <w:ilvl w:val="0"/>
          <w:numId w:val="17"/>
        </w:numPr>
        <w:tabs>
          <w:tab w:val="left" w:pos="720"/>
        </w:tabs>
        <w:spacing w:before="0" w:line="480" w:lineRule="auto"/>
        <w:ind w:left="630" w:hanging="630"/>
        <w:rPr>
          <w:rFonts w:asciiTheme="majorBidi" w:hAnsiTheme="majorBidi"/>
          <w:color w:val="auto"/>
          <w:sz w:val="24"/>
          <w:szCs w:val="24"/>
        </w:rPr>
      </w:pPr>
      <w:bookmarkStart w:id="73" w:name="_Toc194822623"/>
      <w:r>
        <w:rPr>
          <w:rFonts w:asciiTheme="majorBidi" w:hAnsiTheme="majorBidi"/>
          <w:color w:val="auto"/>
          <w:sz w:val="24"/>
          <w:szCs w:val="24"/>
        </w:rPr>
        <w:t>Pilot Study</w:t>
      </w:r>
      <w:bookmarkEnd w:id="73"/>
    </w:p>
    <w:p w14:paraId="1F443920">
      <w:pPr>
        <w:spacing w:after="0" w:line="480" w:lineRule="auto"/>
        <w:jc w:val="both"/>
        <w:rPr>
          <w:rFonts w:asciiTheme="majorBidi" w:hAnsiTheme="majorBidi" w:cstheme="majorBidi"/>
          <w:sz w:val="24"/>
          <w:szCs w:val="24"/>
        </w:rPr>
      </w:pPr>
      <w:r>
        <w:rPr>
          <w:rFonts w:asciiTheme="majorBidi" w:hAnsiTheme="majorBidi" w:cstheme="majorBidi"/>
          <w:sz w:val="24"/>
          <w:szCs w:val="24"/>
        </w:rPr>
        <w:t>A pilot study was a small-scale preliminary research project conducted before the main study to test and refine research methods, procedures, and instruments. Its primary purpose was to identify any potential issues or challenges that might have arised during the main study and make necessary adjustments before committing to a larger-scale research effort. A small sample of participants (10%) that was similar to the targeted population was selected. The survey questionnaire and interview questions were administered, this helped to gauge how well the recruitment process worked and whether the sample size was appropriate, based on the feedback from experts and the research literature was adopted. Clarity, relevance, and suitability for the target audience was ensured.</w:t>
      </w:r>
    </w:p>
    <w:p w14:paraId="17504C3B">
      <w:pPr>
        <w:pStyle w:val="17"/>
        <w:spacing w:before="0" w:beforeAutospacing="0" w:line="480" w:lineRule="auto"/>
        <w:jc w:val="both"/>
        <w:rPr>
          <w:rFonts w:asciiTheme="majorBidi" w:hAnsiTheme="majorBidi" w:cstheme="majorBidi"/>
        </w:rPr>
      </w:pPr>
      <w:r>
        <w:rPr>
          <w:rFonts w:asciiTheme="majorBidi" w:hAnsiTheme="majorBidi" w:cstheme="majorBidi"/>
        </w:rPr>
        <w:t>A modified instrument was administered again to a small group (10%) of participants who were similar to the targeted population. The data was analyzed to identify any patterns, anomalies, or unexpected findings. This offered insights into potential issues or opportunities. Feasibility of the research procedures was assessed. Based on the feedback, observations, and data from the pilot study, necessary adjustments were made to the research methods, instruments, or procedures. This involved rephrasing questions, changing the recruitment process, or modifying the data analysis plan. Observations and notes on what worked well and what needs improvement was recorded. Changes made based on the pilot study was documented. The pilot study experience and findings were shared with experts or advisors. Based on the outcome it significantly improved the quality of the main study and enhance the validity and reliability of the findings.</w:t>
      </w:r>
    </w:p>
    <w:p w14:paraId="7E893179">
      <w:pPr>
        <w:pStyle w:val="2"/>
        <w:numPr>
          <w:ilvl w:val="0"/>
          <w:numId w:val="17"/>
        </w:numPr>
        <w:tabs>
          <w:tab w:val="left" w:pos="720"/>
          <w:tab w:val="left" w:pos="990"/>
        </w:tabs>
        <w:spacing w:before="0" w:after="240"/>
        <w:ind w:left="810" w:hanging="810"/>
        <w:rPr>
          <w:rFonts w:asciiTheme="majorBidi" w:hAnsiTheme="majorBidi"/>
          <w:color w:val="auto"/>
          <w:sz w:val="24"/>
          <w:szCs w:val="24"/>
        </w:rPr>
      </w:pPr>
      <w:bookmarkStart w:id="74" w:name="_Toc194822624"/>
      <w:r>
        <w:rPr>
          <w:rFonts w:eastAsia="Times New Roman" w:asciiTheme="majorBidi" w:hAnsiTheme="majorBidi"/>
          <w:color w:val="auto"/>
          <w:sz w:val="24"/>
          <w:szCs w:val="24"/>
        </w:rPr>
        <w:t>Data Collection Procedure</w:t>
      </w:r>
      <w:bookmarkEnd w:id="74"/>
    </w:p>
    <w:p w14:paraId="5783C83D">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data collection procedure is a crucial phase of any research project, as it involves systematically gathering the data needed to address the research objectives. Conducting data collection with diligence, care, and adherence to ethical guidelines is essential for obtaining accurate and meaningful research outcomes. The procedure was carefully planned, well-organized, and aligned with the research design. </w:t>
      </w:r>
      <w:r>
        <w:rPr>
          <w:rStyle w:val="19"/>
          <w:rFonts w:asciiTheme="majorBidi" w:hAnsiTheme="majorBidi" w:cstheme="majorBidi"/>
          <w:b w:val="0"/>
          <w:bCs w:val="0"/>
          <w:sz w:val="24"/>
          <w:szCs w:val="24"/>
        </w:rPr>
        <w:t>A</w:t>
      </w:r>
      <w:r>
        <w:rPr>
          <w:rStyle w:val="19"/>
          <w:rFonts w:asciiTheme="majorBidi" w:hAnsiTheme="majorBidi" w:cstheme="majorBidi"/>
          <w:sz w:val="24"/>
          <w:szCs w:val="24"/>
        </w:rPr>
        <w:t xml:space="preserve"> </w:t>
      </w:r>
      <w:r>
        <w:rPr>
          <w:rFonts w:asciiTheme="majorBidi" w:hAnsiTheme="majorBidi" w:cstheme="majorBidi"/>
          <w:sz w:val="24"/>
          <w:szCs w:val="24"/>
        </w:rPr>
        <w:t xml:space="preserve">well-structured and validated questionnaires and interview guides protocols were developed that aligned with the research objectives and were understandable to the targeted audience. Pre-test of the data collection instruments with a small group of participants was done to identify any issues and refine the instruments accordingly. </w:t>
      </w:r>
    </w:p>
    <w:p w14:paraId="703BD814">
      <w:pPr>
        <w:spacing w:after="0" w:line="480" w:lineRule="auto"/>
        <w:jc w:val="both"/>
        <w:rPr>
          <w:rFonts w:eastAsia="Calibri" w:asciiTheme="majorBidi" w:hAnsiTheme="majorBidi" w:cstheme="majorBidi"/>
          <w:bCs/>
          <w:color w:val="000000" w:themeColor="text1"/>
          <w:sz w:val="24"/>
          <w:szCs w:val="24"/>
          <w:highlight w:val="cyan"/>
          <w:lang w:val="en-GB"/>
          <w14:textFill>
            <w14:solidFill>
              <w14:schemeClr w14:val="tx1"/>
            </w14:solidFill>
          </w14:textFill>
        </w:rPr>
      </w:pPr>
      <w:r>
        <w:rPr>
          <w:rFonts w:asciiTheme="majorBidi" w:hAnsiTheme="majorBidi" w:cstheme="majorBidi"/>
          <w:color w:val="000000" w:themeColor="text1"/>
          <w:sz w:val="24"/>
          <w:szCs w:val="24"/>
          <w:highlight w:val="cyan"/>
          <w14:textFill>
            <w14:solidFill>
              <w14:schemeClr w14:val="tx1"/>
            </w14:solidFill>
          </w14:textFill>
        </w:rPr>
        <w:t xml:space="preserve">Permit to collect data was obtained from </w:t>
      </w:r>
      <w:r>
        <w:rPr>
          <w:rFonts w:eastAsia="Calibri" w:asciiTheme="majorBidi" w:hAnsiTheme="majorBidi" w:cstheme="majorBidi"/>
          <w:bCs/>
          <w:color w:val="000000" w:themeColor="text1"/>
          <w:sz w:val="24"/>
          <w:szCs w:val="24"/>
          <w:highlight w:val="cyan"/>
          <w:lang w:val="en-GB"/>
          <w14:textFill>
            <w14:solidFill>
              <w14:schemeClr w14:val="tx1"/>
            </w14:solidFill>
          </w14:textFill>
        </w:rPr>
        <w:t xml:space="preserve">Garissa University, Office Of The Director Research, Postgradaute Linkages And Community Outreach (REPLICO), Ethical  clearance letter from Laikipia University Institutional Scientific Ethics Review Committee (LU-ISERC), research license was obtained from National Commission for Science Technology and Innovation (NACOSTI) and finally Research Authrization from Garissa County Director of Education (CDE) </w:t>
      </w:r>
      <w:r>
        <w:rPr>
          <w:rFonts w:asciiTheme="majorBidi" w:hAnsiTheme="majorBidi" w:cstheme="majorBidi"/>
          <w:color w:val="000000" w:themeColor="text1"/>
          <w:sz w:val="24"/>
          <w:szCs w:val="24"/>
          <w:highlight w:val="cyan"/>
          <w14:textFill>
            <w14:solidFill>
              <w14:schemeClr w14:val="tx1"/>
            </w14:solidFill>
          </w14:textFill>
        </w:rPr>
        <w:t>was obtained to allow carry out the research in the targeted area. data collection process adhered to ethical guidelines, including informed consent and participant confidentiality.</w:t>
      </w:r>
    </w:p>
    <w:p w14:paraId="42DD7179">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A representative sample of participants was selected from the target population. The sampling method was aligned with the research goals and allowed for meaningful data analysis. The purpose of the study was clearly communicated to potential participants, outlining their role and the benefits of their involvement. </w:t>
      </w:r>
      <w:r>
        <w:rPr>
          <w:rStyle w:val="19"/>
          <w:rFonts w:asciiTheme="majorBidi" w:hAnsiTheme="majorBidi" w:cstheme="majorBidi"/>
          <w:b w:val="0"/>
          <w:bCs w:val="0"/>
        </w:rPr>
        <w:t xml:space="preserve">It was </w:t>
      </w:r>
      <w:r>
        <w:rPr>
          <w:rFonts w:asciiTheme="majorBidi" w:hAnsiTheme="majorBidi" w:cstheme="majorBidi"/>
        </w:rPr>
        <w:t xml:space="preserve">ensured that all participants were familiar with the data collection methods, instruments, and ethical considerations. </w:t>
      </w:r>
      <w:r>
        <w:rPr>
          <w:rStyle w:val="19"/>
          <w:rFonts w:asciiTheme="majorBidi" w:hAnsiTheme="majorBidi" w:cstheme="majorBidi"/>
          <w:b w:val="0"/>
          <w:bCs w:val="0"/>
        </w:rPr>
        <w:t>A well-prepared</w:t>
      </w:r>
      <w:r>
        <w:rPr>
          <w:rStyle w:val="19"/>
          <w:rFonts w:asciiTheme="majorBidi" w:hAnsiTheme="majorBidi" w:cstheme="majorBidi"/>
        </w:rPr>
        <w:t xml:space="preserve"> </w:t>
      </w:r>
      <w:r>
        <w:rPr>
          <w:rFonts w:asciiTheme="majorBidi" w:hAnsiTheme="majorBidi" w:cstheme="majorBidi"/>
        </w:rPr>
        <w:t xml:space="preserve">survey questionnaire was distributed to the participants through the school administrations (paper-based) and provided clear instructions. </w:t>
      </w:r>
      <w:r>
        <w:rPr>
          <w:rStyle w:val="19"/>
          <w:rFonts w:asciiTheme="majorBidi" w:hAnsiTheme="majorBidi" w:cstheme="majorBidi"/>
          <w:b w:val="0"/>
          <w:bCs w:val="0"/>
        </w:rPr>
        <w:t xml:space="preserve">Interviews of the school principals were conducted while following </w:t>
      </w:r>
      <w:r>
        <w:rPr>
          <w:rFonts w:asciiTheme="majorBidi" w:hAnsiTheme="majorBidi" w:cstheme="majorBidi"/>
        </w:rPr>
        <w:t>the interview guide, allowing them to express their perspectives and experiences openly for the purpose of qualitative method. Regular reflection on the data collection process and necessary adjustments based on the lessons learned throughout the research journey was made.</w:t>
      </w:r>
    </w:p>
    <w:p w14:paraId="445712B0">
      <w:pPr>
        <w:pStyle w:val="2"/>
        <w:numPr>
          <w:ilvl w:val="0"/>
          <w:numId w:val="17"/>
        </w:numPr>
        <w:spacing w:before="0"/>
        <w:ind w:hanging="720"/>
        <w:rPr>
          <w:rFonts w:asciiTheme="majorBidi" w:hAnsiTheme="majorBidi"/>
          <w:color w:val="auto"/>
          <w:sz w:val="24"/>
          <w:szCs w:val="24"/>
        </w:rPr>
      </w:pPr>
      <w:bookmarkStart w:id="75" w:name="_Toc194822625"/>
      <w:r>
        <w:rPr>
          <w:rFonts w:asciiTheme="majorBidi" w:hAnsiTheme="majorBidi"/>
          <w:color w:val="auto"/>
          <w:sz w:val="24"/>
          <w:szCs w:val="24"/>
        </w:rPr>
        <w:t>Operational Definition of Research Variables</w:t>
      </w:r>
      <w:bookmarkEnd w:id="75"/>
    </w:p>
    <w:p w14:paraId="09DF5593">
      <w:pPr>
        <w:spacing w:before="240" w:after="0" w:line="480" w:lineRule="auto"/>
        <w:jc w:val="both"/>
        <w:rPr>
          <w:rFonts w:asciiTheme="majorBidi" w:hAnsiTheme="majorBidi" w:cstheme="majorBidi"/>
          <w:sz w:val="24"/>
          <w:szCs w:val="24"/>
        </w:rPr>
      </w:pPr>
      <w:r>
        <w:rPr>
          <w:rFonts w:asciiTheme="majorBidi" w:hAnsiTheme="majorBidi" w:cstheme="majorBidi"/>
          <w:sz w:val="24"/>
          <w:szCs w:val="24"/>
        </w:rPr>
        <w:t>Operational Definition of Research Variables is the specific way in which they will be measured as they show indicators and measuring item of independent variables and dependent variables.</w:t>
      </w:r>
    </w:p>
    <w:p w14:paraId="282BAA9D">
      <w:pPr>
        <w:pStyle w:val="2"/>
        <w:spacing w:before="0" w:line="360" w:lineRule="auto"/>
        <w:rPr>
          <w:rFonts w:eastAsia="Times New Roman" w:asciiTheme="majorBidi" w:hAnsiTheme="majorBidi"/>
          <w:b w:val="0"/>
          <w:bCs w:val="0"/>
          <w:color w:val="auto"/>
          <w:sz w:val="24"/>
          <w:szCs w:val="24"/>
        </w:rPr>
      </w:pPr>
      <w:bookmarkStart w:id="76" w:name="_Toc194769906"/>
      <w:bookmarkStart w:id="77" w:name="_Toc194822626"/>
      <w:r>
        <w:rPr>
          <w:rFonts w:eastAsia="Times New Roman" w:asciiTheme="majorBidi" w:hAnsiTheme="majorBidi"/>
          <w:b w:val="0"/>
          <w:bCs w:val="0"/>
          <w:color w:val="auto"/>
          <w:sz w:val="24"/>
          <w:szCs w:val="24"/>
        </w:rPr>
        <w:t>Table 2:</w:t>
      </w:r>
      <w:bookmarkEnd w:id="76"/>
      <w:bookmarkEnd w:id="77"/>
      <w:r>
        <w:rPr>
          <w:rFonts w:eastAsia="Times New Roman" w:asciiTheme="majorBidi" w:hAnsiTheme="majorBidi"/>
          <w:b w:val="0"/>
          <w:bCs w:val="0"/>
          <w:color w:val="auto"/>
          <w:sz w:val="24"/>
          <w:szCs w:val="24"/>
        </w:rPr>
        <w:t xml:space="preserve"> </w:t>
      </w:r>
    </w:p>
    <w:p w14:paraId="2E3D225A">
      <w:pPr>
        <w:pStyle w:val="2"/>
        <w:spacing w:before="0" w:line="360" w:lineRule="auto"/>
        <w:rPr>
          <w:rFonts w:asciiTheme="majorBidi" w:hAnsiTheme="majorBidi"/>
          <w:b w:val="0"/>
          <w:bCs w:val="0"/>
          <w:color w:val="auto"/>
          <w:sz w:val="24"/>
          <w:szCs w:val="24"/>
        </w:rPr>
      </w:pPr>
      <w:bookmarkStart w:id="78" w:name="_Toc194769907"/>
      <w:bookmarkStart w:id="79" w:name="_Toc194822627"/>
      <w:r>
        <w:rPr>
          <w:rFonts w:asciiTheme="majorBidi" w:hAnsiTheme="majorBidi"/>
          <w:b w:val="0"/>
          <w:bCs w:val="0"/>
          <w:i/>
          <w:iCs/>
          <w:color w:val="auto"/>
          <w:sz w:val="24"/>
          <w:szCs w:val="24"/>
        </w:rPr>
        <w:t>Operational Definition of Research Variables</w:t>
      </w:r>
      <w:bookmarkEnd w:id="78"/>
      <w:bookmarkEnd w:id="79"/>
    </w:p>
    <w:tbl>
      <w:tblPr>
        <w:tblStyle w:val="20"/>
        <w:tblW w:w="9025" w:type="dxa"/>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5"/>
        <w:gridCol w:w="2689"/>
        <w:gridCol w:w="3000"/>
        <w:gridCol w:w="2491"/>
      </w:tblGrid>
      <w:tr w14:paraId="0792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845" w:type="dxa"/>
            <w:tcBorders>
              <w:top w:val="single" w:color="auto" w:sz="4" w:space="0"/>
              <w:bottom w:val="single" w:color="auto" w:sz="4" w:space="0"/>
            </w:tcBorders>
          </w:tcPr>
          <w:p w14:paraId="7A5B9DF3">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S/No.</w:t>
            </w:r>
          </w:p>
        </w:tc>
        <w:tc>
          <w:tcPr>
            <w:tcW w:w="2689" w:type="dxa"/>
            <w:tcBorders>
              <w:top w:val="single" w:color="auto" w:sz="4" w:space="0"/>
              <w:bottom w:val="single" w:color="auto" w:sz="4" w:space="0"/>
            </w:tcBorders>
          </w:tcPr>
          <w:p w14:paraId="27C76984">
            <w:pPr>
              <w:pStyle w:val="30"/>
              <w:spacing w:after="0" w:line="240" w:lineRule="auto"/>
              <w:ind w:left="0"/>
              <w:rPr>
                <w:rFonts w:asciiTheme="majorBidi" w:hAnsiTheme="majorBidi" w:cstheme="majorBidi"/>
                <w:b/>
                <w:bCs/>
                <w:sz w:val="24"/>
                <w:szCs w:val="24"/>
              </w:rPr>
            </w:pPr>
            <w:r>
              <w:rPr>
                <w:rFonts w:asciiTheme="majorBidi" w:hAnsiTheme="majorBidi" w:cstheme="majorBidi"/>
                <w:b/>
                <w:bCs/>
                <w:sz w:val="24"/>
                <w:szCs w:val="24"/>
              </w:rPr>
              <w:t>Variables</w:t>
            </w:r>
          </w:p>
        </w:tc>
        <w:tc>
          <w:tcPr>
            <w:tcW w:w="3000" w:type="dxa"/>
            <w:tcBorders>
              <w:top w:val="single" w:color="auto" w:sz="4" w:space="0"/>
              <w:bottom w:val="single" w:color="auto" w:sz="4" w:space="0"/>
            </w:tcBorders>
          </w:tcPr>
          <w:p w14:paraId="2827B8B5">
            <w:pPr>
              <w:pStyle w:val="30"/>
              <w:spacing w:after="0" w:line="240" w:lineRule="auto"/>
              <w:ind w:left="0"/>
              <w:rPr>
                <w:rFonts w:asciiTheme="majorBidi" w:hAnsiTheme="majorBidi" w:cstheme="majorBidi"/>
                <w:b/>
                <w:bCs/>
                <w:sz w:val="24"/>
                <w:szCs w:val="24"/>
              </w:rPr>
            </w:pPr>
            <w:r>
              <w:rPr>
                <w:rFonts w:asciiTheme="majorBidi" w:hAnsiTheme="majorBidi" w:cstheme="majorBidi"/>
                <w:b/>
                <w:bCs/>
                <w:sz w:val="24"/>
                <w:szCs w:val="24"/>
              </w:rPr>
              <w:t>Operational Definition</w:t>
            </w:r>
          </w:p>
        </w:tc>
        <w:tc>
          <w:tcPr>
            <w:tcW w:w="2491" w:type="dxa"/>
            <w:tcBorders>
              <w:top w:val="single" w:color="auto" w:sz="4" w:space="0"/>
              <w:bottom w:val="single" w:color="auto" w:sz="4" w:space="0"/>
            </w:tcBorders>
          </w:tcPr>
          <w:p w14:paraId="16E5C3BC">
            <w:pPr>
              <w:pStyle w:val="30"/>
              <w:spacing w:after="0" w:line="240" w:lineRule="auto"/>
              <w:ind w:left="0"/>
              <w:rPr>
                <w:rFonts w:asciiTheme="majorBidi" w:hAnsiTheme="majorBidi" w:cstheme="majorBidi"/>
                <w:b/>
                <w:bCs/>
                <w:sz w:val="24"/>
                <w:szCs w:val="24"/>
              </w:rPr>
            </w:pPr>
            <w:r>
              <w:rPr>
                <w:rFonts w:asciiTheme="majorBidi" w:hAnsiTheme="majorBidi" w:cstheme="majorBidi"/>
                <w:b/>
                <w:bCs/>
                <w:sz w:val="24"/>
                <w:szCs w:val="24"/>
              </w:rPr>
              <w:t>Measuring Item</w:t>
            </w:r>
          </w:p>
        </w:tc>
      </w:tr>
      <w:tr w14:paraId="6821C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3" w:hRule="atLeast"/>
        </w:trPr>
        <w:tc>
          <w:tcPr>
            <w:tcW w:w="845" w:type="dxa"/>
          </w:tcPr>
          <w:p w14:paraId="2388CF72">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1</w:t>
            </w:r>
          </w:p>
        </w:tc>
        <w:tc>
          <w:tcPr>
            <w:tcW w:w="2689" w:type="dxa"/>
          </w:tcPr>
          <w:p w14:paraId="528B1E0E">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Peer Pressure</w:t>
            </w:r>
          </w:p>
        </w:tc>
        <w:tc>
          <w:tcPr>
            <w:tcW w:w="3000" w:type="dxa"/>
          </w:tcPr>
          <w:p w14:paraId="3E0CF087">
            <w:pPr>
              <w:spacing w:after="0" w:line="240" w:lineRule="auto"/>
              <w:rPr>
                <w:rFonts w:asciiTheme="majorBidi" w:hAnsiTheme="majorBidi" w:cstheme="majorBidi"/>
                <w:sz w:val="24"/>
                <w:szCs w:val="24"/>
              </w:rPr>
            </w:pPr>
            <w:r>
              <w:rPr>
                <w:rFonts w:asciiTheme="majorBidi" w:hAnsiTheme="majorBidi" w:cstheme="majorBidi"/>
                <w:sz w:val="24"/>
                <w:szCs w:val="24"/>
              </w:rPr>
              <w:t>Influence by Peer groups and friends</w:t>
            </w:r>
          </w:p>
        </w:tc>
        <w:tc>
          <w:tcPr>
            <w:tcW w:w="2491" w:type="dxa"/>
          </w:tcPr>
          <w:p w14:paraId="11744509">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1-5</w:t>
            </w:r>
          </w:p>
          <w:p w14:paraId="34892384">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1-2</w:t>
            </w:r>
          </w:p>
          <w:p w14:paraId="0C24501B">
            <w:pPr>
              <w:pStyle w:val="30"/>
              <w:spacing w:after="0" w:line="240" w:lineRule="auto"/>
              <w:ind w:left="0"/>
              <w:rPr>
                <w:rFonts w:asciiTheme="majorBidi" w:hAnsiTheme="majorBidi" w:cstheme="majorBidi"/>
                <w:sz w:val="24"/>
                <w:szCs w:val="24"/>
              </w:rPr>
            </w:pPr>
          </w:p>
        </w:tc>
      </w:tr>
      <w:tr w14:paraId="254CC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845" w:type="dxa"/>
          </w:tcPr>
          <w:p w14:paraId="727927F1">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2</w:t>
            </w:r>
          </w:p>
        </w:tc>
        <w:tc>
          <w:tcPr>
            <w:tcW w:w="2689" w:type="dxa"/>
          </w:tcPr>
          <w:p w14:paraId="2CFE380C">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 xml:space="preserve">Parents Involvement </w:t>
            </w:r>
          </w:p>
        </w:tc>
        <w:tc>
          <w:tcPr>
            <w:tcW w:w="3000" w:type="dxa"/>
          </w:tcPr>
          <w:p w14:paraId="2FB8E2A0">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Role of Parents in examination integrity</w:t>
            </w:r>
          </w:p>
        </w:tc>
        <w:tc>
          <w:tcPr>
            <w:tcW w:w="2491" w:type="dxa"/>
          </w:tcPr>
          <w:p w14:paraId="62DAEBCA">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6-9</w:t>
            </w:r>
          </w:p>
          <w:p w14:paraId="03949228">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3-5</w:t>
            </w:r>
          </w:p>
          <w:p w14:paraId="75B7BFFA">
            <w:pPr>
              <w:pStyle w:val="30"/>
              <w:spacing w:after="0" w:line="240" w:lineRule="auto"/>
              <w:ind w:left="0"/>
              <w:rPr>
                <w:rFonts w:asciiTheme="majorBidi" w:hAnsiTheme="majorBidi" w:cstheme="majorBidi"/>
                <w:sz w:val="24"/>
                <w:szCs w:val="24"/>
              </w:rPr>
            </w:pPr>
          </w:p>
        </w:tc>
      </w:tr>
      <w:tr w14:paraId="1E3C0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3" w:hRule="atLeast"/>
        </w:trPr>
        <w:tc>
          <w:tcPr>
            <w:tcW w:w="845" w:type="dxa"/>
          </w:tcPr>
          <w:p w14:paraId="0CF690BA">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3</w:t>
            </w:r>
          </w:p>
        </w:tc>
        <w:tc>
          <w:tcPr>
            <w:tcW w:w="2689" w:type="dxa"/>
          </w:tcPr>
          <w:p w14:paraId="6A1AF241">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Perceived Benefits</w:t>
            </w:r>
          </w:p>
        </w:tc>
        <w:tc>
          <w:tcPr>
            <w:tcW w:w="3000" w:type="dxa"/>
          </w:tcPr>
          <w:p w14:paraId="26CC9AC8">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Expected Positive Outcomes of cheating</w:t>
            </w:r>
          </w:p>
        </w:tc>
        <w:tc>
          <w:tcPr>
            <w:tcW w:w="2491" w:type="dxa"/>
          </w:tcPr>
          <w:p w14:paraId="125AA51A">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10-14</w:t>
            </w:r>
          </w:p>
          <w:p w14:paraId="3A7CA3FF">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6-7</w:t>
            </w:r>
          </w:p>
          <w:p w14:paraId="5AAC4766">
            <w:pPr>
              <w:pStyle w:val="30"/>
              <w:spacing w:after="0" w:line="240" w:lineRule="auto"/>
              <w:ind w:left="0"/>
              <w:rPr>
                <w:rFonts w:asciiTheme="majorBidi" w:hAnsiTheme="majorBidi" w:cstheme="majorBidi"/>
                <w:sz w:val="24"/>
                <w:szCs w:val="24"/>
              </w:rPr>
            </w:pPr>
          </w:p>
        </w:tc>
      </w:tr>
      <w:tr w14:paraId="5E609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7" w:hRule="atLeast"/>
        </w:trPr>
        <w:tc>
          <w:tcPr>
            <w:tcW w:w="845" w:type="dxa"/>
          </w:tcPr>
          <w:p w14:paraId="7F9D53C5">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4</w:t>
            </w:r>
          </w:p>
        </w:tc>
        <w:tc>
          <w:tcPr>
            <w:tcW w:w="2689" w:type="dxa"/>
          </w:tcPr>
          <w:p w14:paraId="51A3A0C8">
            <w:pPr>
              <w:pStyle w:val="30"/>
              <w:spacing w:after="0" w:line="240" w:lineRule="auto"/>
              <w:ind w:left="0"/>
              <w:rPr>
                <w:rFonts w:asciiTheme="majorBidi" w:hAnsiTheme="majorBidi" w:cstheme="majorBidi"/>
                <w:sz w:val="24"/>
                <w:szCs w:val="24"/>
              </w:rPr>
            </w:pPr>
            <w:r>
              <w:rPr>
                <w:rStyle w:val="19"/>
                <w:rFonts w:asciiTheme="majorBidi" w:hAnsiTheme="majorBidi" w:cstheme="majorBidi"/>
                <w:b w:val="0"/>
                <w:bCs w:val="0"/>
                <w:sz w:val="24"/>
                <w:szCs w:val="24"/>
              </w:rPr>
              <w:t>Teachers Approaches</w:t>
            </w:r>
          </w:p>
        </w:tc>
        <w:tc>
          <w:tcPr>
            <w:tcW w:w="3000" w:type="dxa"/>
          </w:tcPr>
          <w:p w14:paraId="0D5BE802">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The methods used to teach and assess students</w:t>
            </w:r>
          </w:p>
        </w:tc>
        <w:tc>
          <w:tcPr>
            <w:tcW w:w="2491" w:type="dxa"/>
          </w:tcPr>
          <w:p w14:paraId="19E055EB">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15-19</w:t>
            </w:r>
          </w:p>
          <w:p w14:paraId="4E4CCCE5">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8-9</w:t>
            </w:r>
          </w:p>
          <w:p w14:paraId="735D53B1">
            <w:pPr>
              <w:pStyle w:val="30"/>
              <w:spacing w:after="0" w:line="240" w:lineRule="auto"/>
              <w:ind w:left="0"/>
              <w:rPr>
                <w:rFonts w:asciiTheme="majorBidi" w:hAnsiTheme="majorBidi" w:cstheme="majorBidi"/>
                <w:sz w:val="24"/>
                <w:szCs w:val="24"/>
              </w:rPr>
            </w:pPr>
          </w:p>
        </w:tc>
      </w:tr>
      <w:tr w14:paraId="69D3A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6" w:hRule="atLeast"/>
        </w:trPr>
        <w:tc>
          <w:tcPr>
            <w:tcW w:w="845" w:type="dxa"/>
          </w:tcPr>
          <w:p w14:paraId="3AF621C1">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5</w:t>
            </w:r>
          </w:p>
        </w:tc>
        <w:tc>
          <w:tcPr>
            <w:tcW w:w="2689" w:type="dxa"/>
          </w:tcPr>
          <w:p w14:paraId="0F79B0E6">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Syllabus Coverage</w:t>
            </w:r>
          </w:p>
        </w:tc>
        <w:tc>
          <w:tcPr>
            <w:tcW w:w="3000" w:type="dxa"/>
          </w:tcPr>
          <w:p w14:paraId="4A841B7B">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Amount of content covered within a limited timeframe</w:t>
            </w:r>
          </w:p>
        </w:tc>
        <w:tc>
          <w:tcPr>
            <w:tcW w:w="2491" w:type="dxa"/>
          </w:tcPr>
          <w:p w14:paraId="491F12CD">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20-23</w:t>
            </w:r>
          </w:p>
          <w:p w14:paraId="48212980">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10-11</w:t>
            </w:r>
          </w:p>
          <w:p w14:paraId="3B41E3F9">
            <w:pPr>
              <w:pStyle w:val="30"/>
              <w:spacing w:after="0" w:line="240" w:lineRule="auto"/>
              <w:ind w:left="0"/>
              <w:rPr>
                <w:rFonts w:asciiTheme="majorBidi" w:hAnsiTheme="majorBidi" w:cstheme="majorBidi"/>
                <w:sz w:val="24"/>
                <w:szCs w:val="24"/>
              </w:rPr>
            </w:pPr>
          </w:p>
        </w:tc>
      </w:tr>
      <w:tr w14:paraId="00461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845" w:type="dxa"/>
          </w:tcPr>
          <w:p w14:paraId="77586CD9">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6</w:t>
            </w:r>
          </w:p>
        </w:tc>
        <w:tc>
          <w:tcPr>
            <w:tcW w:w="2689" w:type="dxa"/>
          </w:tcPr>
          <w:p w14:paraId="1654ACF5">
            <w:pPr>
              <w:spacing w:after="0" w:line="240" w:lineRule="auto"/>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Social media</w:t>
            </w:r>
          </w:p>
        </w:tc>
        <w:tc>
          <w:tcPr>
            <w:tcW w:w="3000" w:type="dxa"/>
          </w:tcPr>
          <w:p w14:paraId="497BEAAD">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Use of Technology and Networks</w:t>
            </w:r>
          </w:p>
        </w:tc>
        <w:tc>
          <w:tcPr>
            <w:tcW w:w="2491" w:type="dxa"/>
          </w:tcPr>
          <w:p w14:paraId="31E6C71D">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24-28</w:t>
            </w:r>
          </w:p>
          <w:p w14:paraId="7D717C52">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12-13</w:t>
            </w:r>
          </w:p>
          <w:p w14:paraId="05BB5F5C">
            <w:pPr>
              <w:pStyle w:val="30"/>
              <w:spacing w:after="0" w:line="240" w:lineRule="auto"/>
              <w:ind w:left="0"/>
              <w:rPr>
                <w:rFonts w:asciiTheme="majorBidi" w:hAnsiTheme="majorBidi" w:cstheme="majorBidi"/>
                <w:sz w:val="24"/>
                <w:szCs w:val="24"/>
              </w:rPr>
            </w:pPr>
          </w:p>
        </w:tc>
      </w:tr>
      <w:tr w14:paraId="0CFC4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845" w:type="dxa"/>
            <w:tcBorders>
              <w:bottom w:val="single" w:color="auto" w:sz="4" w:space="0"/>
            </w:tcBorders>
          </w:tcPr>
          <w:p w14:paraId="1B4B4BA4">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7</w:t>
            </w:r>
          </w:p>
        </w:tc>
        <w:tc>
          <w:tcPr>
            <w:tcW w:w="2689" w:type="dxa"/>
            <w:tcBorders>
              <w:bottom w:val="single" w:color="auto" w:sz="4" w:space="0"/>
            </w:tcBorders>
          </w:tcPr>
          <w:p w14:paraId="32A182E9">
            <w:pPr>
              <w:spacing w:after="200" w:line="240" w:lineRule="auto"/>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KCSE Examinations Integrity</w:t>
            </w:r>
          </w:p>
        </w:tc>
        <w:tc>
          <w:tcPr>
            <w:tcW w:w="3000" w:type="dxa"/>
            <w:tcBorders>
              <w:bottom w:val="single" w:color="auto" w:sz="4" w:space="0"/>
            </w:tcBorders>
          </w:tcPr>
          <w:p w14:paraId="7927EC93">
            <w:pPr>
              <w:spacing w:after="200" w:line="240" w:lineRule="auto"/>
              <w:rPr>
                <w:rFonts w:asciiTheme="majorBidi" w:hAnsiTheme="majorBidi" w:cstheme="majorBidi"/>
                <w:b/>
                <w:bCs/>
                <w:sz w:val="24"/>
                <w:szCs w:val="24"/>
              </w:rPr>
            </w:pPr>
            <w:r>
              <w:rPr>
                <w:rStyle w:val="19"/>
                <w:rFonts w:asciiTheme="majorBidi" w:hAnsiTheme="majorBidi" w:cstheme="majorBidi"/>
                <w:b w:val="0"/>
                <w:bCs w:val="0"/>
                <w:sz w:val="24"/>
                <w:szCs w:val="24"/>
              </w:rPr>
              <w:t>Level of KCSE Examinations Integrity</w:t>
            </w:r>
          </w:p>
        </w:tc>
        <w:tc>
          <w:tcPr>
            <w:tcW w:w="2491" w:type="dxa"/>
            <w:tcBorders>
              <w:bottom w:val="single" w:color="auto" w:sz="4" w:space="0"/>
            </w:tcBorders>
          </w:tcPr>
          <w:p w14:paraId="0BABABA2">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29-36</w:t>
            </w:r>
          </w:p>
          <w:p w14:paraId="53E40C70">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14-15</w:t>
            </w:r>
          </w:p>
          <w:p w14:paraId="6EBE136E">
            <w:pPr>
              <w:pStyle w:val="30"/>
              <w:spacing w:after="0" w:line="240" w:lineRule="auto"/>
              <w:ind w:left="0"/>
              <w:rPr>
                <w:rFonts w:asciiTheme="majorBidi" w:hAnsiTheme="majorBidi" w:cstheme="majorBidi"/>
                <w:sz w:val="24"/>
                <w:szCs w:val="24"/>
              </w:rPr>
            </w:pPr>
          </w:p>
        </w:tc>
      </w:tr>
    </w:tbl>
    <w:p w14:paraId="61AB32E4">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6617771">
      <w:pPr>
        <w:pStyle w:val="2"/>
        <w:numPr>
          <w:ilvl w:val="0"/>
          <w:numId w:val="17"/>
        </w:numPr>
        <w:ind w:left="630" w:hanging="630"/>
        <w:jc w:val="both"/>
        <w:rPr>
          <w:rFonts w:asciiTheme="majorBidi" w:hAnsiTheme="majorBidi"/>
          <w:color w:val="auto"/>
          <w:sz w:val="24"/>
          <w:szCs w:val="24"/>
        </w:rPr>
      </w:pPr>
      <w:bookmarkStart w:id="80" w:name="_Toc194822628"/>
      <w:r>
        <w:rPr>
          <w:rFonts w:eastAsia="Times New Roman" w:asciiTheme="majorBidi" w:hAnsiTheme="majorBidi"/>
          <w:color w:val="auto"/>
          <w:sz w:val="24"/>
          <w:szCs w:val="24"/>
        </w:rPr>
        <w:t>Data Analysis Method</w:t>
      </w:r>
      <w:bookmarkEnd w:id="80"/>
      <w:r>
        <w:rPr>
          <w:rFonts w:eastAsia="Times New Roman" w:asciiTheme="majorBidi" w:hAnsiTheme="majorBidi"/>
          <w:color w:val="auto"/>
          <w:sz w:val="24"/>
          <w:szCs w:val="24"/>
        </w:rPr>
        <w:t xml:space="preserve"> </w:t>
      </w:r>
    </w:p>
    <w:p w14:paraId="0665BA4C">
      <w:pPr>
        <w:pStyle w:val="9"/>
        <w:spacing w:before="240" w:line="480" w:lineRule="auto"/>
        <w:jc w:val="both"/>
        <w:rPr>
          <w:rFonts w:asciiTheme="majorBidi" w:hAnsiTheme="majorBidi" w:cstheme="majorBidi"/>
        </w:rPr>
      </w:pPr>
      <w:r>
        <w:rPr>
          <w:rFonts w:asciiTheme="majorBidi" w:hAnsiTheme="majorBidi" w:cstheme="majorBidi"/>
        </w:rPr>
        <w:t>Gall, et al (2003) established that data analysis is an attempt by a researcher to summarize data collected for a study in a dependable and accurate manner; usually involves coding and finding patterns or themes. The major objective of data analysis is to compare data collected and derive similarities, differences and meanings in order to arrive and draw conclusions and generalizations. The data analysis process in this study was guided by the mixed-methods research approach, which incorporates both quantitative and qualitative techniques to ensure a comprehensive understanding of the determinants of academic integrity and examination malpractices. The analysis methods were structured into two broad categories: quantitative data analysis for numerical data collected through structured questionnaires and qualitative data analysis for insights gathered from interviews with school principals.</w:t>
      </w:r>
    </w:p>
    <w:p w14:paraId="07A8B6A7">
      <w:pPr>
        <w:spacing w:line="480" w:lineRule="auto"/>
        <w:jc w:val="both"/>
        <w:rPr>
          <w:rFonts w:asciiTheme="majorBidi" w:hAnsiTheme="majorBidi" w:cstheme="majorBidi"/>
          <w:sz w:val="24"/>
          <w:szCs w:val="24"/>
        </w:rPr>
      </w:pPr>
      <w:r>
        <w:rPr>
          <w:rFonts w:asciiTheme="majorBidi" w:hAnsiTheme="majorBidi" w:cstheme="majorBidi"/>
          <w:sz w:val="24"/>
          <w:szCs w:val="24"/>
        </w:rPr>
        <w:t>Quantitative data was collected from students and teachers through structured questionnaires. This data was analyzed using descriptive statistics to summarize findings and inferential statistics to examine relationships between variables. Descriptive statistical methods were used to organize and summarize the data collected. Measures such as frequencies, percentages, mean, and standard deviation were employed to describe the characteristics of respondents and their perceptions regarding academic integrity and examination malpractices. For instance, the demographic distribution of respondents (e.g., gender, school type, and role in school) was presented in terms of percentages and pie charts to show the proportion of male and female respondents, as well as the representation of different school categories (boys’ schools, girls’ schools, and mixed schools). The study also calculated the mean scores of various responses to assess trends in perceptions about factors influencing academic integrity and cheating.</w:t>
      </w:r>
    </w:p>
    <w:p w14:paraId="6E73CB41">
      <w:pPr>
        <w:spacing w:line="480" w:lineRule="auto"/>
        <w:jc w:val="both"/>
        <w:rPr>
          <w:rFonts w:asciiTheme="majorBidi" w:hAnsiTheme="majorBidi" w:cstheme="majorBidi"/>
          <w:sz w:val="24"/>
          <w:szCs w:val="24"/>
        </w:rPr>
      </w:pPr>
      <w:r>
        <w:rPr>
          <w:rFonts w:asciiTheme="majorBidi" w:hAnsiTheme="majorBidi" w:cstheme="majorBidi"/>
          <w:sz w:val="24"/>
          <w:szCs w:val="24"/>
        </w:rPr>
        <w:t>To examine relationships between different variables and test hypotheses, inferential statistical techniques were used. Pearson Correlation Analysis technique was used to measure the strength and direction of the relationship between independent variables (peer pressure, parental involvement, perceived benefits of cheating, teaching approaches, syllabus coverage, and social media) and the dependent variable (academic integrity and examination malpractices). The study found that all independent variables were significantly correlated with examination malpractices, with social media showing the highest positive correlation (r=0.479, p&lt;0.05). To further explore the influence of different factors on examination malpractices, regression analysis was conducted to determine the predictive power of independent variables. This helped to understand how strongly each factor contributes to academic dishonesty and provided insights into which areas should be prioritized in intervention strategies. By applying these statistical techniques, the study was able to establish meaningful patterns and trends regarding academic dishonesty in secondary schools in Garissa Township Sub-County.</w:t>
      </w:r>
    </w:p>
    <w:p w14:paraId="73DAD5D2">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In addition to numerical data, qualitative data was gathered through face-to-face interviews with school principals. Since qualitative data is often narrative and descriptive, its analysis required an interpretive approach to derive insights into the underlying causes and solutions to examination malpractices. qualitative responses were analyzed verbatim, meaning that direct quotes from school principals were used to highlight key points. For example, a principal might have stated: </w:t>
      </w:r>
      <w:r>
        <w:rPr>
          <w:rFonts w:asciiTheme="majorBidi" w:hAnsiTheme="majorBidi" w:cstheme="majorBidi"/>
          <w:i/>
          <w:iCs/>
          <w:sz w:val="24"/>
          <w:szCs w:val="24"/>
        </w:rPr>
        <w:t xml:space="preserve">"The pressure from parents to achieve high grades forces students to look for shortcuts, including cheating in exams." </w:t>
      </w:r>
      <w:r>
        <w:rPr>
          <w:rFonts w:asciiTheme="majorBidi" w:hAnsiTheme="majorBidi" w:cstheme="majorBidi"/>
          <w:sz w:val="24"/>
          <w:szCs w:val="24"/>
        </w:rPr>
        <w:t>Such direct statements were useful in illustrating the practical realities and challenges faced by schools in maintaining academic integrity. Given that the study adopted a mixed-methods research approach, it was crucial to integrate both quantitative and qualitative findings to enhance the reliability of conclusions. This process, known as triangulation, involved cross-checking statistical data with insights from interviews to identify consistencies or discrepancies. For instance, while the Pearson correlation analysis showed a moderate correlation between peer pressure and examination malpractices (r=0.446, p&lt;.05), interview responses further explained that peer influence often results in group cheating strategies, where students conspire to share answers during exams. This integration of different data sources helped to provide a well-rounded understanding of the issue. By using these rigorous data analysis methods, the study provides valuable insights that can inform policies and interventions aimed at promoting academic integrity and reducing examination malpractices in Garissa Township Sub-County.</w:t>
      </w:r>
    </w:p>
    <w:p w14:paraId="5ECA8DC0">
      <w:pPr>
        <w:pStyle w:val="2"/>
        <w:numPr>
          <w:ilvl w:val="0"/>
          <w:numId w:val="17"/>
        </w:numPr>
        <w:spacing w:line="480" w:lineRule="auto"/>
        <w:ind w:hanging="720"/>
        <w:rPr>
          <w:rFonts w:eastAsia="Times New Roman" w:asciiTheme="majorBidi" w:hAnsiTheme="majorBidi"/>
          <w:color w:val="auto"/>
          <w:sz w:val="24"/>
          <w:szCs w:val="24"/>
        </w:rPr>
      </w:pPr>
      <w:bookmarkStart w:id="81" w:name="_Toc164927736"/>
      <w:bookmarkStart w:id="82" w:name="_Toc194822629"/>
      <w:r>
        <w:rPr>
          <w:rFonts w:eastAsia="Times New Roman" w:asciiTheme="majorBidi" w:hAnsiTheme="majorBidi"/>
          <w:color w:val="auto"/>
          <w:sz w:val="24"/>
          <w:szCs w:val="24"/>
        </w:rPr>
        <w:t>Ethical Considerations</w:t>
      </w:r>
      <w:bookmarkEnd w:id="81"/>
      <w:bookmarkEnd w:id="82"/>
    </w:p>
    <w:p w14:paraId="1BACF716">
      <w:pPr>
        <w:pStyle w:val="9"/>
        <w:spacing w:after="0" w:line="480" w:lineRule="auto"/>
        <w:jc w:val="both"/>
        <w:rPr>
          <w:rFonts w:asciiTheme="majorBidi" w:hAnsiTheme="majorBidi" w:cstheme="majorBidi"/>
        </w:rPr>
      </w:pPr>
      <w:r>
        <w:rPr>
          <w:rFonts w:asciiTheme="majorBidi" w:hAnsiTheme="majorBidi" w:cstheme="majorBidi"/>
        </w:rPr>
        <w:t>Ethical considerations in research are essential and they need to be adhered to at all times. According to Bryman (2004) researchers must be aware of and attend to ethical considerations related to their studies. Zeni (2001) relates ethics to philosophy and connects it with decisions about right and wrong actions. In this study</w:t>
      </w:r>
      <w:r>
        <w:rPr>
          <w:rFonts w:eastAsia="Times New Roman" w:asciiTheme="majorBidi" w:hAnsiTheme="majorBidi" w:cstheme="majorBidi"/>
        </w:rPr>
        <w:t xml:space="preserve"> all research activities adhered to ethical standards and protected the confidentiality and anonymity of participants. </w:t>
      </w:r>
      <w:r>
        <w:rPr>
          <w:rFonts w:asciiTheme="majorBidi" w:hAnsiTheme="majorBidi" w:cstheme="majorBidi"/>
        </w:rPr>
        <w:t xml:space="preserve">Permits from relevant authorities were obtained to allow carry out the research in the targeted area. Informed consent was obtained from Principals and teachers while students’ representatives’ permission was obtained from School administration. They were informed about the importance of the research study and that any information given will be treated with confidentiality and used for the purpose of the research study only, then seek their comment before administering the research instrument. The work of other researchers mentioned was acknowledged and cited accordingly. </w:t>
      </w:r>
    </w:p>
    <w:p w14:paraId="558FD5E4">
      <w:pPr>
        <w:pStyle w:val="9"/>
        <w:spacing w:after="0" w:line="480" w:lineRule="auto"/>
        <w:jc w:val="both"/>
        <w:rPr>
          <w:rFonts w:asciiTheme="majorBidi" w:hAnsiTheme="majorBidi" w:cstheme="majorBidi"/>
        </w:rPr>
      </w:pPr>
    </w:p>
    <w:p w14:paraId="0A0D6FF0">
      <w:pPr>
        <w:pStyle w:val="9"/>
        <w:spacing w:after="0" w:line="480" w:lineRule="auto"/>
        <w:jc w:val="both"/>
        <w:rPr>
          <w:rFonts w:asciiTheme="majorBidi" w:hAnsiTheme="majorBidi" w:cstheme="majorBidi"/>
        </w:rPr>
      </w:pPr>
    </w:p>
    <w:p w14:paraId="408BF113">
      <w:pPr>
        <w:pStyle w:val="9"/>
        <w:spacing w:after="0" w:line="480" w:lineRule="auto"/>
        <w:jc w:val="both"/>
        <w:rPr>
          <w:rFonts w:asciiTheme="majorBidi" w:hAnsiTheme="majorBidi" w:cstheme="majorBidi"/>
        </w:rPr>
      </w:pPr>
    </w:p>
    <w:p w14:paraId="53AC4A28">
      <w:pPr>
        <w:pStyle w:val="9"/>
        <w:spacing w:after="0" w:line="480" w:lineRule="auto"/>
        <w:jc w:val="both"/>
        <w:rPr>
          <w:rFonts w:asciiTheme="majorBidi" w:hAnsiTheme="majorBidi" w:cstheme="majorBidi"/>
        </w:rPr>
      </w:pPr>
    </w:p>
    <w:p w14:paraId="13A5BBB9">
      <w:pPr>
        <w:pStyle w:val="9"/>
        <w:spacing w:after="0" w:line="480" w:lineRule="auto"/>
        <w:jc w:val="both"/>
        <w:rPr>
          <w:rFonts w:asciiTheme="majorBidi" w:hAnsiTheme="majorBidi" w:cstheme="majorBidi"/>
        </w:rPr>
      </w:pPr>
    </w:p>
    <w:p w14:paraId="581F5DDB">
      <w:pPr>
        <w:pStyle w:val="9"/>
        <w:spacing w:after="0" w:line="480" w:lineRule="auto"/>
        <w:jc w:val="both"/>
        <w:rPr>
          <w:rFonts w:asciiTheme="majorBidi" w:hAnsiTheme="majorBidi" w:cstheme="majorBidi"/>
        </w:rPr>
      </w:pPr>
    </w:p>
    <w:p w14:paraId="4660767F">
      <w:pPr>
        <w:pStyle w:val="9"/>
        <w:spacing w:after="0" w:line="480" w:lineRule="auto"/>
        <w:jc w:val="both"/>
        <w:rPr>
          <w:rFonts w:asciiTheme="majorBidi" w:hAnsiTheme="majorBidi" w:cstheme="majorBidi"/>
        </w:rPr>
      </w:pPr>
    </w:p>
    <w:p w14:paraId="7DAEBB1A">
      <w:pPr>
        <w:pStyle w:val="9"/>
        <w:spacing w:after="0" w:line="480" w:lineRule="auto"/>
        <w:jc w:val="both"/>
        <w:rPr>
          <w:rFonts w:asciiTheme="majorBidi" w:hAnsiTheme="majorBidi" w:cstheme="majorBidi"/>
        </w:rPr>
      </w:pPr>
    </w:p>
    <w:p w14:paraId="334CD3E6">
      <w:pPr>
        <w:pStyle w:val="9"/>
        <w:spacing w:after="0" w:line="480" w:lineRule="auto"/>
        <w:jc w:val="both"/>
        <w:rPr>
          <w:rFonts w:asciiTheme="majorBidi" w:hAnsiTheme="majorBidi" w:cstheme="majorBidi"/>
        </w:rPr>
      </w:pPr>
    </w:p>
    <w:p w14:paraId="48485E7F">
      <w:pPr>
        <w:pStyle w:val="9"/>
        <w:spacing w:after="0" w:line="480" w:lineRule="auto"/>
        <w:jc w:val="both"/>
        <w:rPr>
          <w:rFonts w:asciiTheme="majorBidi" w:hAnsiTheme="majorBidi" w:cstheme="majorBidi"/>
        </w:rPr>
      </w:pPr>
    </w:p>
    <w:p w14:paraId="24EE400F">
      <w:pPr>
        <w:pStyle w:val="9"/>
        <w:spacing w:after="0" w:line="480" w:lineRule="auto"/>
        <w:jc w:val="both"/>
        <w:rPr>
          <w:rFonts w:asciiTheme="majorBidi" w:hAnsiTheme="majorBidi" w:cstheme="majorBidi"/>
        </w:rPr>
      </w:pPr>
    </w:p>
    <w:p w14:paraId="515260C9">
      <w:pPr>
        <w:pStyle w:val="9"/>
        <w:spacing w:after="0" w:line="480" w:lineRule="auto"/>
        <w:jc w:val="both"/>
        <w:rPr>
          <w:rFonts w:asciiTheme="majorBidi" w:hAnsiTheme="majorBidi" w:cstheme="majorBidi"/>
        </w:rPr>
      </w:pPr>
    </w:p>
    <w:p w14:paraId="5F23D91B">
      <w:pPr>
        <w:pStyle w:val="9"/>
        <w:spacing w:after="0" w:line="480" w:lineRule="auto"/>
        <w:jc w:val="both"/>
        <w:rPr>
          <w:rFonts w:asciiTheme="majorBidi" w:hAnsiTheme="majorBidi" w:cstheme="majorBidi"/>
        </w:rPr>
      </w:pPr>
    </w:p>
    <w:p w14:paraId="086CACC2">
      <w:pPr>
        <w:pStyle w:val="9"/>
        <w:spacing w:after="0" w:line="480" w:lineRule="auto"/>
        <w:jc w:val="both"/>
        <w:rPr>
          <w:rFonts w:asciiTheme="majorBidi" w:hAnsiTheme="majorBidi" w:cstheme="majorBidi"/>
        </w:rPr>
      </w:pPr>
    </w:p>
    <w:p w14:paraId="2569F759">
      <w:pPr>
        <w:pStyle w:val="9"/>
        <w:spacing w:after="0" w:line="480" w:lineRule="auto"/>
        <w:jc w:val="both"/>
        <w:rPr>
          <w:rFonts w:asciiTheme="majorBidi" w:hAnsiTheme="majorBidi" w:cstheme="majorBidi"/>
        </w:rPr>
      </w:pPr>
    </w:p>
    <w:p w14:paraId="6D42CE2C">
      <w:pPr>
        <w:pStyle w:val="2"/>
        <w:jc w:val="center"/>
        <w:rPr>
          <w:rFonts w:asciiTheme="majorBidi" w:hAnsiTheme="majorBidi"/>
          <w:color w:val="auto"/>
          <w:sz w:val="24"/>
          <w:szCs w:val="24"/>
        </w:rPr>
      </w:pPr>
      <w:bookmarkStart w:id="83" w:name="_Toc194822630"/>
      <w:bookmarkStart w:id="84" w:name="_Toc164927737"/>
      <w:bookmarkStart w:id="85" w:name="_Hlk100772096"/>
      <w:r>
        <w:rPr>
          <w:rFonts w:asciiTheme="majorBidi" w:hAnsiTheme="majorBidi"/>
          <w:color w:val="auto"/>
          <w:sz w:val="24"/>
          <w:szCs w:val="24"/>
        </w:rPr>
        <w:t>CHAPTER FOUR</w:t>
      </w:r>
      <w:bookmarkEnd w:id="83"/>
      <w:bookmarkEnd w:id="84"/>
    </w:p>
    <w:p w14:paraId="36EC5AB5">
      <w:pPr>
        <w:pStyle w:val="2"/>
        <w:jc w:val="center"/>
        <w:rPr>
          <w:rFonts w:asciiTheme="majorBidi" w:hAnsiTheme="majorBidi"/>
          <w:color w:val="auto"/>
          <w:sz w:val="24"/>
          <w:szCs w:val="24"/>
        </w:rPr>
      </w:pPr>
      <w:bookmarkStart w:id="86" w:name="_Toc164927738"/>
      <w:bookmarkStart w:id="87" w:name="_Toc194822631"/>
      <w:r>
        <w:rPr>
          <w:rFonts w:asciiTheme="majorBidi" w:hAnsiTheme="majorBidi"/>
          <w:color w:val="auto"/>
          <w:sz w:val="24"/>
          <w:szCs w:val="24"/>
        </w:rPr>
        <w:t>DATA ANALYSIS RESULTS AND DISCUSSION</w:t>
      </w:r>
      <w:bookmarkEnd w:id="86"/>
      <w:bookmarkEnd w:id="87"/>
    </w:p>
    <w:p w14:paraId="24609AD0">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88" w:name="_Toc164924223"/>
      <w:bookmarkEnd w:id="88"/>
      <w:bookmarkStart w:id="89" w:name="_Toc193106964"/>
      <w:bookmarkEnd w:id="89"/>
      <w:bookmarkStart w:id="90" w:name="_Toc194759701"/>
      <w:bookmarkEnd w:id="90"/>
      <w:bookmarkStart w:id="91" w:name="_Toc194769912"/>
      <w:bookmarkEnd w:id="91"/>
      <w:bookmarkStart w:id="92" w:name="_Toc165286253"/>
      <w:bookmarkEnd w:id="92"/>
      <w:bookmarkStart w:id="93" w:name="_Toc194763477"/>
      <w:bookmarkEnd w:id="93"/>
      <w:bookmarkStart w:id="94" w:name="_Toc165323343"/>
      <w:bookmarkEnd w:id="94"/>
      <w:bookmarkStart w:id="95" w:name="_Toc194759259"/>
      <w:bookmarkEnd w:id="95"/>
      <w:bookmarkStart w:id="96" w:name="_Toc194759970"/>
      <w:bookmarkEnd w:id="96"/>
      <w:bookmarkStart w:id="97" w:name="_Toc164927739"/>
      <w:bookmarkEnd w:id="97"/>
      <w:bookmarkStart w:id="98" w:name="_Toc194759808"/>
      <w:bookmarkEnd w:id="98"/>
      <w:bookmarkStart w:id="99" w:name="_Toc194759358"/>
      <w:bookmarkEnd w:id="99"/>
      <w:bookmarkStart w:id="100" w:name="_Toc194760067"/>
      <w:bookmarkEnd w:id="100"/>
      <w:bookmarkStart w:id="101" w:name="_Toc194822632"/>
      <w:bookmarkEnd w:id="101"/>
      <w:bookmarkStart w:id="102" w:name="_Toc164924385"/>
      <w:bookmarkEnd w:id="102"/>
      <w:bookmarkStart w:id="103" w:name="_Toc165353923"/>
      <w:bookmarkEnd w:id="103"/>
      <w:bookmarkStart w:id="104" w:name="_Toc165323473"/>
      <w:bookmarkEnd w:id="104"/>
      <w:bookmarkStart w:id="105" w:name="_Toc165286382"/>
      <w:bookmarkEnd w:id="105"/>
      <w:bookmarkStart w:id="106" w:name="_Toc194763036"/>
      <w:bookmarkEnd w:id="106"/>
      <w:bookmarkStart w:id="107" w:name="_Toc194822491"/>
      <w:bookmarkEnd w:id="107"/>
    </w:p>
    <w:p w14:paraId="291FD4DC">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108" w:name="_Toc164924386"/>
      <w:bookmarkEnd w:id="108"/>
      <w:bookmarkStart w:id="109" w:name="_Toc164927740"/>
      <w:bookmarkEnd w:id="109"/>
      <w:bookmarkStart w:id="110" w:name="_Toc165286254"/>
      <w:bookmarkEnd w:id="110"/>
      <w:bookmarkStart w:id="111" w:name="_Toc164924224"/>
      <w:bookmarkEnd w:id="111"/>
      <w:bookmarkStart w:id="112" w:name="_Toc165323344"/>
      <w:bookmarkEnd w:id="112"/>
      <w:bookmarkStart w:id="113" w:name="_Toc165286383"/>
      <w:bookmarkEnd w:id="113"/>
      <w:bookmarkStart w:id="114" w:name="_Toc165323474"/>
      <w:bookmarkEnd w:id="114"/>
      <w:bookmarkStart w:id="115" w:name="_Toc165353924"/>
      <w:bookmarkEnd w:id="115"/>
      <w:bookmarkStart w:id="116" w:name="_Toc193106965"/>
      <w:bookmarkEnd w:id="116"/>
      <w:bookmarkStart w:id="117" w:name="_Toc194760068"/>
      <w:bookmarkEnd w:id="117"/>
      <w:bookmarkStart w:id="118" w:name="_Toc194763037"/>
      <w:bookmarkEnd w:id="118"/>
      <w:bookmarkStart w:id="119" w:name="_Toc194822633"/>
      <w:bookmarkEnd w:id="119"/>
      <w:bookmarkStart w:id="120" w:name="_Toc194769913"/>
      <w:bookmarkEnd w:id="120"/>
      <w:bookmarkStart w:id="121" w:name="_Toc194822492"/>
      <w:bookmarkEnd w:id="121"/>
      <w:bookmarkStart w:id="122" w:name="_Toc194759260"/>
      <w:bookmarkEnd w:id="122"/>
      <w:bookmarkStart w:id="123" w:name="_Toc194759359"/>
      <w:bookmarkEnd w:id="123"/>
      <w:bookmarkStart w:id="124" w:name="_Toc194759809"/>
      <w:bookmarkEnd w:id="124"/>
      <w:bookmarkStart w:id="125" w:name="_Toc194763478"/>
      <w:bookmarkEnd w:id="125"/>
      <w:bookmarkStart w:id="126" w:name="_Toc194759702"/>
      <w:bookmarkEnd w:id="126"/>
      <w:bookmarkStart w:id="127" w:name="_Toc194759971"/>
      <w:bookmarkEnd w:id="127"/>
    </w:p>
    <w:p w14:paraId="4535D7B6">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128" w:name="_Toc164924225"/>
      <w:bookmarkEnd w:id="128"/>
      <w:bookmarkStart w:id="129" w:name="_Toc165286255"/>
      <w:bookmarkEnd w:id="129"/>
      <w:bookmarkStart w:id="130" w:name="_Toc164927741"/>
      <w:bookmarkEnd w:id="130"/>
      <w:bookmarkStart w:id="131" w:name="_Toc165323345"/>
      <w:bookmarkEnd w:id="131"/>
      <w:bookmarkStart w:id="132" w:name="_Toc165353925"/>
      <w:bookmarkEnd w:id="132"/>
      <w:bookmarkStart w:id="133" w:name="_Toc164924387"/>
      <w:bookmarkEnd w:id="133"/>
      <w:bookmarkStart w:id="134" w:name="_Toc165286384"/>
      <w:bookmarkEnd w:id="134"/>
      <w:bookmarkStart w:id="135" w:name="_Toc165323475"/>
      <w:bookmarkEnd w:id="135"/>
      <w:bookmarkStart w:id="136" w:name="_Toc194759810"/>
      <w:bookmarkEnd w:id="136"/>
      <w:bookmarkStart w:id="137" w:name="_Toc194760069"/>
      <w:bookmarkEnd w:id="137"/>
      <w:bookmarkStart w:id="138" w:name="_Toc194759360"/>
      <w:bookmarkEnd w:id="138"/>
      <w:bookmarkStart w:id="139" w:name="_Toc194759261"/>
      <w:bookmarkEnd w:id="139"/>
      <w:bookmarkStart w:id="140" w:name="_Toc194822493"/>
      <w:bookmarkEnd w:id="140"/>
      <w:bookmarkStart w:id="141" w:name="_Toc194822634"/>
      <w:bookmarkEnd w:id="141"/>
      <w:bookmarkStart w:id="142" w:name="_Toc194759703"/>
      <w:bookmarkEnd w:id="142"/>
      <w:bookmarkStart w:id="143" w:name="_Toc194763038"/>
      <w:bookmarkEnd w:id="143"/>
      <w:bookmarkStart w:id="144" w:name="_Toc194759972"/>
      <w:bookmarkEnd w:id="144"/>
      <w:bookmarkStart w:id="145" w:name="_Toc194763479"/>
      <w:bookmarkEnd w:id="145"/>
      <w:bookmarkStart w:id="146" w:name="_Toc194769914"/>
      <w:bookmarkEnd w:id="146"/>
      <w:bookmarkStart w:id="147" w:name="_Toc193106966"/>
      <w:bookmarkEnd w:id="147"/>
    </w:p>
    <w:p w14:paraId="3DA12826">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148" w:name="_Toc165353926"/>
      <w:bookmarkEnd w:id="148"/>
      <w:bookmarkStart w:id="149" w:name="_Toc165286256"/>
      <w:bookmarkEnd w:id="149"/>
      <w:bookmarkStart w:id="150" w:name="_Toc164924388"/>
      <w:bookmarkEnd w:id="150"/>
      <w:bookmarkStart w:id="151" w:name="_Toc165286385"/>
      <w:bookmarkEnd w:id="151"/>
      <w:bookmarkStart w:id="152" w:name="_Toc165323476"/>
      <w:bookmarkEnd w:id="152"/>
      <w:bookmarkStart w:id="153" w:name="_Toc164924226"/>
      <w:bookmarkEnd w:id="153"/>
      <w:bookmarkStart w:id="154" w:name="_Toc193106967"/>
      <w:bookmarkEnd w:id="154"/>
      <w:bookmarkStart w:id="155" w:name="_Toc194759262"/>
      <w:bookmarkEnd w:id="155"/>
      <w:bookmarkStart w:id="156" w:name="_Toc164927742"/>
      <w:bookmarkEnd w:id="156"/>
      <w:bookmarkStart w:id="157" w:name="_Toc165323346"/>
      <w:bookmarkEnd w:id="157"/>
      <w:bookmarkStart w:id="158" w:name="_Toc194759361"/>
      <w:bookmarkEnd w:id="158"/>
      <w:bookmarkStart w:id="159" w:name="_Toc194760070"/>
      <w:bookmarkEnd w:id="159"/>
      <w:bookmarkStart w:id="160" w:name="_Toc194759973"/>
      <w:bookmarkEnd w:id="160"/>
      <w:bookmarkStart w:id="161" w:name="_Toc194822635"/>
      <w:bookmarkEnd w:id="161"/>
      <w:bookmarkStart w:id="162" w:name="_Toc194759811"/>
      <w:bookmarkEnd w:id="162"/>
      <w:bookmarkStart w:id="163" w:name="_Toc194822494"/>
      <w:bookmarkEnd w:id="163"/>
      <w:bookmarkStart w:id="164" w:name="_Toc194763039"/>
      <w:bookmarkEnd w:id="164"/>
      <w:bookmarkStart w:id="165" w:name="_Toc194759704"/>
      <w:bookmarkEnd w:id="165"/>
      <w:bookmarkStart w:id="166" w:name="_Toc194769915"/>
      <w:bookmarkEnd w:id="166"/>
      <w:bookmarkStart w:id="167" w:name="_Toc194763480"/>
      <w:bookmarkEnd w:id="167"/>
    </w:p>
    <w:p w14:paraId="6A8E1B22">
      <w:pPr>
        <w:pStyle w:val="2"/>
        <w:numPr>
          <w:ilvl w:val="1"/>
          <w:numId w:val="18"/>
        </w:numPr>
        <w:spacing w:after="240"/>
        <w:rPr>
          <w:rFonts w:asciiTheme="majorBidi" w:hAnsiTheme="majorBidi"/>
          <w:color w:val="auto"/>
          <w:sz w:val="24"/>
          <w:szCs w:val="24"/>
        </w:rPr>
      </w:pPr>
      <w:bookmarkStart w:id="168" w:name="_Toc164927743"/>
      <w:bookmarkStart w:id="169" w:name="_Toc194822636"/>
      <w:r>
        <w:rPr>
          <w:rFonts w:asciiTheme="majorBidi" w:hAnsiTheme="majorBidi"/>
          <w:color w:val="auto"/>
          <w:sz w:val="24"/>
          <w:szCs w:val="24"/>
        </w:rPr>
        <w:t>Overview</w:t>
      </w:r>
      <w:bookmarkEnd w:id="168"/>
      <w:bookmarkEnd w:id="169"/>
    </w:p>
    <w:p w14:paraId="68B3E5AE">
      <w:pPr>
        <w:pStyle w:val="17"/>
        <w:spacing w:before="0" w:beforeAutospacing="0" w:after="240" w:afterAutospacing="0" w:line="480" w:lineRule="auto"/>
        <w:jc w:val="both"/>
        <w:rPr>
          <w:rFonts w:asciiTheme="majorBidi" w:hAnsiTheme="majorBidi" w:cstheme="majorBidi"/>
        </w:rPr>
      </w:pPr>
      <w:r>
        <w:rPr>
          <w:rFonts w:asciiTheme="majorBidi" w:hAnsiTheme="majorBidi" w:cstheme="majorBidi"/>
        </w:rPr>
        <w:t>This chapter presents the study results of the research and it comprises of demographic information, descriptive and inferential analysis, interpretation and discussion of the research findings. Quantitative data analysis was conducted using Pearson (r) with the help of SPSS. The general objective of this study was to investigate the determinants of academic integrity and examination malpractices in Garissa Township Sub County. The study tested the relationship between peer pressure, parents’ involvement, perceived benefits, teaching approach, social media and technology use and the level of academic integrity and examination malpractices of KCSE in Garissa township sub county, Kenya, and as well the moderating effect of syllabus coverage on this relationship. Data that was used to interpret the findings was obtained using a semi structured questionnaire whereby the respondents were requested to respond to statements on each study variable on a 5-point Likert scale (l = Strongly Disagree (SD) 2 = Disagree (D); 3 = Neither Disagree nor Agree (N) 4 = Agree (A) and 5 = Strongly Agree (SA). Further interviews were conducted on school principals to gather qualitative data which verbatim analysis was conducted on. A summary of the finding was obtained using measures of central tendency and inferential statistics. Using p-values of the correlation coefficient values at 95% confidence level, decision on hypothesis testing was made.</w:t>
      </w:r>
    </w:p>
    <w:p w14:paraId="587F277D">
      <w:pPr>
        <w:pStyle w:val="2"/>
        <w:numPr>
          <w:ilvl w:val="1"/>
          <w:numId w:val="18"/>
        </w:numPr>
        <w:spacing w:after="240"/>
        <w:rPr>
          <w:rFonts w:asciiTheme="majorBidi" w:hAnsiTheme="majorBidi"/>
          <w:color w:val="auto"/>
          <w:sz w:val="24"/>
          <w:szCs w:val="24"/>
        </w:rPr>
      </w:pPr>
      <w:bookmarkStart w:id="170" w:name="_Toc194822637"/>
      <w:r>
        <w:rPr>
          <w:rFonts w:asciiTheme="majorBidi" w:hAnsiTheme="majorBidi"/>
          <w:color w:val="auto"/>
          <w:sz w:val="24"/>
          <w:szCs w:val="24"/>
        </w:rPr>
        <w:t>Instrument Response Rate</w:t>
      </w:r>
      <w:bookmarkEnd w:id="170"/>
    </w:p>
    <w:p w14:paraId="1E2DDC4F">
      <w:pPr>
        <w:spacing w:after="0" w:line="480" w:lineRule="auto"/>
        <w:jc w:val="both"/>
        <w:rPr>
          <w:rFonts w:asciiTheme="majorBidi" w:hAnsiTheme="majorBidi" w:cstheme="majorBidi"/>
          <w:sz w:val="24"/>
          <w:szCs w:val="24"/>
        </w:rPr>
      </w:pPr>
      <w:r>
        <w:rPr>
          <w:rFonts w:asciiTheme="majorBidi" w:hAnsiTheme="majorBidi" w:cstheme="majorBidi"/>
          <w:sz w:val="24"/>
          <w:szCs w:val="24"/>
        </w:rPr>
        <w:t>The study had a sample of 77 students and 55 teachers from 11 schools for the questionnaire and 11 principals for the key informant interviews. 96% and 98% of the students and teachers responded to the survey respectively while all the principals from the sampled schools responded to the interviews as shown in Table 3.</w:t>
      </w:r>
    </w:p>
    <w:p w14:paraId="60697367">
      <w:pPr>
        <w:pStyle w:val="2"/>
        <w:spacing w:line="480" w:lineRule="auto"/>
        <w:rPr>
          <w:rFonts w:asciiTheme="majorBidi" w:hAnsiTheme="majorBidi"/>
          <w:b w:val="0"/>
          <w:bCs w:val="0"/>
          <w:color w:val="auto"/>
          <w:sz w:val="24"/>
          <w:szCs w:val="24"/>
        </w:rPr>
      </w:pPr>
      <w:bookmarkStart w:id="171" w:name="_Toc194769918"/>
      <w:bookmarkStart w:id="172" w:name="_Toc194822638"/>
      <w:r>
        <w:rPr>
          <w:rFonts w:asciiTheme="majorBidi" w:hAnsiTheme="majorBidi"/>
          <w:b w:val="0"/>
          <w:bCs w:val="0"/>
          <w:color w:val="auto"/>
          <w:sz w:val="24"/>
          <w:szCs w:val="24"/>
        </w:rPr>
        <w:t>Table 3:</w:t>
      </w:r>
      <w:bookmarkEnd w:id="171"/>
      <w:bookmarkEnd w:id="172"/>
    </w:p>
    <w:p w14:paraId="487D12CE">
      <w:pPr>
        <w:pStyle w:val="2"/>
        <w:spacing w:before="0" w:after="240" w:line="480" w:lineRule="auto"/>
        <w:rPr>
          <w:rFonts w:asciiTheme="majorBidi" w:hAnsiTheme="majorBidi"/>
          <w:b w:val="0"/>
          <w:bCs w:val="0"/>
          <w:i/>
          <w:iCs/>
          <w:color w:val="auto"/>
          <w:sz w:val="24"/>
          <w:szCs w:val="24"/>
        </w:rPr>
      </w:pPr>
      <w:bookmarkStart w:id="173" w:name="_Toc194769919"/>
      <w:bookmarkStart w:id="174" w:name="_Toc194822639"/>
      <w:r>
        <w:rPr>
          <w:rFonts w:asciiTheme="majorBidi" w:hAnsiTheme="majorBidi"/>
          <w:b w:val="0"/>
          <w:bCs w:val="0"/>
          <w:i/>
          <w:iCs/>
          <w:color w:val="auto"/>
          <w:sz w:val="24"/>
          <w:szCs w:val="24"/>
        </w:rPr>
        <w:t>Response rate of the survey</w:t>
      </w:r>
      <w:bookmarkEnd w:id="173"/>
      <w:bookmarkEnd w:id="174"/>
    </w:p>
    <w:tbl>
      <w:tblPr>
        <w:tblStyle w:val="20"/>
        <w:tblW w:w="894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5"/>
        <w:gridCol w:w="2244"/>
        <w:gridCol w:w="2290"/>
        <w:gridCol w:w="1973"/>
      </w:tblGrid>
      <w:tr w14:paraId="3F3E99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2435" w:type="dxa"/>
            <w:tcBorders>
              <w:top w:val="single" w:color="auto" w:sz="4" w:space="0"/>
              <w:bottom w:val="single" w:color="auto" w:sz="4" w:space="0"/>
            </w:tcBorders>
          </w:tcPr>
          <w:p w14:paraId="01474141">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Respondents </w:t>
            </w:r>
          </w:p>
        </w:tc>
        <w:tc>
          <w:tcPr>
            <w:tcW w:w="2244" w:type="dxa"/>
            <w:tcBorders>
              <w:top w:val="single" w:color="auto" w:sz="4" w:space="0"/>
              <w:bottom w:val="single" w:color="auto" w:sz="4" w:space="0"/>
            </w:tcBorders>
          </w:tcPr>
          <w:p w14:paraId="259F1AFB">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Sample </w:t>
            </w:r>
          </w:p>
        </w:tc>
        <w:tc>
          <w:tcPr>
            <w:tcW w:w="2290" w:type="dxa"/>
            <w:tcBorders>
              <w:top w:val="single" w:color="auto" w:sz="4" w:space="0"/>
              <w:bottom w:val="single" w:color="auto" w:sz="4" w:space="0"/>
            </w:tcBorders>
          </w:tcPr>
          <w:p w14:paraId="63DAC3C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Response</w:t>
            </w:r>
          </w:p>
        </w:tc>
        <w:tc>
          <w:tcPr>
            <w:tcW w:w="1973" w:type="dxa"/>
            <w:tcBorders>
              <w:top w:val="single" w:color="auto" w:sz="4" w:space="0"/>
              <w:bottom w:val="single" w:color="auto" w:sz="4" w:space="0"/>
            </w:tcBorders>
          </w:tcPr>
          <w:p w14:paraId="5A95C8A0">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Response rate</w:t>
            </w:r>
          </w:p>
        </w:tc>
      </w:tr>
      <w:tr w14:paraId="4983D2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trPr>
        <w:tc>
          <w:tcPr>
            <w:tcW w:w="2435" w:type="dxa"/>
            <w:tcBorders>
              <w:top w:val="single" w:color="auto" w:sz="4" w:space="0"/>
            </w:tcBorders>
          </w:tcPr>
          <w:p w14:paraId="5F84B218">
            <w:pPr>
              <w:spacing w:after="0" w:line="360" w:lineRule="auto"/>
              <w:jc w:val="both"/>
              <w:rPr>
                <w:rFonts w:asciiTheme="majorBidi" w:hAnsiTheme="majorBidi" w:cstheme="majorBidi"/>
                <w:sz w:val="24"/>
                <w:szCs w:val="24"/>
              </w:rPr>
            </w:pPr>
            <w:r>
              <w:rPr>
                <w:rFonts w:asciiTheme="majorBidi" w:hAnsiTheme="majorBidi" w:cstheme="majorBidi"/>
                <w:sz w:val="24"/>
                <w:szCs w:val="24"/>
              </w:rPr>
              <w:t>Students</w:t>
            </w:r>
          </w:p>
        </w:tc>
        <w:tc>
          <w:tcPr>
            <w:tcW w:w="2244" w:type="dxa"/>
            <w:tcBorders>
              <w:top w:val="single" w:color="auto" w:sz="4" w:space="0"/>
            </w:tcBorders>
          </w:tcPr>
          <w:p w14:paraId="00B12448">
            <w:pPr>
              <w:spacing w:after="0" w:line="360" w:lineRule="auto"/>
              <w:jc w:val="both"/>
              <w:rPr>
                <w:rFonts w:asciiTheme="majorBidi" w:hAnsiTheme="majorBidi" w:cstheme="majorBidi"/>
                <w:sz w:val="24"/>
                <w:szCs w:val="24"/>
              </w:rPr>
            </w:pPr>
            <w:r>
              <w:rPr>
                <w:rFonts w:asciiTheme="majorBidi" w:hAnsiTheme="majorBidi" w:cstheme="majorBidi"/>
                <w:sz w:val="24"/>
                <w:szCs w:val="24"/>
              </w:rPr>
              <w:t>77</w:t>
            </w:r>
          </w:p>
        </w:tc>
        <w:tc>
          <w:tcPr>
            <w:tcW w:w="2290" w:type="dxa"/>
            <w:tcBorders>
              <w:top w:val="single" w:color="auto" w:sz="4" w:space="0"/>
            </w:tcBorders>
          </w:tcPr>
          <w:p w14:paraId="26C97E4D">
            <w:pPr>
              <w:spacing w:after="0" w:line="360" w:lineRule="auto"/>
              <w:jc w:val="both"/>
              <w:rPr>
                <w:rFonts w:asciiTheme="majorBidi" w:hAnsiTheme="majorBidi" w:cstheme="majorBidi"/>
                <w:sz w:val="24"/>
                <w:szCs w:val="24"/>
              </w:rPr>
            </w:pPr>
            <w:r>
              <w:rPr>
                <w:rFonts w:asciiTheme="majorBidi" w:hAnsiTheme="majorBidi" w:cstheme="majorBidi"/>
                <w:sz w:val="24"/>
                <w:szCs w:val="24"/>
              </w:rPr>
              <w:t>74</w:t>
            </w:r>
          </w:p>
        </w:tc>
        <w:tc>
          <w:tcPr>
            <w:tcW w:w="1973" w:type="dxa"/>
            <w:tcBorders>
              <w:top w:val="single" w:color="auto" w:sz="4" w:space="0"/>
            </w:tcBorders>
          </w:tcPr>
          <w:p w14:paraId="1AFF26E5">
            <w:pPr>
              <w:spacing w:after="0" w:line="360" w:lineRule="auto"/>
              <w:jc w:val="both"/>
              <w:rPr>
                <w:rFonts w:asciiTheme="majorBidi" w:hAnsiTheme="majorBidi" w:cstheme="majorBidi"/>
                <w:sz w:val="24"/>
                <w:szCs w:val="24"/>
              </w:rPr>
            </w:pPr>
            <w:r>
              <w:rPr>
                <w:rFonts w:asciiTheme="majorBidi" w:hAnsiTheme="majorBidi" w:cstheme="majorBidi"/>
                <w:sz w:val="24"/>
                <w:szCs w:val="24"/>
              </w:rPr>
              <w:t>96%</w:t>
            </w:r>
          </w:p>
        </w:tc>
      </w:tr>
      <w:tr w14:paraId="0148CD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2435" w:type="dxa"/>
          </w:tcPr>
          <w:p w14:paraId="613A0B99">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Teachers </w:t>
            </w:r>
          </w:p>
        </w:tc>
        <w:tc>
          <w:tcPr>
            <w:tcW w:w="2244" w:type="dxa"/>
          </w:tcPr>
          <w:p w14:paraId="0ADBD2F0">
            <w:pPr>
              <w:spacing w:after="0" w:line="360" w:lineRule="auto"/>
              <w:jc w:val="both"/>
              <w:rPr>
                <w:rFonts w:asciiTheme="majorBidi" w:hAnsiTheme="majorBidi" w:cstheme="majorBidi"/>
                <w:sz w:val="24"/>
                <w:szCs w:val="24"/>
              </w:rPr>
            </w:pPr>
            <w:r>
              <w:rPr>
                <w:rFonts w:asciiTheme="majorBidi" w:hAnsiTheme="majorBidi" w:cstheme="majorBidi"/>
                <w:sz w:val="24"/>
                <w:szCs w:val="24"/>
              </w:rPr>
              <w:t>55</w:t>
            </w:r>
          </w:p>
        </w:tc>
        <w:tc>
          <w:tcPr>
            <w:tcW w:w="2290" w:type="dxa"/>
          </w:tcPr>
          <w:p w14:paraId="2E37F94F">
            <w:pPr>
              <w:spacing w:after="0" w:line="360" w:lineRule="auto"/>
              <w:jc w:val="both"/>
              <w:rPr>
                <w:rFonts w:asciiTheme="majorBidi" w:hAnsiTheme="majorBidi" w:cstheme="majorBidi"/>
                <w:sz w:val="24"/>
                <w:szCs w:val="24"/>
              </w:rPr>
            </w:pPr>
            <w:r>
              <w:rPr>
                <w:rFonts w:asciiTheme="majorBidi" w:hAnsiTheme="majorBidi" w:cstheme="majorBidi"/>
                <w:sz w:val="24"/>
                <w:szCs w:val="24"/>
              </w:rPr>
              <w:t>54</w:t>
            </w:r>
          </w:p>
        </w:tc>
        <w:tc>
          <w:tcPr>
            <w:tcW w:w="1973" w:type="dxa"/>
          </w:tcPr>
          <w:p w14:paraId="3464276A">
            <w:pPr>
              <w:spacing w:after="0" w:line="360" w:lineRule="auto"/>
              <w:jc w:val="both"/>
              <w:rPr>
                <w:rFonts w:asciiTheme="majorBidi" w:hAnsiTheme="majorBidi" w:cstheme="majorBidi"/>
                <w:sz w:val="24"/>
                <w:szCs w:val="24"/>
              </w:rPr>
            </w:pPr>
            <w:r>
              <w:rPr>
                <w:rFonts w:asciiTheme="majorBidi" w:hAnsiTheme="majorBidi" w:cstheme="majorBidi"/>
                <w:sz w:val="24"/>
                <w:szCs w:val="24"/>
              </w:rPr>
              <w:t>98%</w:t>
            </w:r>
          </w:p>
        </w:tc>
      </w:tr>
      <w:tr w14:paraId="0DE8DF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2435" w:type="dxa"/>
          </w:tcPr>
          <w:p w14:paraId="61033F7E">
            <w:pPr>
              <w:spacing w:after="0" w:line="360" w:lineRule="auto"/>
              <w:jc w:val="both"/>
              <w:rPr>
                <w:rFonts w:asciiTheme="majorBidi" w:hAnsiTheme="majorBidi" w:cstheme="majorBidi"/>
                <w:sz w:val="24"/>
                <w:szCs w:val="24"/>
              </w:rPr>
            </w:pPr>
            <w:r>
              <w:rPr>
                <w:rFonts w:asciiTheme="majorBidi" w:hAnsiTheme="majorBidi" w:cstheme="majorBidi"/>
                <w:sz w:val="24"/>
                <w:szCs w:val="24"/>
              </w:rPr>
              <w:t>Principals</w:t>
            </w:r>
          </w:p>
        </w:tc>
        <w:tc>
          <w:tcPr>
            <w:tcW w:w="2244" w:type="dxa"/>
          </w:tcPr>
          <w:p w14:paraId="54A79C5D">
            <w:pPr>
              <w:spacing w:after="0" w:line="360" w:lineRule="auto"/>
              <w:jc w:val="both"/>
              <w:rPr>
                <w:rFonts w:asciiTheme="majorBidi" w:hAnsiTheme="majorBidi" w:cstheme="majorBidi"/>
                <w:sz w:val="24"/>
                <w:szCs w:val="24"/>
              </w:rPr>
            </w:pPr>
            <w:r>
              <w:rPr>
                <w:rFonts w:asciiTheme="majorBidi" w:hAnsiTheme="majorBidi" w:cstheme="majorBidi"/>
                <w:sz w:val="24"/>
                <w:szCs w:val="24"/>
              </w:rPr>
              <w:t>11</w:t>
            </w:r>
          </w:p>
        </w:tc>
        <w:tc>
          <w:tcPr>
            <w:tcW w:w="2290" w:type="dxa"/>
          </w:tcPr>
          <w:p w14:paraId="3D268E0D">
            <w:pPr>
              <w:spacing w:after="0" w:line="360" w:lineRule="auto"/>
              <w:jc w:val="both"/>
              <w:rPr>
                <w:rFonts w:asciiTheme="majorBidi" w:hAnsiTheme="majorBidi" w:cstheme="majorBidi"/>
                <w:sz w:val="24"/>
                <w:szCs w:val="24"/>
              </w:rPr>
            </w:pPr>
            <w:r>
              <w:rPr>
                <w:rFonts w:asciiTheme="majorBidi" w:hAnsiTheme="majorBidi" w:cstheme="majorBidi"/>
                <w:sz w:val="24"/>
                <w:szCs w:val="24"/>
              </w:rPr>
              <w:t>11</w:t>
            </w:r>
          </w:p>
        </w:tc>
        <w:tc>
          <w:tcPr>
            <w:tcW w:w="1973" w:type="dxa"/>
          </w:tcPr>
          <w:p w14:paraId="0B2462A4">
            <w:pPr>
              <w:spacing w:after="0" w:line="360" w:lineRule="auto"/>
              <w:jc w:val="both"/>
              <w:rPr>
                <w:rFonts w:asciiTheme="majorBidi" w:hAnsiTheme="majorBidi" w:cstheme="majorBidi"/>
                <w:sz w:val="24"/>
                <w:szCs w:val="24"/>
              </w:rPr>
            </w:pPr>
            <w:r>
              <w:rPr>
                <w:rFonts w:asciiTheme="majorBidi" w:hAnsiTheme="majorBidi" w:cstheme="majorBidi"/>
                <w:sz w:val="24"/>
                <w:szCs w:val="24"/>
              </w:rPr>
              <w:t>100%</w:t>
            </w:r>
          </w:p>
        </w:tc>
      </w:tr>
    </w:tbl>
    <w:p w14:paraId="39E0A9D4">
      <w:pPr>
        <w:spacing w:line="360" w:lineRule="auto"/>
        <w:jc w:val="both"/>
        <w:rPr>
          <w:rFonts w:asciiTheme="majorBidi" w:hAnsiTheme="majorBidi" w:cstheme="majorBidi"/>
          <w:i/>
          <w:iCs/>
          <w:color w:val="C00000"/>
          <w:sz w:val="24"/>
          <w:szCs w:val="24"/>
        </w:rPr>
      </w:pPr>
      <w:r>
        <w:rPr>
          <w:rFonts w:asciiTheme="majorBidi" w:hAnsiTheme="majorBidi" w:cstheme="majorBidi"/>
          <w:i/>
          <w:iCs/>
          <w:color w:val="C00000"/>
          <w:sz w:val="24"/>
          <w:szCs w:val="24"/>
        </w:rPr>
        <w:t>Source: Researcher 2024</w:t>
      </w:r>
    </w:p>
    <w:p w14:paraId="7ADFF89D">
      <w:pPr>
        <w:pStyle w:val="2"/>
        <w:numPr>
          <w:ilvl w:val="1"/>
          <w:numId w:val="19"/>
        </w:numPr>
        <w:rPr>
          <w:rFonts w:asciiTheme="majorBidi" w:hAnsiTheme="majorBidi"/>
          <w:color w:val="auto"/>
          <w:sz w:val="24"/>
          <w:szCs w:val="24"/>
        </w:rPr>
      </w:pPr>
      <w:bookmarkStart w:id="175" w:name="_Toc194822640"/>
      <w:r>
        <w:rPr>
          <w:rFonts w:asciiTheme="majorBidi" w:hAnsiTheme="majorBidi"/>
          <w:color w:val="auto"/>
          <w:sz w:val="24"/>
          <w:szCs w:val="24"/>
        </w:rPr>
        <w:t>Demographic Information of the Students and Teachers</w:t>
      </w:r>
      <w:bookmarkEnd w:id="175"/>
    </w:p>
    <w:p w14:paraId="7D518DA0">
      <w:pPr>
        <w:pStyle w:val="2"/>
        <w:numPr>
          <w:ilvl w:val="2"/>
          <w:numId w:val="19"/>
        </w:numPr>
        <w:pBdr>
          <w:bottom w:val="none" w:color="auto" w:sz="0" w:space="0"/>
        </w:pBdr>
        <w:spacing w:after="240"/>
        <w:ind w:left="1260" w:hanging="810"/>
        <w:rPr>
          <w:rFonts w:asciiTheme="majorBidi" w:hAnsiTheme="majorBidi"/>
          <w:color w:val="auto"/>
          <w:sz w:val="24"/>
          <w:szCs w:val="24"/>
        </w:rPr>
      </w:pPr>
      <w:bookmarkStart w:id="176" w:name="_Toc194822641"/>
      <w:r>
        <w:rPr>
          <w:rFonts w:asciiTheme="majorBidi" w:hAnsiTheme="majorBidi"/>
          <w:color w:val="auto"/>
          <w:sz w:val="24"/>
          <w:szCs w:val="24"/>
        </w:rPr>
        <w:t>Gender of the Respondents</w:t>
      </w:r>
      <w:bookmarkEnd w:id="176"/>
    </w:p>
    <w:p w14:paraId="76EED0D0">
      <w:pPr>
        <w:pBdr>
          <w:top w:val="single" w:color="auto" w:sz="4" w:space="0"/>
          <w:bottom w:val="single" w:color="auto" w:sz="4" w:space="0"/>
        </w:pBdr>
        <w:spacing w:before="240" w:line="480" w:lineRule="auto"/>
        <w:jc w:val="both"/>
        <w:rPr>
          <w:rFonts w:hint="default" w:asciiTheme="majorBidi" w:hAnsiTheme="majorBidi" w:cstheme="majorBidi"/>
          <w:sz w:val="24"/>
          <w:szCs w:val="24"/>
          <w:lang w:val="en-US"/>
        </w:rPr>
      </w:pPr>
    </w:p>
    <w:p w14:paraId="6416D351">
      <w:pPr>
        <w:spacing w:before="240" w:line="480" w:lineRule="auto"/>
        <w:jc w:val="both"/>
        <w:rPr>
          <w:rFonts w:hint="default" w:asciiTheme="majorBidi" w:hAnsiTheme="majorBidi" w:cstheme="majorBidi"/>
          <w:sz w:val="24"/>
          <w:szCs w:val="24"/>
          <w:lang w:val="en-US"/>
        </w:rPr>
      </w:pPr>
    </w:p>
    <w:p w14:paraId="422EEEF3">
      <w:pPr>
        <w:spacing w:before="240" w:line="480" w:lineRule="auto"/>
        <w:jc w:val="both"/>
        <w:rPr>
          <w:rFonts w:hint="default" w:asciiTheme="majorBidi" w:hAnsiTheme="majorBidi" w:cstheme="majorBidi"/>
          <w:sz w:val="24"/>
          <w:szCs w:val="24"/>
          <w:lang w:val="en-US"/>
        </w:rPr>
      </w:pPr>
    </w:p>
    <w:p w14:paraId="425A688A">
      <w:pPr>
        <w:spacing w:line="360" w:lineRule="auto"/>
        <w:jc w:val="both"/>
        <w:rPr>
          <w:rFonts w:asciiTheme="majorBidi" w:hAnsiTheme="majorBidi" w:cstheme="majorBidi"/>
          <w:sz w:val="24"/>
          <w:szCs w:val="24"/>
        </w:rPr>
      </w:pPr>
      <w:r>
        <w:rPr>
          <w:rFonts w:asciiTheme="majorBidi" w:hAnsiTheme="majorBidi" w:cstheme="majorBidi"/>
          <w:sz w:val="24"/>
          <w:szCs w:val="24"/>
        </w:rPr>
        <w:drawing>
          <wp:inline distT="0" distB="0" distL="0" distR="0">
            <wp:extent cx="6343650" cy="2695575"/>
            <wp:effectExtent l="0" t="0" r="0" b="9525"/>
            <wp:docPr id="2457798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9817" name="Graphic 1"/>
                    <pic:cNvPicPr>
                      <a:picLocks noChangeAspect="1"/>
                    </pic:cNvPicPr>
                  </pic:nvPicPr>
                  <pic:blipFill>
                    <a:blip r:embed="rId7">
                      <a:extLst>
                        <a:ext uri="{96DAC541-7B7A-43D3-8B79-37D633B846F1}">
                          <asvg:svgBlip xmlns:asvg="http://schemas.microsoft.com/office/drawing/2016/SVG/main" r:embed="rId8"/>
                        </a:ext>
                      </a:extLst>
                    </a:blip>
                    <a:srcRect b="34876"/>
                    <a:stretch>
                      <a:fillRect/>
                    </a:stretch>
                  </pic:blipFill>
                  <pic:spPr>
                    <a:xfrm>
                      <a:off x="0" y="0"/>
                      <a:ext cx="6343650" cy="2695575"/>
                    </a:xfrm>
                    <a:prstGeom prst="rect">
                      <a:avLst/>
                    </a:prstGeom>
                  </pic:spPr>
                </pic:pic>
              </a:graphicData>
            </a:graphic>
          </wp:inline>
        </w:drawing>
      </w:r>
    </w:p>
    <w:p w14:paraId="21694004">
      <w:pPr>
        <w:pStyle w:val="2"/>
        <w:rPr>
          <w:rFonts w:asciiTheme="majorBidi" w:hAnsiTheme="majorBidi"/>
          <w:b w:val="0"/>
          <w:bCs w:val="0"/>
          <w:color w:val="auto"/>
          <w:sz w:val="24"/>
          <w:szCs w:val="24"/>
        </w:rPr>
      </w:pPr>
      <w:bookmarkStart w:id="177" w:name="_Toc194769922"/>
      <w:bookmarkStart w:id="178" w:name="_Toc194822642"/>
      <w:bookmarkStart w:id="179" w:name="_Toc194763044"/>
      <w:r>
        <w:rPr>
          <w:rFonts w:asciiTheme="majorBidi" w:hAnsiTheme="majorBidi"/>
          <w:b w:val="0"/>
          <w:bCs w:val="0"/>
          <w:color w:val="auto"/>
          <w:sz w:val="24"/>
          <w:szCs w:val="24"/>
        </w:rPr>
        <w:t>Figure 2: Demographic information</w:t>
      </w:r>
      <w:bookmarkEnd w:id="177"/>
      <w:bookmarkEnd w:id="178"/>
      <w:bookmarkEnd w:id="179"/>
    </w:p>
    <w:p w14:paraId="26C944E4">
      <w:pPr>
        <w:spacing w:before="240" w:line="480" w:lineRule="auto"/>
        <w:jc w:val="both"/>
        <w:rPr>
          <w:rFonts w:asciiTheme="majorBidi" w:hAnsiTheme="majorBidi" w:cstheme="majorBidi"/>
          <w:sz w:val="24"/>
          <w:szCs w:val="24"/>
        </w:rPr>
      </w:pPr>
      <w:r>
        <w:rPr>
          <w:rFonts w:asciiTheme="majorBidi" w:hAnsiTheme="majorBidi" w:cstheme="majorBidi"/>
          <w:sz w:val="24"/>
          <w:szCs w:val="24"/>
        </w:rPr>
        <w:t>The majority of the students sampled were male students accounting for 51% of the sample while 49% were female. Out of all the teachers that responded to the survey, 67% were male teachers while 33% were female teachers. (See figure 2.)</w:t>
      </w:r>
    </w:p>
    <w:p w14:paraId="0C4067A5"/>
    <w:p w14:paraId="5DC990AC">
      <w:pPr>
        <w:pStyle w:val="2"/>
        <w:numPr>
          <w:ilvl w:val="2"/>
          <w:numId w:val="19"/>
        </w:numPr>
        <w:spacing w:after="240"/>
        <w:ind w:hanging="270"/>
        <w:rPr>
          <w:rFonts w:asciiTheme="majorBidi" w:hAnsiTheme="majorBidi"/>
          <w:color w:val="auto"/>
          <w:sz w:val="24"/>
          <w:szCs w:val="24"/>
        </w:rPr>
      </w:pPr>
      <w:bookmarkStart w:id="180" w:name="_Toc194822643"/>
      <w:r>
        <w:rPr>
          <w:rFonts w:asciiTheme="majorBidi" w:hAnsiTheme="majorBidi"/>
          <w:color w:val="auto"/>
          <w:sz w:val="24"/>
          <w:szCs w:val="24"/>
        </w:rPr>
        <w:t>Level of Study, Age and School Category</w:t>
      </w:r>
      <w:bookmarkEnd w:id="180"/>
    </w:p>
    <w:p w14:paraId="18C011AB">
      <w:pPr>
        <w:spacing w:line="480" w:lineRule="auto"/>
        <w:jc w:val="both"/>
        <w:rPr>
          <w:rFonts w:asciiTheme="majorBidi" w:hAnsiTheme="majorBidi" w:cstheme="majorBidi"/>
          <w:sz w:val="24"/>
          <w:szCs w:val="24"/>
        </w:rPr>
      </w:pPr>
      <w:r>
        <w:rPr>
          <w:rFonts w:asciiTheme="majorBidi" w:hAnsiTheme="majorBidi" w:cstheme="majorBidi"/>
          <w:sz w:val="24"/>
          <w:szCs w:val="24"/>
        </w:rPr>
        <w:t>The demographic information provided paints a picture of the student population across different categories. In terms of the level of study, Form four emerges as the most populated, comprising nearly half (48%) of the students, followed by Form three at 33%. Form two and Form one had relatively smaller proportions at 9% and 10%, respectively. Moving to age distribution, the majority of students (42%) fall within the 18 to 20 years age bracket, indicating a substantial presence of older students. The 15 to 17 years age group also constitutes a significant portion, representing 40% of the sample. Students aged 12 to 14 years make up 15% of the population, while those below 12 years and above 20 years each comprise only 1% and 2% respectively. Regarding school categories, a diverse distribution is observed. Boys’ and girls’ day schools have higher percentages compared to boarding schools, with mixed day schools having the highest representation at 29%. Boys and girls boarding schools both account for 13%, while boys’ and girls’ day schools represent 17% and 21%, respectively. Mixed boarding schools have the lowest representation at 7% as shown in Table 4.</w:t>
      </w:r>
    </w:p>
    <w:p w14:paraId="1B729847">
      <w:pPr>
        <w:pStyle w:val="2"/>
        <w:spacing w:line="480" w:lineRule="auto"/>
        <w:rPr>
          <w:rFonts w:asciiTheme="majorBidi" w:hAnsiTheme="majorBidi"/>
          <w:b w:val="0"/>
          <w:bCs w:val="0"/>
          <w:color w:val="auto"/>
          <w:sz w:val="24"/>
          <w:szCs w:val="24"/>
        </w:rPr>
      </w:pPr>
      <w:bookmarkStart w:id="181" w:name="_Toc194769924"/>
      <w:bookmarkStart w:id="182" w:name="_Toc194822644"/>
      <w:r>
        <w:rPr>
          <w:rFonts w:asciiTheme="majorBidi" w:hAnsiTheme="majorBidi"/>
          <w:b w:val="0"/>
          <w:bCs w:val="0"/>
          <w:color w:val="auto"/>
          <w:sz w:val="24"/>
          <w:szCs w:val="24"/>
        </w:rPr>
        <w:t>Table 4:</w:t>
      </w:r>
      <w:bookmarkEnd w:id="181"/>
      <w:bookmarkEnd w:id="182"/>
    </w:p>
    <w:p w14:paraId="16489664">
      <w:pPr>
        <w:pStyle w:val="2"/>
        <w:spacing w:line="480" w:lineRule="auto"/>
        <w:rPr>
          <w:rFonts w:hint="default" w:asciiTheme="majorBidi" w:hAnsiTheme="majorBidi"/>
          <w:b w:val="0"/>
          <w:bCs w:val="0"/>
          <w:i/>
          <w:iCs/>
          <w:color w:val="auto"/>
          <w:sz w:val="24"/>
          <w:szCs w:val="24"/>
          <w:lang w:val="en-US"/>
        </w:rPr>
      </w:pPr>
      <w:bookmarkStart w:id="183" w:name="_Toc194769925"/>
      <w:bookmarkStart w:id="184" w:name="_Toc194822645"/>
      <w:r>
        <w:rPr>
          <w:rFonts w:asciiTheme="majorBidi" w:hAnsiTheme="majorBidi"/>
          <w:b w:val="0"/>
          <w:bCs w:val="0"/>
          <w:i/>
          <w:iCs/>
          <w:color w:val="auto"/>
          <w:sz w:val="24"/>
          <w:szCs w:val="24"/>
        </w:rPr>
        <w:t>Demographic information</w:t>
      </w:r>
      <w:bookmarkEnd w:id="183"/>
      <w:bookmarkEnd w:id="184"/>
      <w:r>
        <w:rPr>
          <w:rFonts w:hint="default" w:asciiTheme="majorBidi" w:hAnsiTheme="majorBidi"/>
          <w:b w:val="0"/>
          <w:bCs w:val="0"/>
          <w:i/>
          <w:iCs/>
          <w:color w:val="auto"/>
          <w:sz w:val="24"/>
          <w:szCs w:val="24"/>
          <w:lang w:val="en-US"/>
        </w:rPr>
        <w:t xml:space="preserve"> </w:t>
      </w:r>
    </w:p>
    <w:tbl>
      <w:tblPr>
        <w:tblStyle w:val="20"/>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2666"/>
        <w:gridCol w:w="3497"/>
      </w:tblGrid>
      <w:tr w14:paraId="7C05F5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tcBorders>
              <w:top w:val="single" w:color="auto" w:sz="4" w:space="0"/>
              <w:bottom w:val="single" w:color="auto" w:sz="4" w:space="0"/>
            </w:tcBorders>
            <w:noWrap/>
          </w:tcPr>
          <w:p w14:paraId="79BE2F73">
            <w:pPr>
              <w:spacing w:after="0" w:line="240" w:lineRule="auto"/>
              <w:jc w:val="both"/>
              <w:rPr>
                <w:rFonts w:asciiTheme="majorBidi" w:hAnsiTheme="majorBidi" w:cstheme="majorBidi"/>
                <w:sz w:val="24"/>
                <w:szCs w:val="24"/>
              </w:rPr>
            </w:pPr>
          </w:p>
        </w:tc>
        <w:tc>
          <w:tcPr>
            <w:tcW w:w="1869" w:type="pct"/>
            <w:tcBorders>
              <w:top w:val="single" w:color="auto" w:sz="4" w:space="0"/>
              <w:bottom w:val="single" w:color="auto" w:sz="4" w:space="0"/>
            </w:tcBorders>
            <w:noWrap/>
          </w:tcPr>
          <w:p w14:paraId="102F46AA">
            <w:pPr>
              <w:spacing w:after="0" w:line="240" w:lineRule="auto"/>
              <w:jc w:val="both"/>
              <w:rPr>
                <w:rFonts w:asciiTheme="majorBidi" w:hAnsiTheme="majorBidi" w:cstheme="majorBidi"/>
                <w:sz w:val="24"/>
                <w:szCs w:val="24"/>
              </w:rPr>
            </w:pPr>
          </w:p>
        </w:tc>
        <w:tc>
          <w:tcPr>
            <w:tcW w:w="1247" w:type="pct"/>
            <w:tcBorders>
              <w:top w:val="single" w:color="auto" w:sz="4" w:space="0"/>
              <w:bottom w:val="single" w:color="auto" w:sz="4" w:space="0"/>
            </w:tcBorders>
            <w:noWrap/>
          </w:tcPr>
          <w:p w14:paraId="00B6B337">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Percent </w:t>
            </w:r>
          </w:p>
        </w:tc>
      </w:tr>
      <w:tr w14:paraId="23A77A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tcBorders>
              <w:top w:val="single" w:color="auto" w:sz="4" w:space="0"/>
            </w:tcBorders>
            <w:noWrap/>
          </w:tcPr>
          <w:p w14:paraId="0B981800">
            <w:pPr>
              <w:spacing w:after="0" w:line="240" w:lineRule="auto"/>
              <w:jc w:val="both"/>
              <w:rPr>
                <w:rFonts w:asciiTheme="majorBidi" w:hAnsiTheme="majorBidi" w:cstheme="majorBidi"/>
                <w:sz w:val="24"/>
                <w:szCs w:val="24"/>
              </w:rPr>
            </w:pPr>
            <w:r>
              <w:rPr>
                <w:rFonts w:asciiTheme="majorBidi" w:hAnsiTheme="majorBidi" w:cstheme="majorBidi"/>
                <w:sz w:val="24"/>
                <w:szCs w:val="24"/>
              </w:rPr>
              <w:t>Level of study</w:t>
            </w:r>
          </w:p>
        </w:tc>
        <w:tc>
          <w:tcPr>
            <w:tcW w:w="1869" w:type="pct"/>
            <w:tcBorders>
              <w:top w:val="single" w:color="auto" w:sz="4" w:space="0"/>
            </w:tcBorders>
            <w:noWrap/>
          </w:tcPr>
          <w:p w14:paraId="64DD7045">
            <w:pPr>
              <w:spacing w:after="0" w:line="240" w:lineRule="auto"/>
              <w:jc w:val="both"/>
              <w:rPr>
                <w:rFonts w:asciiTheme="majorBidi" w:hAnsiTheme="majorBidi" w:cstheme="majorBidi"/>
                <w:sz w:val="24"/>
                <w:szCs w:val="24"/>
              </w:rPr>
            </w:pPr>
            <w:r>
              <w:rPr>
                <w:rFonts w:asciiTheme="majorBidi" w:hAnsiTheme="majorBidi" w:cstheme="majorBidi"/>
                <w:sz w:val="24"/>
                <w:szCs w:val="24"/>
              </w:rPr>
              <w:t>Form four</w:t>
            </w:r>
          </w:p>
        </w:tc>
        <w:tc>
          <w:tcPr>
            <w:tcW w:w="1247" w:type="pct"/>
            <w:tcBorders>
              <w:top w:val="single" w:color="auto" w:sz="4" w:space="0"/>
            </w:tcBorders>
            <w:noWrap/>
          </w:tcPr>
          <w:p w14:paraId="1E28F0B8">
            <w:pPr>
              <w:spacing w:after="0" w:line="240" w:lineRule="auto"/>
              <w:jc w:val="both"/>
              <w:rPr>
                <w:rFonts w:asciiTheme="majorBidi" w:hAnsiTheme="majorBidi" w:cstheme="majorBidi"/>
                <w:sz w:val="24"/>
                <w:szCs w:val="24"/>
              </w:rPr>
            </w:pPr>
            <w:r>
              <w:rPr>
                <w:rFonts w:asciiTheme="majorBidi" w:hAnsiTheme="majorBidi" w:cstheme="majorBidi"/>
                <w:sz w:val="24"/>
                <w:szCs w:val="24"/>
              </w:rPr>
              <w:t>48%</w:t>
            </w:r>
          </w:p>
        </w:tc>
      </w:tr>
      <w:tr w14:paraId="405A90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6B19B1F5">
            <w:pPr>
              <w:spacing w:after="0" w:line="240" w:lineRule="auto"/>
              <w:jc w:val="both"/>
              <w:rPr>
                <w:rFonts w:asciiTheme="majorBidi" w:hAnsiTheme="majorBidi" w:cstheme="majorBidi"/>
                <w:sz w:val="24"/>
                <w:szCs w:val="24"/>
              </w:rPr>
            </w:pPr>
          </w:p>
        </w:tc>
        <w:tc>
          <w:tcPr>
            <w:tcW w:w="1869" w:type="pct"/>
            <w:noWrap/>
          </w:tcPr>
          <w:p w14:paraId="53CCFAEA">
            <w:pPr>
              <w:spacing w:after="0" w:line="240" w:lineRule="auto"/>
              <w:jc w:val="both"/>
              <w:rPr>
                <w:rFonts w:asciiTheme="majorBidi" w:hAnsiTheme="majorBidi" w:cstheme="majorBidi"/>
                <w:sz w:val="24"/>
                <w:szCs w:val="24"/>
              </w:rPr>
            </w:pPr>
            <w:r>
              <w:rPr>
                <w:rFonts w:asciiTheme="majorBidi" w:hAnsiTheme="majorBidi" w:cstheme="majorBidi"/>
                <w:sz w:val="24"/>
                <w:szCs w:val="24"/>
              </w:rPr>
              <w:t>Form three</w:t>
            </w:r>
          </w:p>
        </w:tc>
        <w:tc>
          <w:tcPr>
            <w:tcW w:w="1247" w:type="pct"/>
            <w:noWrap/>
          </w:tcPr>
          <w:p w14:paraId="79C2C709">
            <w:pPr>
              <w:spacing w:after="0" w:line="240" w:lineRule="auto"/>
              <w:jc w:val="both"/>
              <w:rPr>
                <w:rFonts w:asciiTheme="majorBidi" w:hAnsiTheme="majorBidi" w:cstheme="majorBidi"/>
                <w:sz w:val="24"/>
                <w:szCs w:val="24"/>
              </w:rPr>
            </w:pPr>
            <w:r>
              <w:rPr>
                <w:rFonts w:asciiTheme="majorBidi" w:hAnsiTheme="majorBidi" w:cstheme="majorBidi"/>
                <w:sz w:val="24"/>
                <w:szCs w:val="24"/>
              </w:rPr>
              <w:t>33%</w:t>
            </w:r>
          </w:p>
        </w:tc>
      </w:tr>
      <w:tr w14:paraId="0AC411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6D764988">
            <w:pPr>
              <w:spacing w:after="0" w:line="240" w:lineRule="auto"/>
              <w:jc w:val="both"/>
              <w:rPr>
                <w:rFonts w:asciiTheme="majorBidi" w:hAnsiTheme="majorBidi" w:cstheme="majorBidi"/>
                <w:sz w:val="24"/>
                <w:szCs w:val="24"/>
              </w:rPr>
            </w:pPr>
          </w:p>
        </w:tc>
        <w:tc>
          <w:tcPr>
            <w:tcW w:w="1869" w:type="pct"/>
            <w:noWrap/>
          </w:tcPr>
          <w:p w14:paraId="6DEFCF27">
            <w:pPr>
              <w:spacing w:after="0" w:line="240" w:lineRule="auto"/>
              <w:jc w:val="both"/>
              <w:rPr>
                <w:rFonts w:asciiTheme="majorBidi" w:hAnsiTheme="majorBidi" w:cstheme="majorBidi"/>
                <w:sz w:val="24"/>
                <w:szCs w:val="24"/>
              </w:rPr>
            </w:pPr>
            <w:r>
              <w:rPr>
                <w:rFonts w:asciiTheme="majorBidi" w:hAnsiTheme="majorBidi" w:cstheme="majorBidi"/>
                <w:sz w:val="24"/>
                <w:szCs w:val="24"/>
              </w:rPr>
              <w:t>Form two</w:t>
            </w:r>
          </w:p>
        </w:tc>
        <w:tc>
          <w:tcPr>
            <w:tcW w:w="1247" w:type="pct"/>
            <w:noWrap/>
          </w:tcPr>
          <w:p w14:paraId="23EB08FA">
            <w:pPr>
              <w:spacing w:after="0" w:line="240" w:lineRule="auto"/>
              <w:jc w:val="both"/>
              <w:rPr>
                <w:rFonts w:asciiTheme="majorBidi" w:hAnsiTheme="majorBidi" w:cstheme="majorBidi"/>
                <w:sz w:val="24"/>
                <w:szCs w:val="24"/>
              </w:rPr>
            </w:pPr>
            <w:r>
              <w:rPr>
                <w:rFonts w:asciiTheme="majorBidi" w:hAnsiTheme="majorBidi" w:cstheme="majorBidi"/>
                <w:sz w:val="24"/>
                <w:szCs w:val="24"/>
              </w:rPr>
              <w:t>9%</w:t>
            </w:r>
          </w:p>
        </w:tc>
      </w:tr>
      <w:tr w14:paraId="0DB9BA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1EDC40D6">
            <w:pPr>
              <w:spacing w:after="0" w:line="240" w:lineRule="auto"/>
              <w:jc w:val="both"/>
              <w:rPr>
                <w:rFonts w:asciiTheme="majorBidi" w:hAnsiTheme="majorBidi" w:cstheme="majorBidi"/>
                <w:sz w:val="24"/>
                <w:szCs w:val="24"/>
              </w:rPr>
            </w:pPr>
          </w:p>
        </w:tc>
        <w:tc>
          <w:tcPr>
            <w:tcW w:w="1869" w:type="pct"/>
            <w:noWrap/>
          </w:tcPr>
          <w:p w14:paraId="02B00FDD">
            <w:pPr>
              <w:spacing w:after="0" w:line="240" w:lineRule="auto"/>
              <w:jc w:val="both"/>
              <w:rPr>
                <w:rFonts w:asciiTheme="majorBidi" w:hAnsiTheme="majorBidi" w:cstheme="majorBidi"/>
                <w:sz w:val="24"/>
                <w:szCs w:val="24"/>
              </w:rPr>
            </w:pPr>
            <w:r>
              <w:rPr>
                <w:rFonts w:asciiTheme="majorBidi" w:hAnsiTheme="majorBidi" w:cstheme="majorBidi"/>
                <w:sz w:val="24"/>
                <w:szCs w:val="24"/>
              </w:rPr>
              <w:t>Form one</w:t>
            </w:r>
          </w:p>
        </w:tc>
        <w:tc>
          <w:tcPr>
            <w:tcW w:w="1247" w:type="pct"/>
            <w:noWrap/>
          </w:tcPr>
          <w:p w14:paraId="375D34A7">
            <w:pPr>
              <w:spacing w:after="0" w:line="240" w:lineRule="auto"/>
              <w:jc w:val="both"/>
              <w:rPr>
                <w:rFonts w:asciiTheme="majorBidi" w:hAnsiTheme="majorBidi" w:cstheme="majorBidi"/>
                <w:sz w:val="24"/>
                <w:szCs w:val="24"/>
              </w:rPr>
            </w:pPr>
            <w:r>
              <w:rPr>
                <w:rFonts w:asciiTheme="majorBidi" w:hAnsiTheme="majorBidi" w:cstheme="majorBidi"/>
                <w:sz w:val="24"/>
                <w:szCs w:val="24"/>
              </w:rPr>
              <w:t>10%</w:t>
            </w:r>
          </w:p>
        </w:tc>
      </w:tr>
      <w:tr w14:paraId="035FC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292DA97E">
            <w:pPr>
              <w:spacing w:after="0" w:line="240" w:lineRule="auto"/>
              <w:jc w:val="both"/>
              <w:rPr>
                <w:rFonts w:asciiTheme="majorBidi" w:hAnsiTheme="majorBidi" w:cstheme="majorBidi"/>
                <w:sz w:val="24"/>
                <w:szCs w:val="24"/>
              </w:rPr>
            </w:pPr>
          </w:p>
        </w:tc>
        <w:tc>
          <w:tcPr>
            <w:tcW w:w="1869" w:type="pct"/>
            <w:noWrap/>
          </w:tcPr>
          <w:p w14:paraId="57CC081C">
            <w:pPr>
              <w:spacing w:after="0" w:line="240" w:lineRule="auto"/>
              <w:jc w:val="both"/>
              <w:rPr>
                <w:rFonts w:asciiTheme="majorBidi" w:hAnsiTheme="majorBidi" w:cstheme="majorBidi"/>
                <w:sz w:val="24"/>
                <w:szCs w:val="24"/>
              </w:rPr>
            </w:pPr>
          </w:p>
        </w:tc>
        <w:tc>
          <w:tcPr>
            <w:tcW w:w="1247" w:type="pct"/>
            <w:noWrap/>
          </w:tcPr>
          <w:p w14:paraId="496002FF">
            <w:pPr>
              <w:spacing w:after="0" w:line="240" w:lineRule="auto"/>
              <w:jc w:val="both"/>
              <w:rPr>
                <w:rFonts w:asciiTheme="majorBidi" w:hAnsiTheme="majorBidi" w:cstheme="majorBidi"/>
                <w:sz w:val="24"/>
                <w:szCs w:val="24"/>
              </w:rPr>
            </w:pPr>
          </w:p>
        </w:tc>
      </w:tr>
      <w:tr w14:paraId="6F515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0D91145E">
            <w:pPr>
              <w:spacing w:after="0" w:line="240" w:lineRule="auto"/>
              <w:jc w:val="both"/>
              <w:rPr>
                <w:rFonts w:asciiTheme="majorBidi" w:hAnsiTheme="majorBidi" w:cstheme="majorBidi"/>
                <w:sz w:val="24"/>
                <w:szCs w:val="24"/>
              </w:rPr>
            </w:pPr>
            <w:r>
              <w:rPr>
                <w:rFonts w:asciiTheme="majorBidi" w:hAnsiTheme="majorBidi" w:cstheme="majorBidi"/>
                <w:sz w:val="24"/>
                <w:szCs w:val="24"/>
              </w:rPr>
              <w:t>Age</w:t>
            </w:r>
          </w:p>
        </w:tc>
        <w:tc>
          <w:tcPr>
            <w:tcW w:w="1869" w:type="pct"/>
            <w:noWrap/>
          </w:tcPr>
          <w:p w14:paraId="11C70037">
            <w:pPr>
              <w:spacing w:after="0" w:line="240" w:lineRule="auto"/>
              <w:jc w:val="both"/>
              <w:rPr>
                <w:rFonts w:asciiTheme="majorBidi" w:hAnsiTheme="majorBidi" w:cstheme="majorBidi"/>
                <w:sz w:val="24"/>
                <w:szCs w:val="24"/>
              </w:rPr>
            </w:pPr>
            <w:r>
              <w:rPr>
                <w:rFonts w:asciiTheme="majorBidi" w:hAnsiTheme="majorBidi" w:cstheme="majorBidi"/>
                <w:sz w:val="24"/>
                <w:szCs w:val="24"/>
              </w:rPr>
              <w:t>Below 12 years</w:t>
            </w:r>
          </w:p>
        </w:tc>
        <w:tc>
          <w:tcPr>
            <w:tcW w:w="1247" w:type="pct"/>
            <w:noWrap/>
          </w:tcPr>
          <w:p w14:paraId="1A5FFBF3">
            <w:pPr>
              <w:spacing w:after="0" w:line="240" w:lineRule="auto"/>
              <w:jc w:val="both"/>
              <w:rPr>
                <w:rFonts w:asciiTheme="majorBidi" w:hAnsiTheme="majorBidi" w:cstheme="majorBidi"/>
                <w:sz w:val="24"/>
                <w:szCs w:val="24"/>
              </w:rPr>
            </w:pPr>
            <w:r>
              <w:rPr>
                <w:rFonts w:asciiTheme="majorBidi" w:hAnsiTheme="majorBidi" w:cstheme="majorBidi"/>
                <w:sz w:val="24"/>
                <w:szCs w:val="24"/>
              </w:rPr>
              <w:t>1%</w:t>
            </w:r>
          </w:p>
        </w:tc>
      </w:tr>
      <w:tr w14:paraId="16396B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1E396B6F">
            <w:pPr>
              <w:spacing w:after="0" w:line="240" w:lineRule="auto"/>
              <w:jc w:val="both"/>
              <w:rPr>
                <w:rFonts w:asciiTheme="majorBidi" w:hAnsiTheme="majorBidi" w:cstheme="majorBidi"/>
                <w:sz w:val="24"/>
                <w:szCs w:val="24"/>
              </w:rPr>
            </w:pPr>
          </w:p>
        </w:tc>
        <w:tc>
          <w:tcPr>
            <w:tcW w:w="1869" w:type="pct"/>
            <w:noWrap/>
          </w:tcPr>
          <w:p w14:paraId="1BDB375A">
            <w:pPr>
              <w:spacing w:after="0" w:line="240" w:lineRule="auto"/>
              <w:jc w:val="both"/>
              <w:rPr>
                <w:rFonts w:asciiTheme="majorBidi" w:hAnsiTheme="majorBidi" w:cstheme="majorBidi"/>
                <w:sz w:val="24"/>
                <w:szCs w:val="24"/>
              </w:rPr>
            </w:pPr>
            <w:r>
              <w:rPr>
                <w:rFonts w:asciiTheme="majorBidi" w:hAnsiTheme="majorBidi" w:cstheme="majorBidi"/>
                <w:sz w:val="24"/>
                <w:szCs w:val="24"/>
              </w:rPr>
              <w:t>12 to 14</w:t>
            </w:r>
          </w:p>
        </w:tc>
        <w:tc>
          <w:tcPr>
            <w:tcW w:w="1247" w:type="pct"/>
            <w:noWrap/>
          </w:tcPr>
          <w:p w14:paraId="43E729BF">
            <w:pPr>
              <w:spacing w:after="0" w:line="240" w:lineRule="auto"/>
              <w:jc w:val="both"/>
              <w:rPr>
                <w:rFonts w:asciiTheme="majorBidi" w:hAnsiTheme="majorBidi" w:cstheme="majorBidi"/>
                <w:sz w:val="24"/>
                <w:szCs w:val="24"/>
              </w:rPr>
            </w:pPr>
            <w:r>
              <w:rPr>
                <w:rFonts w:asciiTheme="majorBidi" w:hAnsiTheme="majorBidi" w:cstheme="majorBidi"/>
                <w:sz w:val="24"/>
                <w:szCs w:val="24"/>
              </w:rPr>
              <w:t>15%</w:t>
            </w:r>
          </w:p>
        </w:tc>
      </w:tr>
      <w:tr w14:paraId="22644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33CF1280">
            <w:pPr>
              <w:spacing w:after="0" w:line="240" w:lineRule="auto"/>
              <w:jc w:val="both"/>
              <w:rPr>
                <w:rFonts w:asciiTheme="majorBidi" w:hAnsiTheme="majorBidi" w:cstheme="majorBidi"/>
                <w:sz w:val="24"/>
                <w:szCs w:val="24"/>
              </w:rPr>
            </w:pPr>
          </w:p>
        </w:tc>
        <w:tc>
          <w:tcPr>
            <w:tcW w:w="1869" w:type="pct"/>
            <w:noWrap/>
          </w:tcPr>
          <w:p w14:paraId="2A057F9C">
            <w:pPr>
              <w:spacing w:after="0" w:line="240" w:lineRule="auto"/>
              <w:jc w:val="both"/>
              <w:rPr>
                <w:rFonts w:asciiTheme="majorBidi" w:hAnsiTheme="majorBidi" w:cstheme="majorBidi"/>
                <w:sz w:val="24"/>
                <w:szCs w:val="24"/>
              </w:rPr>
            </w:pPr>
            <w:r>
              <w:rPr>
                <w:rFonts w:asciiTheme="majorBidi" w:hAnsiTheme="majorBidi" w:cstheme="majorBidi"/>
                <w:sz w:val="24"/>
                <w:szCs w:val="24"/>
              </w:rPr>
              <w:t>15 to 17</w:t>
            </w:r>
          </w:p>
        </w:tc>
        <w:tc>
          <w:tcPr>
            <w:tcW w:w="1247" w:type="pct"/>
            <w:noWrap/>
          </w:tcPr>
          <w:p w14:paraId="2FFD459C">
            <w:pPr>
              <w:spacing w:after="0" w:line="240" w:lineRule="auto"/>
              <w:jc w:val="both"/>
              <w:rPr>
                <w:rFonts w:asciiTheme="majorBidi" w:hAnsiTheme="majorBidi" w:cstheme="majorBidi"/>
                <w:sz w:val="24"/>
                <w:szCs w:val="24"/>
              </w:rPr>
            </w:pPr>
            <w:r>
              <w:rPr>
                <w:rFonts w:asciiTheme="majorBidi" w:hAnsiTheme="majorBidi" w:cstheme="majorBidi"/>
                <w:sz w:val="24"/>
                <w:szCs w:val="24"/>
              </w:rPr>
              <w:t>40%</w:t>
            </w:r>
          </w:p>
        </w:tc>
      </w:tr>
      <w:tr w14:paraId="76373B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7BCBBC9B">
            <w:pPr>
              <w:spacing w:after="0" w:line="240" w:lineRule="auto"/>
              <w:jc w:val="both"/>
              <w:rPr>
                <w:rFonts w:asciiTheme="majorBidi" w:hAnsiTheme="majorBidi" w:cstheme="majorBidi"/>
                <w:sz w:val="24"/>
                <w:szCs w:val="24"/>
              </w:rPr>
            </w:pPr>
          </w:p>
        </w:tc>
        <w:tc>
          <w:tcPr>
            <w:tcW w:w="1869" w:type="pct"/>
            <w:noWrap/>
          </w:tcPr>
          <w:p w14:paraId="520F767A">
            <w:pPr>
              <w:spacing w:after="0" w:line="240" w:lineRule="auto"/>
              <w:jc w:val="both"/>
              <w:rPr>
                <w:rFonts w:asciiTheme="majorBidi" w:hAnsiTheme="majorBidi" w:cstheme="majorBidi"/>
                <w:sz w:val="24"/>
                <w:szCs w:val="24"/>
              </w:rPr>
            </w:pPr>
            <w:r>
              <w:rPr>
                <w:rFonts w:asciiTheme="majorBidi" w:hAnsiTheme="majorBidi" w:cstheme="majorBidi"/>
                <w:sz w:val="24"/>
                <w:szCs w:val="24"/>
              </w:rPr>
              <w:t>18 to 20</w:t>
            </w:r>
          </w:p>
        </w:tc>
        <w:tc>
          <w:tcPr>
            <w:tcW w:w="1247" w:type="pct"/>
            <w:noWrap/>
          </w:tcPr>
          <w:p w14:paraId="3640FD03">
            <w:pPr>
              <w:spacing w:after="0" w:line="240" w:lineRule="auto"/>
              <w:jc w:val="both"/>
              <w:rPr>
                <w:rFonts w:asciiTheme="majorBidi" w:hAnsiTheme="majorBidi" w:cstheme="majorBidi"/>
                <w:sz w:val="24"/>
                <w:szCs w:val="24"/>
              </w:rPr>
            </w:pPr>
            <w:r>
              <w:rPr>
                <w:rFonts w:asciiTheme="majorBidi" w:hAnsiTheme="majorBidi" w:cstheme="majorBidi"/>
                <w:sz w:val="24"/>
                <w:szCs w:val="24"/>
              </w:rPr>
              <w:t>42%</w:t>
            </w:r>
          </w:p>
        </w:tc>
      </w:tr>
      <w:tr w14:paraId="6604A6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400592A8">
            <w:pPr>
              <w:spacing w:after="0" w:line="240" w:lineRule="auto"/>
              <w:jc w:val="both"/>
              <w:rPr>
                <w:rFonts w:asciiTheme="majorBidi" w:hAnsiTheme="majorBidi" w:cstheme="majorBidi"/>
                <w:sz w:val="24"/>
                <w:szCs w:val="24"/>
              </w:rPr>
            </w:pPr>
          </w:p>
        </w:tc>
        <w:tc>
          <w:tcPr>
            <w:tcW w:w="1869" w:type="pct"/>
            <w:noWrap/>
          </w:tcPr>
          <w:p w14:paraId="30D81BF6">
            <w:pPr>
              <w:spacing w:after="0" w:line="240" w:lineRule="auto"/>
              <w:jc w:val="both"/>
              <w:rPr>
                <w:rFonts w:asciiTheme="majorBidi" w:hAnsiTheme="majorBidi" w:cstheme="majorBidi"/>
                <w:sz w:val="24"/>
                <w:szCs w:val="24"/>
              </w:rPr>
            </w:pPr>
            <w:r>
              <w:rPr>
                <w:rFonts w:asciiTheme="majorBidi" w:hAnsiTheme="majorBidi" w:cstheme="majorBidi"/>
                <w:sz w:val="24"/>
                <w:szCs w:val="24"/>
              </w:rPr>
              <w:t>Above 20 years</w:t>
            </w:r>
          </w:p>
        </w:tc>
        <w:tc>
          <w:tcPr>
            <w:tcW w:w="1247" w:type="pct"/>
            <w:noWrap/>
          </w:tcPr>
          <w:p w14:paraId="6DB5798A">
            <w:pPr>
              <w:spacing w:after="0" w:line="240" w:lineRule="auto"/>
              <w:jc w:val="both"/>
              <w:rPr>
                <w:rFonts w:asciiTheme="majorBidi" w:hAnsiTheme="majorBidi" w:cstheme="majorBidi"/>
                <w:sz w:val="24"/>
                <w:szCs w:val="24"/>
              </w:rPr>
            </w:pPr>
            <w:r>
              <w:rPr>
                <w:rFonts w:asciiTheme="majorBidi" w:hAnsiTheme="majorBidi" w:cstheme="majorBidi"/>
                <w:sz w:val="24"/>
                <w:szCs w:val="24"/>
              </w:rPr>
              <w:t>2%</w:t>
            </w:r>
          </w:p>
        </w:tc>
      </w:tr>
      <w:tr w14:paraId="21C84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B7F260A">
            <w:pPr>
              <w:spacing w:after="0" w:line="240" w:lineRule="auto"/>
              <w:jc w:val="both"/>
              <w:rPr>
                <w:rFonts w:asciiTheme="majorBidi" w:hAnsiTheme="majorBidi" w:cstheme="majorBidi"/>
                <w:sz w:val="24"/>
                <w:szCs w:val="24"/>
              </w:rPr>
            </w:pPr>
          </w:p>
        </w:tc>
        <w:tc>
          <w:tcPr>
            <w:tcW w:w="1869" w:type="pct"/>
            <w:noWrap/>
          </w:tcPr>
          <w:p w14:paraId="37E3303D">
            <w:pPr>
              <w:spacing w:after="0" w:line="240" w:lineRule="auto"/>
              <w:jc w:val="both"/>
              <w:rPr>
                <w:rFonts w:asciiTheme="majorBidi" w:hAnsiTheme="majorBidi" w:cstheme="majorBidi"/>
                <w:sz w:val="24"/>
                <w:szCs w:val="24"/>
              </w:rPr>
            </w:pPr>
          </w:p>
        </w:tc>
        <w:tc>
          <w:tcPr>
            <w:tcW w:w="1247" w:type="pct"/>
            <w:noWrap/>
          </w:tcPr>
          <w:p w14:paraId="21BE6F80">
            <w:pPr>
              <w:spacing w:after="0" w:line="240" w:lineRule="auto"/>
              <w:jc w:val="both"/>
              <w:rPr>
                <w:rFonts w:asciiTheme="majorBidi" w:hAnsiTheme="majorBidi" w:cstheme="majorBidi"/>
                <w:sz w:val="24"/>
                <w:szCs w:val="24"/>
              </w:rPr>
            </w:pPr>
          </w:p>
        </w:tc>
      </w:tr>
      <w:tr w14:paraId="5F6D05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1B0F30B1">
            <w:pPr>
              <w:spacing w:after="0" w:line="240" w:lineRule="auto"/>
              <w:jc w:val="both"/>
              <w:rPr>
                <w:rFonts w:asciiTheme="majorBidi" w:hAnsiTheme="majorBidi" w:cstheme="majorBidi"/>
                <w:sz w:val="24"/>
                <w:szCs w:val="24"/>
              </w:rPr>
            </w:pPr>
            <w:r>
              <w:rPr>
                <w:rFonts w:asciiTheme="majorBidi" w:hAnsiTheme="majorBidi" w:cstheme="majorBidi"/>
                <w:sz w:val="24"/>
                <w:szCs w:val="24"/>
              </w:rPr>
              <w:t>School category</w:t>
            </w:r>
          </w:p>
        </w:tc>
        <w:tc>
          <w:tcPr>
            <w:tcW w:w="1869" w:type="pct"/>
            <w:noWrap/>
          </w:tcPr>
          <w:p w14:paraId="30CBA5A8">
            <w:pPr>
              <w:spacing w:after="0" w:line="240" w:lineRule="auto"/>
              <w:jc w:val="both"/>
              <w:rPr>
                <w:rFonts w:asciiTheme="majorBidi" w:hAnsiTheme="majorBidi" w:cstheme="majorBidi"/>
                <w:sz w:val="24"/>
                <w:szCs w:val="24"/>
              </w:rPr>
            </w:pPr>
            <w:r>
              <w:rPr>
                <w:rFonts w:asciiTheme="majorBidi" w:hAnsiTheme="majorBidi" w:cstheme="majorBidi"/>
                <w:sz w:val="24"/>
                <w:szCs w:val="24"/>
              </w:rPr>
              <w:t>Boys Boarding</w:t>
            </w:r>
          </w:p>
        </w:tc>
        <w:tc>
          <w:tcPr>
            <w:tcW w:w="1247" w:type="pct"/>
            <w:noWrap/>
          </w:tcPr>
          <w:p w14:paraId="0F9EF015">
            <w:pPr>
              <w:spacing w:after="0" w:line="240" w:lineRule="auto"/>
              <w:jc w:val="both"/>
              <w:rPr>
                <w:rFonts w:hint="default" w:asciiTheme="majorBidi" w:hAnsiTheme="majorBidi" w:cstheme="majorBidi"/>
                <w:sz w:val="24"/>
                <w:szCs w:val="24"/>
                <w:lang w:val="en-US"/>
              </w:rPr>
            </w:pPr>
            <w:r>
              <w:rPr>
                <w:rFonts w:asciiTheme="majorBidi" w:hAnsiTheme="majorBidi" w:cstheme="majorBidi"/>
                <w:sz w:val="24"/>
                <w:szCs w:val="24"/>
              </w:rPr>
              <w:t>13%</w:t>
            </w:r>
            <w:r>
              <w:rPr>
                <w:rFonts w:hint="default" w:asciiTheme="majorBidi" w:hAnsiTheme="majorBidi" w:cstheme="majorBidi"/>
                <w:sz w:val="24"/>
                <w:szCs w:val="24"/>
                <w:lang w:val="en-US"/>
              </w:rPr>
              <w:t xml:space="preserve"> bar graph would hav bn used</w:t>
            </w:r>
          </w:p>
        </w:tc>
      </w:tr>
      <w:tr w14:paraId="409604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746AC955">
            <w:pPr>
              <w:spacing w:after="0" w:line="240" w:lineRule="auto"/>
              <w:jc w:val="both"/>
              <w:rPr>
                <w:rFonts w:asciiTheme="majorBidi" w:hAnsiTheme="majorBidi" w:cstheme="majorBidi"/>
                <w:sz w:val="24"/>
                <w:szCs w:val="24"/>
              </w:rPr>
            </w:pPr>
          </w:p>
        </w:tc>
        <w:tc>
          <w:tcPr>
            <w:tcW w:w="1869" w:type="pct"/>
            <w:noWrap/>
          </w:tcPr>
          <w:p w14:paraId="3FBAB5DE">
            <w:pPr>
              <w:spacing w:after="0" w:line="240" w:lineRule="auto"/>
              <w:jc w:val="both"/>
              <w:rPr>
                <w:rFonts w:asciiTheme="majorBidi" w:hAnsiTheme="majorBidi" w:cstheme="majorBidi"/>
                <w:sz w:val="24"/>
                <w:szCs w:val="24"/>
              </w:rPr>
            </w:pPr>
            <w:r>
              <w:rPr>
                <w:rFonts w:asciiTheme="majorBidi" w:hAnsiTheme="majorBidi" w:cstheme="majorBidi"/>
                <w:sz w:val="24"/>
                <w:szCs w:val="24"/>
              </w:rPr>
              <w:t>Boys day</w:t>
            </w:r>
          </w:p>
        </w:tc>
        <w:tc>
          <w:tcPr>
            <w:tcW w:w="1247" w:type="pct"/>
            <w:noWrap/>
          </w:tcPr>
          <w:p w14:paraId="78DFE661">
            <w:pPr>
              <w:spacing w:after="0" w:line="240" w:lineRule="auto"/>
              <w:jc w:val="both"/>
              <w:rPr>
                <w:rFonts w:asciiTheme="majorBidi" w:hAnsiTheme="majorBidi" w:cstheme="majorBidi"/>
                <w:sz w:val="24"/>
                <w:szCs w:val="24"/>
              </w:rPr>
            </w:pPr>
            <w:r>
              <w:rPr>
                <w:rFonts w:asciiTheme="majorBidi" w:hAnsiTheme="majorBidi" w:cstheme="majorBidi"/>
                <w:sz w:val="24"/>
                <w:szCs w:val="24"/>
              </w:rPr>
              <w:t>17%</w:t>
            </w:r>
          </w:p>
        </w:tc>
      </w:tr>
      <w:tr w14:paraId="5C0C53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62B5D1C">
            <w:pPr>
              <w:spacing w:after="0" w:line="240" w:lineRule="auto"/>
              <w:jc w:val="both"/>
              <w:rPr>
                <w:rFonts w:asciiTheme="majorBidi" w:hAnsiTheme="majorBidi" w:cstheme="majorBidi"/>
                <w:sz w:val="24"/>
                <w:szCs w:val="24"/>
              </w:rPr>
            </w:pPr>
          </w:p>
        </w:tc>
        <w:tc>
          <w:tcPr>
            <w:tcW w:w="1869" w:type="pct"/>
            <w:noWrap/>
          </w:tcPr>
          <w:p w14:paraId="589FD370">
            <w:pPr>
              <w:spacing w:after="0" w:line="240" w:lineRule="auto"/>
              <w:jc w:val="both"/>
              <w:rPr>
                <w:rFonts w:asciiTheme="majorBidi" w:hAnsiTheme="majorBidi" w:cstheme="majorBidi"/>
                <w:sz w:val="24"/>
                <w:szCs w:val="24"/>
              </w:rPr>
            </w:pPr>
            <w:r>
              <w:rPr>
                <w:rFonts w:asciiTheme="majorBidi" w:hAnsiTheme="majorBidi" w:cstheme="majorBidi"/>
                <w:sz w:val="24"/>
                <w:szCs w:val="24"/>
              </w:rPr>
              <w:t>Girls boarding</w:t>
            </w:r>
          </w:p>
        </w:tc>
        <w:tc>
          <w:tcPr>
            <w:tcW w:w="1247" w:type="pct"/>
            <w:noWrap/>
          </w:tcPr>
          <w:p w14:paraId="067F487B">
            <w:pPr>
              <w:spacing w:after="0" w:line="240" w:lineRule="auto"/>
              <w:jc w:val="both"/>
              <w:rPr>
                <w:rFonts w:asciiTheme="majorBidi" w:hAnsiTheme="majorBidi" w:cstheme="majorBidi"/>
                <w:sz w:val="24"/>
                <w:szCs w:val="24"/>
              </w:rPr>
            </w:pPr>
            <w:r>
              <w:rPr>
                <w:rFonts w:asciiTheme="majorBidi" w:hAnsiTheme="majorBidi" w:cstheme="majorBidi"/>
                <w:sz w:val="24"/>
                <w:szCs w:val="24"/>
              </w:rPr>
              <w:t>13%</w:t>
            </w:r>
          </w:p>
        </w:tc>
      </w:tr>
      <w:tr w14:paraId="265C82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FED2866">
            <w:pPr>
              <w:spacing w:after="0" w:line="240" w:lineRule="auto"/>
              <w:jc w:val="both"/>
              <w:rPr>
                <w:rFonts w:asciiTheme="majorBidi" w:hAnsiTheme="majorBidi" w:cstheme="majorBidi"/>
                <w:sz w:val="24"/>
                <w:szCs w:val="24"/>
              </w:rPr>
            </w:pPr>
          </w:p>
        </w:tc>
        <w:tc>
          <w:tcPr>
            <w:tcW w:w="1869" w:type="pct"/>
            <w:noWrap/>
          </w:tcPr>
          <w:p w14:paraId="2833C066">
            <w:pPr>
              <w:spacing w:after="0" w:line="240" w:lineRule="auto"/>
              <w:jc w:val="both"/>
              <w:rPr>
                <w:rFonts w:asciiTheme="majorBidi" w:hAnsiTheme="majorBidi" w:cstheme="majorBidi"/>
                <w:sz w:val="24"/>
                <w:szCs w:val="24"/>
              </w:rPr>
            </w:pPr>
            <w:r>
              <w:rPr>
                <w:rFonts w:asciiTheme="majorBidi" w:hAnsiTheme="majorBidi" w:cstheme="majorBidi"/>
                <w:sz w:val="24"/>
                <w:szCs w:val="24"/>
              </w:rPr>
              <w:t>Girls day</w:t>
            </w:r>
          </w:p>
        </w:tc>
        <w:tc>
          <w:tcPr>
            <w:tcW w:w="1247" w:type="pct"/>
            <w:noWrap/>
          </w:tcPr>
          <w:p w14:paraId="6468DFBF">
            <w:pPr>
              <w:spacing w:after="0" w:line="240" w:lineRule="auto"/>
              <w:jc w:val="both"/>
              <w:rPr>
                <w:rFonts w:asciiTheme="majorBidi" w:hAnsiTheme="majorBidi" w:cstheme="majorBidi"/>
                <w:sz w:val="24"/>
                <w:szCs w:val="24"/>
              </w:rPr>
            </w:pPr>
            <w:r>
              <w:rPr>
                <w:rFonts w:asciiTheme="majorBidi" w:hAnsiTheme="majorBidi" w:cstheme="majorBidi"/>
                <w:sz w:val="24"/>
                <w:szCs w:val="24"/>
              </w:rPr>
              <w:t>21%</w:t>
            </w:r>
          </w:p>
        </w:tc>
      </w:tr>
      <w:tr w14:paraId="54F535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45FF6444">
            <w:pPr>
              <w:spacing w:after="0" w:line="240" w:lineRule="auto"/>
              <w:jc w:val="both"/>
              <w:rPr>
                <w:rFonts w:asciiTheme="majorBidi" w:hAnsiTheme="majorBidi" w:cstheme="majorBidi"/>
                <w:sz w:val="24"/>
                <w:szCs w:val="24"/>
              </w:rPr>
            </w:pPr>
          </w:p>
        </w:tc>
        <w:tc>
          <w:tcPr>
            <w:tcW w:w="1869" w:type="pct"/>
            <w:noWrap/>
          </w:tcPr>
          <w:p w14:paraId="71B6698E">
            <w:pPr>
              <w:spacing w:after="0" w:line="240" w:lineRule="auto"/>
              <w:jc w:val="both"/>
              <w:rPr>
                <w:rFonts w:asciiTheme="majorBidi" w:hAnsiTheme="majorBidi" w:cstheme="majorBidi"/>
                <w:sz w:val="24"/>
                <w:szCs w:val="24"/>
              </w:rPr>
            </w:pPr>
            <w:r>
              <w:rPr>
                <w:rFonts w:asciiTheme="majorBidi" w:hAnsiTheme="majorBidi" w:cstheme="majorBidi"/>
                <w:sz w:val="24"/>
                <w:szCs w:val="24"/>
              </w:rPr>
              <w:t>Mixed boarding</w:t>
            </w:r>
          </w:p>
        </w:tc>
        <w:tc>
          <w:tcPr>
            <w:tcW w:w="1247" w:type="pct"/>
            <w:noWrap/>
          </w:tcPr>
          <w:p w14:paraId="7DFC5927">
            <w:pPr>
              <w:spacing w:after="0" w:line="240" w:lineRule="auto"/>
              <w:jc w:val="both"/>
              <w:rPr>
                <w:rFonts w:asciiTheme="majorBidi" w:hAnsiTheme="majorBidi" w:cstheme="majorBidi"/>
                <w:sz w:val="24"/>
                <w:szCs w:val="24"/>
              </w:rPr>
            </w:pPr>
            <w:r>
              <w:rPr>
                <w:rFonts w:asciiTheme="majorBidi" w:hAnsiTheme="majorBidi" w:cstheme="majorBidi"/>
                <w:sz w:val="24"/>
                <w:szCs w:val="24"/>
              </w:rPr>
              <w:t>7%</w:t>
            </w:r>
          </w:p>
        </w:tc>
      </w:tr>
      <w:tr w14:paraId="0C81B2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DFF9A11">
            <w:pPr>
              <w:spacing w:after="0" w:line="240" w:lineRule="auto"/>
              <w:jc w:val="both"/>
              <w:rPr>
                <w:rFonts w:asciiTheme="majorBidi" w:hAnsiTheme="majorBidi" w:cstheme="majorBidi"/>
                <w:sz w:val="24"/>
                <w:szCs w:val="24"/>
              </w:rPr>
            </w:pPr>
          </w:p>
        </w:tc>
        <w:tc>
          <w:tcPr>
            <w:tcW w:w="1869" w:type="pct"/>
            <w:noWrap/>
          </w:tcPr>
          <w:p w14:paraId="31C6602F">
            <w:pPr>
              <w:spacing w:after="0" w:line="240" w:lineRule="auto"/>
              <w:jc w:val="both"/>
              <w:rPr>
                <w:rFonts w:asciiTheme="majorBidi" w:hAnsiTheme="majorBidi" w:cstheme="majorBidi"/>
                <w:sz w:val="24"/>
                <w:szCs w:val="24"/>
              </w:rPr>
            </w:pPr>
            <w:r>
              <w:rPr>
                <w:rFonts w:asciiTheme="majorBidi" w:hAnsiTheme="majorBidi" w:cstheme="majorBidi"/>
                <w:sz w:val="24"/>
                <w:szCs w:val="24"/>
              </w:rPr>
              <w:t>Mixed day</w:t>
            </w:r>
          </w:p>
        </w:tc>
        <w:tc>
          <w:tcPr>
            <w:tcW w:w="1247" w:type="pct"/>
            <w:noWrap/>
          </w:tcPr>
          <w:p w14:paraId="2264B508">
            <w:pPr>
              <w:spacing w:after="0" w:line="240" w:lineRule="auto"/>
              <w:jc w:val="both"/>
              <w:rPr>
                <w:rFonts w:asciiTheme="majorBidi" w:hAnsiTheme="majorBidi" w:cstheme="majorBidi"/>
                <w:sz w:val="24"/>
                <w:szCs w:val="24"/>
              </w:rPr>
            </w:pPr>
            <w:r>
              <w:rPr>
                <w:rFonts w:asciiTheme="majorBidi" w:hAnsiTheme="majorBidi" w:cstheme="majorBidi"/>
                <w:sz w:val="24"/>
                <w:szCs w:val="24"/>
              </w:rPr>
              <w:t>29%</w:t>
            </w:r>
          </w:p>
        </w:tc>
      </w:tr>
    </w:tbl>
    <w:p w14:paraId="669A39C7">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5A7792F">
      <w:pPr>
        <w:pStyle w:val="2"/>
        <w:numPr>
          <w:ilvl w:val="1"/>
          <w:numId w:val="20"/>
        </w:numPr>
        <w:spacing w:after="240"/>
        <w:ind w:left="1080" w:hanging="720"/>
        <w:rPr>
          <w:rFonts w:asciiTheme="majorBidi" w:hAnsiTheme="majorBidi"/>
          <w:color w:val="auto"/>
          <w:sz w:val="24"/>
          <w:szCs w:val="24"/>
        </w:rPr>
      </w:pPr>
      <w:bookmarkStart w:id="185" w:name="_Toc194822646"/>
      <w:r>
        <w:rPr>
          <w:rFonts w:asciiTheme="majorBidi" w:hAnsiTheme="majorBidi"/>
          <w:color w:val="auto"/>
          <w:sz w:val="24"/>
          <w:szCs w:val="24"/>
        </w:rPr>
        <w:t>Analysis, Presentation and Interpretation of Results</w:t>
      </w:r>
      <w:bookmarkEnd w:id="185"/>
      <w:r>
        <w:rPr>
          <w:rFonts w:hint="default" w:asciiTheme="majorBidi" w:hAnsiTheme="majorBidi"/>
          <w:color w:val="auto"/>
          <w:sz w:val="24"/>
          <w:szCs w:val="24"/>
          <w:lang w:val="en-US"/>
        </w:rPr>
        <w:t>-----</w:t>
      </w:r>
      <w:r>
        <w:rPr>
          <w:rFonts w:hint="default" w:asciiTheme="majorBidi" w:hAnsiTheme="majorBidi"/>
          <w:color w:val="C00000"/>
          <w:sz w:val="24"/>
          <w:szCs w:val="24"/>
          <w:lang w:val="en-US"/>
        </w:rPr>
        <w:t>-main objectives</w:t>
      </w:r>
    </w:p>
    <w:p w14:paraId="44E0DD83">
      <w:pPr>
        <w:spacing w:line="480" w:lineRule="auto"/>
        <w:jc w:val="both"/>
        <w:rPr>
          <w:rFonts w:asciiTheme="majorBidi" w:hAnsiTheme="majorBidi" w:cstheme="majorBidi"/>
          <w:sz w:val="24"/>
          <w:szCs w:val="24"/>
        </w:rPr>
      </w:pPr>
      <w:r>
        <w:rPr>
          <w:rFonts w:asciiTheme="majorBidi" w:hAnsiTheme="majorBidi" w:cstheme="majorBidi"/>
          <w:sz w:val="24"/>
          <w:szCs w:val="24"/>
        </w:rPr>
        <w:t>This section presents the results of the study. The main objective of the study was to investigate the determinants academic integrity and examination malpractices in secondary schools at Garissa Township sub county, Kenya. The main variables in the study were; peer pressure, parent involvement, perceived benefits, teaching approach, syllabus coverage and social media use. The dependent variable of the study was level of examination malpractices of KCSE examinations. The variables were computed from Likert scale statements which the respondents rated the extent to which they agreed with the statements. Descriptive analysis including percentages, mean and standard deviation were used to analyze the perceptions of the students and teachers. On the other hand, Pierson correlation coefficient was used to describe the relationship between the independent and dependent variables. The p value associated with the coefficient was used to make a conclusion on the study hypotheses. The following sections presents the results according to the study variables and hypotheses.</w:t>
      </w:r>
    </w:p>
    <w:p w14:paraId="44B8AEC7">
      <w:pPr>
        <w:pStyle w:val="2"/>
        <w:numPr>
          <w:ilvl w:val="2"/>
          <w:numId w:val="20"/>
        </w:numPr>
        <w:spacing w:after="240"/>
        <w:rPr>
          <w:rFonts w:asciiTheme="majorBidi" w:hAnsiTheme="majorBidi"/>
          <w:color w:val="auto"/>
          <w:sz w:val="24"/>
          <w:szCs w:val="24"/>
        </w:rPr>
      </w:pPr>
      <w:bookmarkStart w:id="186" w:name="_Toc164927746"/>
      <w:bookmarkStart w:id="187" w:name="_Toc194822647"/>
      <w:r>
        <w:rPr>
          <w:rFonts w:asciiTheme="majorBidi" w:hAnsiTheme="majorBidi"/>
          <w:color w:val="auto"/>
          <w:sz w:val="24"/>
          <w:szCs w:val="24"/>
        </w:rPr>
        <w:t>Peer Pressure</w:t>
      </w:r>
      <w:bookmarkEnd w:id="186"/>
      <w:r>
        <w:rPr>
          <w:rFonts w:asciiTheme="majorBidi" w:hAnsiTheme="majorBidi"/>
          <w:color w:val="auto"/>
          <w:sz w:val="24"/>
          <w:szCs w:val="24"/>
        </w:rPr>
        <w:t xml:space="preserve"> and Level of Exam Malpractices in KCSE</w:t>
      </w:r>
      <w:bookmarkEnd w:id="187"/>
      <w:r>
        <w:rPr>
          <w:rFonts w:hint="default" w:asciiTheme="majorBidi" w:hAnsiTheme="majorBidi"/>
          <w:color w:val="auto"/>
          <w:sz w:val="24"/>
          <w:szCs w:val="24"/>
          <w:lang w:val="en-US"/>
        </w:rPr>
        <w:t>……………….</w:t>
      </w:r>
      <w:r>
        <w:rPr>
          <w:rFonts w:hint="default" w:asciiTheme="majorBidi" w:hAnsiTheme="majorBidi"/>
          <w:color w:val="C00000"/>
          <w:sz w:val="24"/>
          <w:szCs w:val="24"/>
          <w:lang w:val="en-US"/>
        </w:rPr>
        <w:t>objective 1</w:t>
      </w:r>
    </w:p>
    <w:p w14:paraId="400B425A">
      <w:pPr>
        <w:spacing w:line="480" w:lineRule="auto"/>
        <w:jc w:val="both"/>
        <w:rPr>
          <w:rFonts w:asciiTheme="majorBidi" w:hAnsiTheme="majorBidi" w:cstheme="majorBidi"/>
          <w:sz w:val="24"/>
          <w:szCs w:val="24"/>
        </w:rPr>
      </w:pPr>
      <w:r>
        <w:rPr>
          <w:rFonts w:asciiTheme="majorBidi" w:hAnsiTheme="majorBidi" w:cstheme="majorBidi"/>
          <w:sz w:val="24"/>
          <w:szCs w:val="24"/>
        </w:rPr>
        <w:t>The first objective of the study was to investigate the relationship between peer pressure and the level of academic integrity and examination malpractices in secondary schools in Garissa Township Sub County Kenya. Questionnaires were distributed to teachers and students in 11 high schools within Garissa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5 and 6 present the summary of the responses.</w:t>
      </w:r>
    </w:p>
    <w:p w14:paraId="0AFD56E8">
      <w:pPr>
        <w:spacing w:line="480" w:lineRule="auto"/>
        <w:jc w:val="both"/>
        <w:rPr>
          <w:rFonts w:asciiTheme="majorBidi" w:hAnsiTheme="majorBidi" w:cstheme="majorBidi"/>
          <w:sz w:val="24"/>
          <w:szCs w:val="24"/>
        </w:rPr>
      </w:pPr>
    </w:p>
    <w:p w14:paraId="33FBC9EA">
      <w:pPr>
        <w:spacing w:line="480" w:lineRule="auto"/>
        <w:jc w:val="both"/>
        <w:rPr>
          <w:rFonts w:asciiTheme="majorBidi" w:hAnsiTheme="majorBidi" w:cstheme="majorBidi"/>
          <w:sz w:val="24"/>
          <w:szCs w:val="24"/>
        </w:rPr>
      </w:pPr>
    </w:p>
    <w:p w14:paraId="5D7DE25C">
      <w:pPr>
        <w:spacing w:line="480" w:lineRule="auto"/>
        <w:jc w:val="both"/>
        <w:rPr>
          <w:rFonts w:asciiTheme="majorBidi" w:hAnsiTheme="majorBidi" w:cstheme="majorBidi"/>
          <w:sz w:val="24"/>
          <w:szCs w:val="24"/>
        </w:rPr>
      </w:pPr>
    </w:p>
    <w:p w14:paraId="17370E58">
      <w:pPr>
        <w:spacing w:line="480" w:lineRule="auto"/>
        <w:jc w:val="both"/>
        <w:rPr>
          <w:rFonts w:asciiTheme="majorBidi" w:hAnsiTheme="majorBidi" w:cstheme="majorBidi"/>
          <w:sz w:val="24"/>
          <w:szCs w:val="24"/>
        </w:rPr>
      </w:pPr>
    </w:p>
    <w:p w14:paraId="74774552">
      <w:pPr>
        <w:pStyle w:val="2"/>
        <w:spacing w:line="480" w:lineRule="auto"/>
        <w:rPr>
          <w:rFonts w:asciiTheme="majorBidi" w:hAnsiTheme="majorBidi"/>
          <w:b w:val="0"/>
          <w:bCs w:val="0"/>
          <w:color w:val="auto"/>
          <w:sz w:val="24"/>
          <w:szCs w:val="24"/>
        </w:rPr>
      </w:pPr>
      <w:bookmarkStart w:id="188" w:name="_Toc194822648"/>
      <w:bookmarkStart w:id="189" w:name="_Toc194769928"/>
      <w:r>
        <w:rPr>
          <w:rFonts w:asciiTheme="majorBidi" w:hAnsiTheme="majorBidi"/>
          <w:b w:val="0"/>
          <w:bCs w:val="0"/>
          <w:color w:val="auto"/>
          <w:sz w:val="24"/>
          <w:szCs w:val="24"/>
        </w:rPr>
        <w:t>Table 5:</w:t>
      </w:r>
      <w:bookmarkEnd w:id="188"/>
      <w:bookmarkEnd w:id="189"/>
    </w:p>
    <w:p w14:paraId="1DAD51BE">
      <w:pPr>
        <w:pStyle w:val="2"/>
        <w:spacing w:before="0" w:line="480" w:lineRule="auto"/>
        <w:rPr>
          <w:rFonts w:asciiTheme="majorBidi" w:hAnsiTheme="majorBidi"/>
          <w:b w:val="0"/>
          <w:bCs w:val="0"/>
          <w:color w:val="auto"/>
          <w:sz w:val="24"/>
          <w:szCs w:val="24"/>
        </w:rPr>
      </w:pPr>
      <w:bookmarkStart w:id="190" w:name="_Toc194769929"/>
      <w:bookmarkStart w:id="191" w:name="_Toc194822649"/>
      <w:r>
        <w:rPr>
          <w:rFonts w:asciiTheme="majorBidi" w:hAnsiTheme="majorBidi"/>
          <w:b w:val="0"/>
          <w:bCs w:val="0"/>
          <w:i/>
          <w:iCs/>
          <w:color w:val="auto"/>
          <w:sz w:val="24"/>
          <w:szCs w:val="24"/>
        </w:rPr>
        <w:t>Descriptive analysis on peer pressure and level of exam malpractices in KCSE</w:t>
      </w:r>
      <w:bookmarkEnd w:id="190"/>
      <w:bookmarkEnd w:id="191"/>
    </w:p>
    <w:tbl>
      <w:tblPr>
        <w:tblStyle w:val="20"/>
        <w:tblW w:w="954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90"/>
        <w:gridCol w:w="900"/>
        <w:gridCol w:w="900"/>
        <w:gridCol w:w="900"/>
        <w:gridCol w:w="990"/>
        <w:gridCol w:w="1033"/>
        <w:gridCol w:w="1127"/>
      </w:tblGrid>
      <w:tr w14:paraId="6F16A4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tcBorders>
              <w:top w:val="single" w:color="auto" w:sz="4" w:space="0"/>
              <w:bottom w:val="single" w:color="auto" w:sz="4" w:space="0"/>
            </w:tcBorders>
            <w:noWrap/>
          </w:tcPr>
          <w:p w14:paraId="1D25A8A3">
            <w:pPr>
              <w:spacing w:after="0" w:line="480" w:lineRule="auto"/>
              <w:rPr>
                <w:rFonts w:asciiTheme="majorBidi" w:hAnsiTheme="majorBidi" w:cstheme="majorBidi"/>
                <w:b/>
                <w:bCs/>
                <w:sz w:val="24"/>
                <w:szCs w:val="24"/>
              </w:rPr>
            </w:pPr>
          </w:p>
        </w:tc>
        <w:tc>
          <w:tcPr>
            <w:tcW w:w="900" w:type="dxa"/>
            <w:tcBorders>
              <w:top w:val="single" w:color="auto" w:sz="4" w:space="0"/>
              <w:bottom w:val="single" w:color="auto" w:sz="4" w:space="0"/>
            </w:tcBorders>
          </w:tcPr>
          <w:p w14:paraId="5E467522">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900" w:type="dxa"/>
            <w:tcBorders>
              <w:top w:val="single" w:color="auto" w:sz="4" w:space="0"/>
              <w:bottom w:val="single" w:color="auto" w:sz="4" w:space="0"/>
            </w:tcBorders>
            <w:noWrap/>
          </w:tcPr>
          <w:p w14:paraId="48C33B0C">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00" w:type="dxa"/>
            <w:tcBorders>
              <w:top w:val="single" w:color="auto" w:sz="4" w:space="0"/>
              <w:bottom w:val="single" w:color="auto" w:sz="4" w:space="0"/>
            </w:tcBorders>
            <w:noWrap/>
          </w:tcPr>
          <w:p w14:paraId="04BD204B">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90" w:type="dxa"/>
            <w:tcBorders>
              <w:top w:val="single" w:color="auto" w:sz="4" w:space="0"/>
              <w:bottom w:val="single" w:color="auto" w:sz="4" w:space="0"/>
            </w:tcBorders>
            <w:noWrap/>
          </w:tcPr>
          <w:p w14:paraId="668C840F">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1033" w:type="dxa"/>
            <w:tcBorders>
              <w:top w:val="single" w:color="auto" w:sz="4" w:space="0"/>
              <w:bottom w:val="single" w:color="auto" w:sz="4" w:space="0"/>
            </w:tcBorders>
            <w:noWrap/>
          </w:tcPr>
          <w:p w14:paraId="37B310BC">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1127" w:type="dxa"/>
            <w:tcBorders>
              <w:top w:val="single" w:color="auto" w:sz="4" w:space="0"/>
              <w:bottom w:val="single" w:color="auto" w:sz="4" w:space="0"/>
            </w:tcBorders>
            <w:noWrap/>
          </w:tcPr>
          <w:p w14:paraId="6B95DB9A">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691782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tcBorders>
              <w:top w:val="single" w:color="auto" w:sz="4" w:space="0"/>
            </w:tcBorders>
            <w:noWrap/>
          </w:tcPr>
          <w:p w14:paraId="52C2B772">
            <w:pPr>
              <w:spacing w:after="0" w:line="480" w:lineRule="auto"/>
              <w:rPr>
                <w:rFonts w:asciiTheme="majorBidi" w:hAnsiTheme="majorBidi" w:cstheme="majorBidi"/>
                <w:sz w:val="24"/>
                <w:szCs w:val="24"/>
              </w:rPr>
            </w:pPr>
            <w:r>
              <w:rPr>
                <w:rFonts w:asciiTheme="majorBidi" w:hAnsiTheme="majorBidi" w:cstheme="majorBidi"/>
                <w:sz w:val="24"/>
                <w:szCs w:val="24"/>
              </w:rPr>
              <w:t>Peer influence contributes to academic misconduct, including cheating in exams.</w:t>
            </w:r>
          </w:p>
        </w:tc>
        <w:tc>
          <w:tcPr>
            <w:tcW w:w="900" w:type="dxa"/>
            <w:tcBorders>
              <w:top w:val="single" w:color="auto" w:sz="4" w:space="0"/>
            </w:tcBorders>
          </w:tcPr>
          <w:p w14:paraId="7337426E">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tcBorders>
              <w:top w:val="single" w:color="auto" w:sz="4" w:space="0"/>
            </w:tcBorders>
            <w:noWrap/>
          </w:tcPr>
          <w:p w14:paraId="13048109">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00" w:type="dxa"/>
            <w:tcBorders>
              <w:top w:val="single" w:color="auto" w:sz="4" w:space="0"/>
            </w:tcBorders>
            <w:noWrap/>
          </w:tcPr>
          <w:p w14:paraId="2ED6E9F9">
            <w:pPr>
              <w:spacing w:after="0" w:line="480" w:lineRule="auto"/>
              <w:jc w:val="both"/>
              <w:rPr>
                <w:rFonts w:asciiTheme="majorBidi" w:hAnsiTheme="majorBidi" w:cstheme="majorBidi"/>
                <w:sz w:val="24"/>
                <w:szCs w:val="24"/>
              </w:rPr>
            </w:pPr>
            <w:r>
              <w:rPr>
                <w:rFonts w:asciiTheme="majorBidi" w:hAnsiTheme="majorBidi" w:cstheme="majorBidi"/>
                <w:sz w:val="24"/>
                <w:szCs w:val="24"/>
              </w:rPr>
              <w:t>2.30%</w:t>
            </w:r>
          </w:p>
        </w:tc>
        <w:tc>
          <w:tcPr>
            <w:tcW w:w="990" w:type="dxa"/>
            <w:tcBorders>
              <w:top w:val="single" w:color="auto" w:sz="4" w:space="0"/>
            </w:tcBorders>
            <w:noWrap/>
          </w:tcPr>
          <w:p w14:paraId="05DAB5AD">
            <w:pPr>
              <w:spacing w:after="0" w:line="480" w:lineRule="auto"/>
              <w:jc w:val="both"/>
              <w:rPr>
                <w:rFonts w:asciiTheme="majorBidi" w:hAnsiTheme="majorBidi" w:cstheme="majorBidi"/>
                <w:sz w:val="24"/>
                <w:szCs w:val="24"/>
              </w:rPr>
            </w:pPr>
            <w:r>
              <w:rPr>
                <w:rFonts w:asciiTheme="majorBidi" w:hAnsiTheme="majorBidi" w:cstheme="majorBidi"/>
                <w:sz w:val="24"/>
                <w:szCs w:val="24"/>
              </w:rPr>
              <w:t>12.50%</w:t>
            </w:r>
          </w:p>
        </w:tc>
        <w:tc>
          <w:tcPr>
            <w:tcW w:w="1033" w:type="dxa"/>
            <w:tcBorders>
              <w:top w:val="single" w:color="auto" w:sz="4" w:space="0"/>
            </w:tcBorders>
            <w:noWrap/>
          </w:tcPr>
          <w:p w14:paraId="32785483">
            <w:pPr>
              <w:spacing w:after="0" w:line="480" w:lineRule="auto"/>
              <w:jc w:val="both"/>
              <w:rPr>
                <w:rFonts w:asciiTheme="majorBidi" w:hAnsiTheme="majorBidi" w:cstheme="majorBidi"/>
                <w:sz w:val="24"/>
                <w:szCs w:val="24"/>
              </w:rPr>
            </w:pPr>
            <w:r>
              <w:rPr>
                <w:rFonts w:asciiTheme="majorBidi" w:hAnsiTheme="majorBidi" w:cstheme="majorBidi"/>
                <w:sz w:val="24"/>
                <w:szCs w:val="24"/>
              </w:rPr>
              <w:t>46.10%</w:t>
            </w:r>
          </w:p>
        </w:tc>
        <w:tc>
          <w:tcPr>
            <w:tcW w:w="1127" w:type="dxa"/>
            <w:tcBorders>
              <w:top w:val="single" w:color="auto" w:sz="4" w:space="0"/>
            </w:tcBorders>
            <w:noWrap/>
          </w:tcPr>
          <w:p w14:paraId="4D4EF4F0">
            <w:pPr>
              <w:spacing w:after="0" w:line="480" w:lineRule="auto"/>
              <w:jc w:val="both"/>
              <w:rPr>
                <w:rFonts w:asciiTheme="majorBidi" w:hAnsiTheme="majorBidi" w:cstheme="majorBidi"/>
                <w:sz w:val="24"/>
                <w:szCs w:val="24"/>
              </w:rPr>
            </w:pPr>
            <w:r>
              <w:rPr>
                <w:rFonts w:asciiTheme="majorBidi" w:hAnsiTheme="majorBidi" w:cstheme="majorBidi"/>
                <w:sz w:val="24"/>
                <w:szCs w:val="24"/>
              </w:rPr>
              <w:t>39.10%</w:t>
            </w:r>
          </w:p>
        </w:tc>
      </w:tr>
      <w:tr w14:paraId="03FADD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45FF678C">
            <w:pPr>
              <w:spacing w:after="0" w:line="480" w:lineRule="auto"/>
              <w:rPr>
                <w:rFonts w:asciiTheme="majorBidi" w:hAnsiTheme="majorBidi" w:cstheme="majorBidi"/>
                <w:sz w:val="24"/>
                <w:szCs w:val="24"/>
              </w:rPr>
            </w:pPr>
            <w:r>
              <w:rPr>
                <w:rFonts w:asciiTheme="majorBidi" w:hAnsiTheme="majorBidi" w:cstheme="majorBidi"/>
                <w:sz w:val="24"/>
                <w:szCs w:val="24"/>
              </w:rPr>
              <w:t>Positive peer influence can be used to deter cheating in exams.</w:t>
            </w:r>
          </w:p>
        </w:tc>
        <w:tc>
          <w:tcPr>
            <w:tcW w:w="900" w:type="dxa"/>
          </w:tcPr>
          <w:p w14:paraId="53D84BD1">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72344C5C">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00" w:type="dxa"/>
            <w:noWrap/>
          </w:tcPr>
          <w:p w14:paraId="5B6251D7">
            <w:pPr>
              <w:spacing w:after="0" w:line="480" w:lineRule="auto"/>
              <w:jc w:val="both"/>
              <w:rPr>
                <w:rFonts w:asciiTheme="majorBidi" w:hAnsiTheme="majorBidi" w:cstheme="majorBidi"/>
                <w:sz w:val="24"/>
                <w:szCs w:val="24"/>
              </w:rPr>
            </w:pPr>
            <w:r>
              <w:rPr>
                <w:rFonts w:asciiTheme="majorBidi" w:hAnsiTheme="majorBidi" w:cstheme="majorBidi"/>
                <w:sz w:val="24"/>
                <w:szCs w:val="24"/>
              </w:rPr>
              <w:t>1.60%</w:t>
            </w:r>
          </w:p>
        </w:tc>
        <w:tc>
          <w:tcPr>
            <w:tcW w:w="990" w:type="dxa"/>
            <w:noWrap/>
          </w:tcPr>
          <w:p w14:paraId="65EA9F03">
            <w:pPr>
              <w:spacing w:after="0" w:line="480" w:lineRule="auto"/>
              <w:jc w:val="both"/>
              <w:rPr>
                <w:rFonts w:asciiTheme="majorBidi" w:hAnsiTheme="majorBidi" w:cstheme="majorBidi"/>
                <w:sz w:val="24"/>
                <w:szCs w:val="24"/>
              </w:rPr>
            </w:pPr>
            <w:r>
              <w:rPr>
                <w:rFonts w:asciiTheme="majorBidi" w:hAnsiTheme="majorBidi" w:cstheme="majorBidi"/>
                <w:sz w:val="24"/>
                <w:szCs w:val="24"/>
              </w:rPr>
              <w:t>10.90%</w:t>
            </w:r>
          </w:p>
        </w:tc>
        <w:tc>
          <w:tcPr>
            <w:tcW w:w="1033" w:type="dxa"/>
            <w:noWrap/>
          </w:tcPr>
          <w:p w14:paraId="74E3243B">
            <w:pPr>
              <w:spacing w:after="0" w:line="480" w:lineRule="auto"/>
              <w:jc w:val="both"/>
              <w:rPr>
                <w:rFonts w:asciiTheme="majorBidi" w:hAnsiTheme="majorBidi" w:cstheme="majorBidi"/>
                <w:sz w:val="24"/>
                <w:szCs w:val="24"/>
              </w:rPr>
            </w:pPr>
            <w:r>
              <w:rPr>
                <w:rFonts w:asciiTheme="majorBidi" w:hAnsiTheme="majorBidi" w:cstheme="majorBidi"/>
                <w:sz w:val="24"/>
                <w:szCs w:val="24"/>
              </w:rPr>
              <w:t>62.50%</w:t>
            </w:r>
          </w:p>
        </w:tc>
        <w:tc>
          <w:tcPr>
            <w:tcW w:w="1127" w:type="dxa"/>
            <w:noWrap/>
          </w:tcPr>
          <w:p w14:paraId="48F1EC16">
            <w:pPr>
              <w:spacing w:after="0" w:line="480" w:lineRule="auto"/>
              <w:jc w:val="both"/>
              <w:rPr>
                <w:rFonts w:asciiTheme="majorBidi" w:hAnsiTheme="majorBidi" w:cstheme="majorBidi"/>
                <w:sz w:val="24"/>
                <w:szCs w:val="24"/>
              </w:rPr>
            </w:pPr>
            <w:r>
              <w:rPr>
                <w:rFonts w:asciiTheme="majorBidi" w:hAnsiTheme="majorBidi" w:cstheme="majorBidi"/>
                <w:sz w:val="24"/>
                <w:szCs w:val="24"/>
              </w:rPr>
              <w:t>25.00%</w:t>
            </w:r>
          </w:p>
        </w:tc>
      </w:tr>
      <w:tr w14:paraId="72E98D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4A044212">
            <w:pPr>
              <w:spacing w:after="0" w:line="480" w:lineRule="auto"/>
              <w:rPr>
                <w:rFonts w:asciiTheme="majorBidi" w:hAnsiTheme="majorBidi" w:cstheme="majorBidi"/>
                <w:sz w:val="24"/>
                <w:szCs w:val="24"/>
              </w:rPr>
            </w:pPr>
            <w:r>
              <w:rPr>
                <w:rFonts w:asciiTheme="majorBidi" w:hAnsiTheme="majorBidi" w:cstheme="majorBidi"/>
                <w:sz w:val="24"/>
                <w:szCs w:val="24"/>
              </w:rPr>
              <w:t>Positive peer influence can be harnessed to develop intervention strategies on academic integrity.</w:t>
            </w:r>
          </w:p>
        </w:tc>
        <w:tc>
          <w:tcPr>
            <w:tcW w:w="900" w:type="dxa"/>
          </w:tcPr>
          <w:p w14:paraId="029009F5">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206778E5">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00" w:type="dxa"/>
            <w:noWrap/>
          </w:tcPr>
          <w:p w14:paraId="3C95A030">
            <w:pPr>
              <w:spacing w:after="0" w:line="480" w:lineRule="auto"/>
              <w:jc w:val="both"/>
              <w:rPr>
                <w:rFonts w:asciiTheme="majorBidi" w:hAnsiTheme="majorBidi" w:cstheme="majorBidi"/>
                <w:sz w:val="24"/>
                <w:szCs w:val="24"/>
              </w:rPr>
            </w:pPr>
            <w:r>
              <w:rPr>
                <w:rFonts w:asciiTheme="majorBidi" w:hAnsiTheme="majorBidi" w:cstheme="majorBidi"/>
                <w:sz w:val="24"/>
                <w:szCs w:val="24"/>
              </w:rPr>
              <w:t>2.30%</w:t>
            </w:r>
          </w:p>
        </w:tc>
        <w:tc>
          <w:tcPr>
            <w:tcW w:w="990" w:type="dxa"/>
            <w:noWrap/>
          </w:tcPr>
          <w:p w14:paraId="532F37B7">
            <w:pPr>
              <w:spacing w:after="0" w:line="480" w:lineRule="auto"/>
              <w:jc w:val="both"/>
              <w:rPr>
                <w:rFonts w:asciiTheme="majorBidi" w:hAnsiTheme="majorBidi" w:cstheme="majorBidi"/>
                <w:sz w:val="24"/>
                <w:szCs w:val="24"/>
              </w:rPr>
            </w:pPr>
            <w:r>
              <w:rPr>
                <w:rFonts w:asciiTheme="majorBidi" w:hAnsiTheme="majorBidi" w:cstheme="majorBidi"/>
                <w:sz w:val="24"/>
                <w:szCs w:val="24"/>
              </w:rPr>
              <w:t>20.30%</w:t>
            </w:r>
          </w:p>
        </w:tc>
        <w:tc>
          <w:tcPr>
            <w:tcW w:w="1033" w:type="dxa"/>
            <w:noWrap/>
          </w:tcPr>
          <w:p w14:paraId="55793EFF">
            <w:pPr>
              <w:spacing w:after="0" w:line="480" w:lineRule="auto"/>
              <w:jc w:val="both"/>
              <w:rPr>
                <w:rFonts w:asciiTheme="majorBidi" w:hAnsiTheme="majorBidi" w:cstheme="majorBidi"/>
                <w:sz w:val="24"/>
                <w:szCs w:val="24"/>
              </w:rPr>
            </w:pPr>
            <w:r>
              <w:rPr>
                <w:rFonts w:asciiTheme="majorBidi" w:hAnsiTheme="majorBidi" w:cstheme="majorBidi"/>
                <w:sz w:val="24"/>
                <w:szCs w:val="24"/>
              </w:rPr>
              <w:t>54.70%</w:t>
            </w:r>
          </w:p>
        </w:tc>
        <w:tc>
          <w:tcPr>
            <w:tcW w:w="1127" w:type="dxa"/>
            <w:noWrap/>
          </w:tcPr>
          <w:p w14:paraId="27729C79">
            <w:pPr>
              <w:spacing w:after="0" w:line="480" w:lineRule="auto"/>
              <w:jc w:val="both"/>
              <w:rPr>
                <w:rFonts w:asciiTheme="majorBidi" w:hAnsiTheme="majorBidi" w:cstheme="majorBidi"/>
                <w:sz w:val="24"/>
                <w:szCs w:val="24"/>
              </w:rPr>
            </w:pPr>
            <w:r>
              <w:rPr>
                <w:rFonts w:asciiTheme="majorBidi" w:hAnsiTheme="majorBidi" w:cstheme="majorBidi"/>
                <w:sz w:val="24"/>
                <w:szCs w:val="24"/>
              </w:rPr>
              <w:t>21.90%</w:t>
            </w:r>
          </w:p>
        </w:tc>
      </w:tr>
      <w:tr w14:paraId="5630D3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04EBDBEB">
            <w:pPr>
              <w:spacing w:after="0" w:line="480" w:lineRule="auto"/>
              <w:rPr>
                <w:rFonts w:asciiTheme="majorBidi" w:hAnsiTheme="majorBidi" w:cstheme="majorBidi"/>
                <w:sz w:val="24"/>
                <w:szCs w:val="24"/>
              </w:rPr>
            </w:pPr>
            <w:r>
              <w:rPr>
                <w:rFonts w:asciiTheme="majorBidi" w:hAnsiTheme="majorBidi" w:cstheme="majorBidi"/>
                <w:sz w:val="24"/>
                <w:szCs w:val="24"/>
              </w:rPr>
              <w:t>Changes in peer influence can be tracked throughout student's educational journey.</w:t>
            </w:r>
          </w:p>
        </w:tc>
        <w:tc>
          <w:tcPr>
            <w:tcW w:w="900" w:type="dxa"/>
          </w:tcPr>
          <w:p w14:paraId="601B0F6B">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67608C47">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00" w:type="dxa"/>
            <w:noWrap/>
          </w:tcPr>
          <w:p w14:paraId="7DF26BB0">
            <w:pPr>
              <w:spacing w:after="0" w:line="480" w:lineRule="auto"/>
              <w:jc w:val="both"/>
              <w:rPr>
                <w:rFonts w:asciiTheme="majorBidi" w:hAnsiTheme="majorBidi" w:cstheme="majorBidi"/>
                <w:sz w:val="24"/>
                <w:szCs w:val="24"/>
              </w:rPr>
            </w:pPr>
            <w:r>
              <w:rPr>
                <w:rFonts w:asciiTheme="majorBidi" w:hAnsiTheme="majorBidi" w:cstheme="majorBidi"/>
                <w:sz w:val="24"/>
                <w:szCs w:val="24"/>
              </w:rPr>
              <w:t>5.50%</w:t>
            </w:r>
          </w:p>
        </w:tc>
        <w:tc>
          <w:tcPr>
            <w:tcW w:w="990" w:type="dxa"/>
            <w:noWrap/>
          </w:tcPr>
          <w:p w14:paraId="581A2E5B">
            <w:pPr>
              <w:spacing w:after="0" w:line="480" w:lineRule="auto"/>
              <w:jc w:val="both"/>
              <w:rPr>
                <w:rFonts w:asciiTheme="majorBidi" w:hAnsiTheme="majorBidi" w:cstheme="majorBidi"/>
                <w:sz w:val="24"/>
                <w:szCs w:val="24"/>
              </w:rPr>
            </w:pPr>
            <w:r>
              <w:rPr>
                <w:rFonts w:asciiTheme="majorBidi" w:hAnsiTheme="majorBidi" w:cstheme="majorBidi"/>
                <w:sz w:val="24"/>
                <w:szCs w:val="24"/>
              </w:rPr>
              <w:t>24.20%</w:t>
            </w:r>
          </w:p>
        </w:tc>
        <w:tc>
          <w:tcPr>
            <w:tcW w:w="1033" w:type="dxa"/>
            <w:noWrap/>
          </w:tcPr>
          <w:p w14:paraId="7F7136CA">
            <w:pPr>
              <w:spacing w:after="0" w:line="480" w:lineRule="auto"/>
              <w:jc w:val="both"/>
              <w:rPr>
                <w:rFonts w:asciiTheme="majorBidi" w:hAnsiTheme="majorBidi" w:cstheme="majorBidi"/>
                <w:sz w:val="24"/>
                <w:szCs w:val="24"/>
              </w:rPr>
            </w:pPr>
            <w:r>
              <w:rPr>
                <w:rFonts w:asciiTheme="majorBidi" w:hAnsiTheme="majorBidi" w:cstheme="majorBidi"/>
                <w:sz w:val="24"/>
                <w:szCs w:val="24"/>
              </w:rPr>
              <w:t>49.20%</w:t>
            </w:r>
          </w:p>
        </w:tc>
        <w:tc>
          <w:tcPr>
            <w:tcW w:w="1127" w:type="dxa"/>
            <w:noWrap/>
          </w:tcPr>
          <w:p w14:paraId="354FEC81">
            <w:pPr>
              <w:spacing w:after="0" w:line="480" w:lineRule="auto"/>
              <w:jc w:val="both"/>
              <w:rPr>
                <w:rFonts w:asciiTheme="majorBidi" w:hAnsiTheme="majorBidi" w:cstheme="majorBidi"/>
                <w:sz w:val="24"/>
                <w:szCs w:val="24"/>
              </w:rPr>
            </w:pPr>
            <w:r>
              <w:rPr>
                <w:rFonts w:asciiTheme="majorBidi" w:hAnsiTheme="majorBidi" w:cstheme="majorBidi"/>
                <w:sz w:val="24"/>
                <w:szCs w:val="24"/>
              </w:rPr>
              <w:t>20.30%</w:t>
            </w:r>
          </w:p>
        </w:tc>
      </w:tr>
      <w:tr w14:paraId="0FC3A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2A3EF461">
            <w:pPr>
              <w:spacing w:after="0" w:line="480" w:lineRule="auto"/>
              <w:rPr>
                <w:rFonts w:asciiTheme="majorBidi" w:hAnsiTheme="majorBidi" w:cstheme="majorBidi"/>
                <w:sz w:val="24"/>
                <w:szCs w:val="24"/>
              </w:rPr>
            </w:pPr>
            <w:r>
              <w:rPr>
                <w:rFonts w:asciiTheme="majorBidi" w:hAnsiTheme="majorBidi" w:cstheme="majorBidi"/>
                <w:sz w:val="24"/>
                <w:szCs w:val="24"/>
              </w:rPr>
              <w:t>Students are more likely to cheat when they perceive their peers engaging in similar behaviors without consequences.</w:t>
            </w:r>
          </w:p>
        </w:tc>
        <w:tc>
          <w:tcPr>
            <w:tcW w:w="900" w:type="dxa"/>
          </w:tcPr>
          <w:p w14:paraId="63AE3D4C">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4C31F971">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00" w:type="dxa"/>
            <w:noWrap/>
          </w:tcPr>
          <w:p w14:paraId="343B337A">
            <w:pPr>
              <w:spacing w:after="0" w:line="480" w:lineRule="auto"/>
              <w:jc w:val="both"/>
              <w:rPr>
                <w:rFonts w:asciiTheme="majorBidi" w:hAnsiTheme="majorBidi" w:cstheme="majorBidi"/>
                <w:sz w:val="24"/>
                <w:szCs w:val="24"/>
              </w:rPr>
            </w:pPr>
            <w:r>
              <w:rPr>
                <w:rFonts w:asciiTheme="majorBidi" w:hAnsiTheme="majorBidi" w:cstheme="majorBidi"/>
                <w:sz w:val="24"/>
                <w:szCs w:val="24"/>
              </w:rPr>
              <w:t>3.10%</w:t>
            </w:r>
          </w:p>
        </w:tc>
        <w:tc>
          <w:tcPr>
            <w:tcW w:w="990" w:type="dxa"/>
            <w:noWrap/>
          </w:tcPr>
          <w:p w14:paraId="5E32977A">
            <w:pPr>
              <w:spacing w:after="0" w:line="480" w:lineRule="auto"/>
              <w:jc w:val="both"/>
              <w:rPr>
                <w:rFonts w:asciiTheme="majorBidi" w:hAnsiTheme="majorBidi" w:cstheme="majorBidi"/>
                <w:sz w:val="24"/>
                <w:szCs w:val="24"/>
              </w:rPr>
            </w:pPr>
            <w:r>
              <w:rPr>
                <w:rFonts w:asciiTheme="majorBidi" w:hAnsiTheme="majorBidi" w:cstheme="majorBidi"/>
                <w:sz w:val="24"/>
                <w:szCs w:val="24"/>
              </w:rPr>
              <w:t>24.20%</w:t>
            </w:r>
          </w:p>
        </w:tc>
        <w:tc>
          <w:tcPr>
            <w:tcW w:w="1033" w:type="dxa"/>
            <w:noWrap/>
          </w:tcPr>
          <w:p w14:paraId="55E9FA16">
            <w:pPr>
              <w:spacing w:after="0" w:line="480" w:lineRule="auto"/>
              <w:jc w:val="both"/>
              <w:rPr>
                <w:rFonts w:asciiTheme="majorBidi" w:hAnsiTheme="majorBidi" w:cstheme="majorBidi"/>
                <w:sz w:val="24"/>
                <w:szCs w:val="24"/>
              </w:rPr>
            </w:pPr>
            <w:r>
              <w:rPr>
                <w:rFonts w:asciiTheme="majorBidi" w:hAnsiTheme="majorBidi" w:cstheme="majorBidi"/>
                <w:sz w:val="24"/>
                <w:szCs w:val="24"/>
              </w:rPr>
              <w:t>53.10%</w:t>
            </w:r>
          </w:p>
        </w:tc>
        <w:tc>
          <w:tcPr>
            <w:tcW w:w="1127" w:type="dxa"/>
            <w:noWrap/>
          </w:tcPr>
          <w:p w14:paraId="0C2C04DF">
            <w:pPr>
              <w:spacing w:after="0" w:line="480" w:lineRule="auto"/>
              <w:jc w:val="both"/>
              <w:rPr>
                <w:rFonts w:asciiTheme="majorBidi" w:hAnsiTheme="majorBidi" w:cstheme="majorBidi"/>
                <w:sz w:val="24"/>
                <w:szCs w:val="24"/>
              </w:rPr>
            </w:pPr>
            <w:r>
              <w:rPr>
                <w:rFonts w:asciiTheme="majorBidi" w:hAnsiTheme="majorBidi" w:cstheme="majorBidi"/>
                <w:sz w:val="24"/>
                <w:szCs w:val="24"/>
              </w:rPr>
              <w:t>18.80%</w:t>
            </w:r>
          </w:p>
        </w:tc>
      </w:tr>
    </w:tbl>
    <w:p w14:paraId="5F195D16">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18E92A8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Table 5 presents statistical data regarding various statements related to peer influence and its impact on academic integrity and examination malpractices in secondary schools within Garissa Township Sub County, Kenya. The table includes percentages representing the distribution of responses across different categories of agreement, namely Strongly Disagree (SD), Disagree (D), Neutral (N), Agree (A), and Strongly Agree (SA). Across the various statements, a consistent pattern can be observed. </w:t>
      </w:r>
    </w:p>
    <w:p w14:paraId="4D1A3A2F">
      <w:pPr>
        <w:spacing w:after="0" w:line="480" w:lineRule="auto"/>
        <w:jc w:val="both"/>
        <w:rPr>
          <w:rFonts w:asciiTheme="majorBidi" w:hAnsiTheme="majorBidi" w:cstheme="majorBidi"/>
          <w:sz w:val="24"/>
          <w:szCs w:val="24"/>
        </w:rPr>
      </w:pPr>
      <w:r>
        <w:rPr>
          <w:rFonts w:asciiTheme="majorBidi" w:hAnsiTheme="majorBidi" w:cstheme="majorBidi"/>
          <w:color w:val="000000"/>
          <w:sz w:val="24"/>
          <w:szCs w:val="24"/>
        </w:rPr>
        <w:t xml:space="preserve">Objective one of this study sought to </w:t>
      </w:r>
      <w:r>
        <w:rPr>
          <w:rFonts w:asciiTheme="majorBidi" w:hAnsiTheme="majorBidi" w:cstheme="majorBidi"/>
          <w:sz w:val="24"/>
          <w:szCs w:val="24"/>
        </w:rPr>
        <w:t>establish relationship between peer pressure and academic integrity and examination malpractices in secondary schools in Garissa Township Sub County.</w:t>
      </w:r>
      <w:r>
        <w:rPr>
          <w:rFonts w:asciiTheme="majorBidi" w:hAnsiTheme="majorBidi" w:cstheme="majorBidi"/>
          <w:color w:val="000000"/>
          <w:sz w:val="24"/>
          <w:szCs w:val="24"/>
        </w:rPr>
        <w:t xml:space="preserve"> The findings on the responses given out by the students and teachers on </w:t>
      </w:r>
      <w:r>
        <w:rPr>
          <w:rFonts w:asciiTheme="majorBidi" w:hAnsiTheme="majorBidi" w:cstheme="majorBidi"/>
          <w:sz w:val="24"/>
          <w:szCs w:val="24"/>
        </w:rPr>
        <w:t xml:space="preserve">relationship of peer pressure and academic integrity and examination malpractices </w:t>
      </w:r>
      <w:r>
        <w:rPr>
          <w:rFonts w:asciiTheme="majorBidi" w:hAnsiTheme="majorBidi" w:cstheme="majorBidi"/>
          <w:color w:val="000000"/>
          <w:sz w:val="24"/>
          <w:szCs w:val="24"/>
        </w:rPr>
        <w:t xml:space="preserve">showed that there is positive relationship as elaborated on </w:t>
      </w:r>
      <w:r>
        <w:rPr>
          <w:rFonts w:asciiTheme="majorBidi" w:hAnsiTheme="majorBidi" w:cstheme="majorBidi"/>
          <w:sz w:val="24"/>
          <w:szCs w:val="24"/>
        </w:rPr>
        <w:t xml:space="preserve">questionnaire items 1-5. </w:t>
      </w:r>
    </w:p>
    <w:p w14:paraId="0F9498BD">
      <w:pPr>
        <w:spacing w:after="0" w:line="480" w:lineRule="auto"/>
        <w:jc w:val="both"/>
        <w:rPr>
          <w:rFonts w:asciiTheme="majorBidi" w:hAnsiTheme="majorBidi" w:cstheme="majorBidi"/>
          <w:sz w:val="24"/>
          <w:szCs w:val="24"/>
        </w:rPr>
      </w:pPr>
      <w:r>
        <w:rPr>
          <w:rFonts w:asciiTheme="majorBidi" w:hAnsiTheme="majorBidi" w:cstheme="majorBidi"/>
          <w:sz w:val="24"/>
          <w:szCs w:val="24"/>
        </w:rPr>
        <w:t>Research questionnaire items 1 shows that a significant majority of respondents agree or strongly agree that peer influence contributes to academic misconduct, including cheating in exams, with 46.10% agreeing and 39.10% strongly agreeing. Academic misconduct, including cheating in exams, is a complex issue influenced by various factors, among which peer influence plays a significant role. When peers engage in dishonest practices, it can lead others to justify similar behaviors, creating a culture where academic misconduct becomes normalized or tolerated (Bartolic et al. 2021). When students observe their peers engaging in dishonest behavior without facing immediate consequences, it can create a sense of normalization around academic misconduct. Students may align their behavior with the perceived norms within their peer group (Davis and Ludvigson 1995).</w:t>
      </w:r>
      <w:r>
        <w:rPr>
          <w:rFonts w:eastAsia="Times New Roman" w:asciiTheme="majorBidi" w:hAnsiTheme="majorBidi" w:cstheme="majorBidi"/>
          <w:sz w:val="24"/>
          <w:szCs w:val="24"/>
        </w:rPr>
        <w:t xml:space="preserve"> The absence of clear consequences for academic misconduct can lead to an increase in cheating behaviors among students. </w:t>
      </w:r>
      <w:r>
        <w:rPr>
          <w:rFonts w:asciiTheme="majorBidi" w:hAnsiTheme="majorBidi" w:cstheme="majorBidi"/>
          <w:sz w:val="24"/>
          <w:szCs w:val="24"/>
        </w:rPr>
        <w:t xml:space="preserve"> If cheating is common or viewed as acceptable, others may be tempted to follow suit to fit in or avoid feeling excluded </w:t>
      </w:r>
      <w:r>
        <w:rPr>
          <w:rFonts w:eastAsia="Times New Roman" w:asciiTheme="majorBidi" w:hAnsiTheme="majorBidi" w:cstheme="majorBidi"/>
          <w:sz w:val="24"/>
          <w:szCs w:val="24"/>
        </w:rPr>
        <w:t>(Smith and Johnson 2020)</w:t>
      </w:r>
      <w:r>
        <w:rPr>
          <w:rFonts w:asciiTheme="majorBidi" w:hAnsiTheme="majorBidi" w:cstheme="majorBidi"/>
          <w:sz w:val="24"/>
          <w:szCs w:val="24"/>
        </w:rPr>
        <w:t xml:space="preserve">. When students compare themselves to others who cheat and achieve good results, they may feel compelled to do the same to avoid falling behind or to compete at the same level (McCabe &amp; Trevino, 1993). Students might justify their actions by rationalizing that "everyone is doing it," reducing the perceived guilt or shame associated with cheating. </w:t>
      </w:r>
    </w:p>
    <w:p w14:paraId="6792AF75">
      <w:pPr>
        <w:spacing w:after="0" w:line="480" w:lineRule="auto"/>
        <w:jc w:val="both"/>
        <w:rPr>
          <w:rFonts w:asciiTheme="majorBidi" w:hAnsiTheme="majorBidi" w:cstheme="majorBidi"/>
          <w:sz w:val="24"/>
          <w:szCs w:val="24"/>
        </w:rPr>
      </w:pPr>
      <w:r>
        <w:rPr>
          <w:rFonts w:asciiTheme="majorBidi" w:hAnsiTheme="majorBidi" w:cstheme="majorBidi"/>
          <w:sz w:val="24"/>
          <w:szCs w:val="24"/>
        </w:rPr>
        <w:t>Similarly, respondents largely believe in the potential of positive peer influence to deter cheating, with 62.50% agreeing and 25.00% strongly agreeing on questionnaire items 2. When students see their peers acting with integrity, it can set a standard for others to follow (Salmela-Aro &amp; Upadyaya, 2014). This influence is even stronger when role models are respected or hold leadership positions in student organizations. Encouraging student-led groups or councils that focus on academic integrity can have a significant impact. These groups can create peer-led campaigns, organize events, or develop honor codes that resonate with the student body (</w:t>
      </w:r>
      <w:r>
        <w:rPr>
          <w:rFonts w:asciiTheme="majorBidi" w:hAnsiTheme="majorBidi" w:cstheme="majorBidi"/>
          <w:sz w:val="24"/>
          <w:szCs w:val="24"/>
          <w:shd w:val="clear" w:color="auto" w:fill="FFFFFF"/>
        </w:rPr>
        <w:t>Doll</w:t>
      </w:r>
      <w:r>
        <w:rPr>
          <w:rFonts w:asciiTheme="majorBidi" w:hAnsiTheme="majorBidi" w:cstheme="majorBidi"/>
          <w:sz w:val="24"/>
          <w:szCs w:val="24"/>
        </w:rPr>
        <w:t xml:space="preserve"> et al., 2004). Establishing peer mentoring programs can reduce the stress and pressure that lead to cheating. Students who feel supported and can ask peers for help with coursework are less likely to resort to dishonest practices (Anderman et al., 1998). Schools can also implement reward systems that acknowledge and celebrate students who exemplify honesty and integrity. These recognitions can be a motivating factor for other students to act similarly (Huang et al., 2013). </w:t>
      </w:r>
    </w:p>
    <w:p w14:paraId="28C2C37A">
      <w:pPr>
        <w:spacing w:after="0" w:line="480" w:lineRule="auto"/>
        <w:jc w:val="both"/>
        <w:rPr>
          <w:rFonts w:asciiTheme="majorBidi" w:hAnsiTheme="majorBidi" w:cstheme="majorBidi"/>
          <w:sz w:val="24"/>
          <w:szCs w:val="24"/>
        </w:rPr>
      </w:pPr>
      <w:r>
        <w:rPr>
          <w:rFonts w:asciiTheme="majorBidi" w:hAnsiTheme="majorBidi" w:cstheme="majorBidi"/>
          <w:sz w:val="24"/>
          <w:szCs w:val="24"/>
        </w:rPr>
        <w:t>Furthermore, a substantial proportion of participants (54.70% agreeing and 21.90% strongly agreeing) on questionnaire item 3 that positive peer influence can be harnessed to develop intervention strategies on academic integrity</w:t>
      </w:r>
      <w:r>
        <w:rPr>
          <w:rFonts w:asciiTheme="majorBidi" w:hAnsiTheme="majorBidi" w:cstheme="majorBidi"/>
          <w:b/>
          <w:bCs/>
          <w:sz w:val="24"/>
          <w:szCs w:val="24"/>
        </w:rPr>
        <w:t>.</w:t>
      </w:r>
      <w:r>
        <w:rPr>
          <w:rFonts w:asciiTheme="majorBidi" w:hAnsiTheme="majorBidi" w:cstheme="majorBidi"/>
          <w:sz w:val="24"/>
          <w:szCs w:val="24"/>
        </w:rPr>
        <w:t xml:space="preserve"> Harnessing positive peer influence is an effective way to develop intervention strategies that promote academic integrity and reduce academic misconduct, including cheating. Positive peer influence can create a culture of honesty and accountability among students, leading to a stronger sense of responsibility and ethical behavior. Students can develop their own honor codes that reflect their values and the importance of academic integrity (Storch &amp; Storch, 2003). These codes can outline acceptable behaviors and the consequences of academic misconduct, creating a sense of ownership and accountability among students. Encourage students to become advocates for academic integrity by leading educational sessions, workshops, or awareness campaigns that promote honest practices. By promoting positive peer influence, institutions can create an environment where students feel empowered to uphold academic integrity. The imposter phenomenon can lead to academic misconduct due to feelings of inadequacy and fear of being exposed as a fraud. Hutchins (2015) notes that this phenomenon thrives in environments with high expectations of perfectionism, competitive cultures, and stressful environments. </w:t>
      </w:r>
    </w:p>
    <w:p w14:paraId="572352B0">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In questionnaire item 4, (49.20% agreeing and 20.30% strongly agreeing) that tracking changes in peer influence throughout a student's educational journey provides insights into how peer relationships affect academic and social behaviors over time. </w:t>
      </w:r>
      <w:r>
        <w:rPr>
          <w:rFonts w:eastAsia="Times New Roman" w:asciiTheme="majorBidi" w:hAnsiTheme="majorBidi" w:cstheme="majorBidi"/>
          <w:sz w:val="24"/>
          <w:szCs w:val="24"/>
        </w:rPr>
        <w:t>Steenberghs</w:t>
      </w:r>
      <w:r>
        <w:rPr>
          <w:rFonts w:asciiTheme="majorBidi" w:hAnsiTheme="majorBidi" w:cstheme="majorBidi"/>
          <w:sz w:val="24"/>
          <w:szCs w:val="24"/>
        </w:rPr>
        <w:t xml:space="preserve"> et al. (2021) explored the impact of different peer groups on individual students' engagement and disengagement throughout an academic year. The study focused on the influence of friends, popular peers, and the entire class, considering emotional and behavioral engagement. Understanding these patterns can help teachers, parents, and policymakers design targeted interventions to promote positive peer interactions and mitigate negative influences. As students’ progress from elementary school to high school and into college, their peer relationships evolve. In early education, peers may primarily influence social behaviors, while in later stages, the focus shifts to academic and personal development. Tracking these shifts helps understand when peer influence is strongest and in which areas. Analyzing social networks within educational settings can reveal how peer groups form and change over time. This analysis can track how peer influence spreads through different groups and how it affects academic and social outcomes (Lu et al. 2021). Academic performance metrics can identify patterns that may indicate peer influence. For example, sudden drops in grades across peer groups may suggest collective academic challenges or instances of academic misconduct. Monitoring disciplinary records, such as instances of academic misconduct or behavioral issues, provides insight into how peer influence contributes to these behaviors. A review of classroom management practices in primary schools by Taylor et al. (2021) examined various disciplinary approaches and their effects on student behavior. The study indicated that changes in classroom management could significantly influence peer relationships and, subsequently, students' engagement and behavior throughout their educational journey.  Trends in these records can help identify periods or groups with increased peer pressure. </w:t>
      </w:r>
    </w:p>
    <w:p w14:paraId="7687A213">
      <w:pPr>
        <w:spacing w:line="480" w:lineRule="auto"/>
        <w:jc w:val="both"/>
        <w:rPr>
          <w:rFonts w:asciiTheme="majorBidi" w:hAnsiTheme="majorBidi" w:cstheme="majorBidi"/>
          <w:sz w:val="24"/>
          <w:szCs w:val="24"/>
        </w:rPr>
      </w:pPr>
      <w:r>
        <w:rPr>
          <w:rFonts w:asciiTheme="majorBidi" w:hAnsiTheme="majorBidi" w:cstheme="majorBidi"/>
          <w:sz w:val="24"/>
          <w:szCs w:val="24"/>
        </w:rPr>
        <w:t>Lastly, the majority of respondents (53.10% agreeing and 18.80% strongly agreeing) on questionnaire item 5 concur that</w:t>
      </w:r>
      <w:r>
        <w:rPr>
          <w:rFonts w:asciiTheme="majorBidi" w:hAnsiTheme="majorBidi" w:cstheme="majorBidi"/>
          <w:b/>
          <w:bCs/>
          <w:sz w:val="24"/>
          <w:szCs w:val="24"/>
        </w:rPr>
        <w:t xml:space="preserve"> </w:t>
      </w:r>
      <w:r>
        <w:rPr>
          <w:rFonts w:asciiTheme="majorBidi" w:hAnsiTheme="majorBidi" w:cstheme="majorBidi"/>
          <w:sz w:val="24"/>
          <w:szCs w:val="24"/>
        </w:rPr>
        <w:t>Students are more likely to cheat when they perceive their peers engaging in similar behaviors without consequences</w:t>
      </w:r>
      <w:r>
        <w:rPr>
          <w:rFonts w:asciiTheme="majorBidi" w:hAnsiTheme="majorBidi" w:cstheme="majorBidi"/>
          <w:b/>
          <w:bCs/>
          <w:sz w:val="24"/>
          <w:szCs w:val="24"/>
        </w:rPr>
        <w:t xml:space="preserve"> </w:t>
      </w:r>
      <w:r>
        <w:rPr>
          <w:rFonts w:asciiTheme="majorBidi" w:hAnsiTheme="majorBidi" w:cstheme="majorBidi"/>
          <w:sz w:val="24"/>
          <w:szCs w:val="24"/>
        </w:rPr>
        <w:t>can significantly increase the likelihood of cheating. When students see their peers cheating without repercussions, they may start to view cheating as a normal or acceptable behavior, leading to a higher likelihood of engaging in it themselves. If students believe that their peers are cheating and not getting caught, they may feel that the risk of detection is low, reducing the perceived consequences of cheating (Davis and Ludvigson 1995).</w:t>
      </w:r>
      <w:r>
        <w:rPr>
          <w:rFonts w:eastAsia="Times New Roman" w:asciiTheme="majorBidi" w:hAnsiTheme="majorBidi" w:cstheme="majorBidi"/>
          <w:sz w:val="24"/>
          <w:szCs w:val="24"/>
        </w:rPr>
        <w:t xml:space="preserve"> According to Jones et al. (2016), peer influence significantly impacts students' decisions to cheat, particularly when they believe that peers who engage in cheating are not penalized.</w:t>
      </w:r>
    </w:p>
    <w:p w14:paraId="13A9A1C6">
      <w:pPr>
        <w:pStyle w:val="2"/>
        <w:spacing w:line="480" w:lineRule="auto"/>
        <w:rPr>
          <w:rFonts w:asciiTheme="majorBidi" w:hAnsiTheme="majorBidi"/>
          <w:b w:val="0"/>
          <w:bCs w:val="0"/>
          <w:color w:val="auto"/>
          <w:sz w:val="24"/>
          <w:szCs w:val="24"/>
        </w:rPr>
      </w:pPr>
      <w:bookmarkStart w:id="192" w:name="_Toc194769930"/>
      <w:bookmarkStart w:id="193" w:name="_Toc194822650"/>
      <w:r>
        <w:rPr>
          <w:rFonts w:asciiTheme="majorBidi" w:hAnsiTheme="majorBidi"/>
          <w:b w:val="0"/>
          <w:bCs w:val="0"/>
          <w:color w:val="auto"/>
          <w:sz w:val="24"/>
          <w:szCs w:val="24"/>
        </w:rPr>
        <w:t>Table 6:</w:t>
      </w:r>
      <w:bookmarkEnd w:id="192"/>
      <w:bookmarkEnd w:id="193"/>
    </w:p>
    <w:p w14:paraId="6DAFE22C">
      <w:pPr>
        <w:pStyle w:val="2"/>
        <w:spacing w:before="0" w:after="240" w:line="480" w:lineRule="auto"/>
        <w:rPr>
          <w:rFonts w:asciiTheme="majorBidi" w:hAnsiTheme="majorBidi"/>
          <w:b w:val="0"/>
          <w:bCs w:val="0"/>
          <w:i/>
          <w:iCs/>
          <w:color w:val="auto"/>
          <w:sz w:val="24"/>
          <w:szCs w:val="24"/>
        </w:rPr>
      </w:pPr>
      <w:bookmarkStart w:id="194" w:name="_Toc194769931"/>
      <w:bookmarkStart w:id="195" w:name="_Toc194822651"/>
      <w:r>
        <w:rPr>
          <w:rFonts w:asciiTheme="majorBidi" w:hAnsiTheme="majorBidi"/>
          <w:b w:val="0"/>
          <w:bCs w:val="0"/>
          <w:i/>
          <w:iCs/>
          <w:color w:val="auto"/>
          <w:sz w:val="24"/>
          <w:szCs w:val="24"/>
        </w:rPr>
        <w:t>Mean and standard deviation of peer influence items</w:t>
      </w:r>
      <w:bookmarkEnd w:id="194"/>
      <w:bookmarkEnd w:id="195"/>
    </w:p>
    <w:tbl>
      <w:tblPr>
        <w:tblStyle w:val="7"/>
        <w:tblW w:w="8640" w:type="dxa"/>
        <w:tblInd w:w="0" w:type="dxa"/>
        <w:tblLayout w:type="autofit"/>
        <w:tblCellMar>
          <w:top w:w="0" w:type="dxa"/>
          <w:left w:w="108" w:type="dxa"/>
          <w:bottom w:w="0" w:type="dxa"/>
          <w:right w:w="108" w:type="dxa"/>
        </w:tblCellMar>
      </w:tblPr>
      <w:tblGrid>
        <w:gridCol w:w="5310"/>
        <w:gridCol w:w="597"/>
        <w:gridCol w:w="1530"/>
        <w:gridCol w:w="1203"/>
      </w:tblGrid>
      <w:tr w14:paraId="0FCB9107">
        <w:tblPrEx>
          <w:tblCellMar>
            <w:top w:w="0" w:type="dxa"/>
            <w:left w:w="108" w:type="dxa"/>
            <w:bottom w:w="0" w:type="dxa"/>
            <w:right w:w="108" w:type="dxa"/>
          </w:tblCellMar>
        </w:tblPrEx>
        <w:trPr>
          <w:trHeight w:val="20" w:hRule="atLeast"/>
        </w:trPr>
        <w:tc>
          <w:tcPr>
            <w:tcW w:w="5310" w:type="dxa"/>
            <w:tcBorders>
              <w:top w:val="single" w:color="auto" w:sz="8" w:space="0"/>
              <w:left w:val="nil"/>
              <w:bottom w:val="single" w:color="auto" w:sz="8" w:space="0"/>
              <w:right w:val="nil"/>
            </w:tcBorders>
            <w:shd w:val="clear" w:color="auto" w:fill="auto"/>
            <w:noWrap/>
          </w:tcPr>
          <w:p w14:paraId="0F84A980">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 </w:t>
            </w:r>
          </w:p>
        </w:tc>
        <w:tc>
          <w:tcPr>
            <w:tcW w:w="597" w:type="dxa"/>
            <w:tcBorders>
              <w:top w:val="single" w:color="auto" w:sz="8" w:space="0"/>
              <w:left w:val="nil"/>
              <w:bottom w:val="single" w:color="auto" w:sz="8" w:space="0"/>
              <w:right w:val="nil"/>
            </w:tcBorders>
          </w:tcPr>
          <w:p w14:paraId="6F673C2F">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N</w:t>
            </w:r>
          </w:p>
        </w:tc>
        <w:tc>
          <w:tcPr>
            <w:tcW w:w="1530" w:type="dxa"/>
            <w:tcBorders>
              <w:top w:val="single" w:color="auto" w:sz="8" w:space="0"/>
              <w:left w:val="nil"/>
              <w:bottom w:val="single" w:color="auto" w:sz="8" w:space="0"/>
              <w:right w:val="nil"/>
            </w:tcBorders>
            <w:shd w:val="clear" w:color="auto" w:fill="auto"/>
            <w:noWrap/>
            <w:vAlign w:val="center"/>
          </w:tcPr>
          <w:p w14:paraId="667CC91D">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Mean</w:t>
            </w:r>
          </w:p>
        </w:tc>
        <w:tc>
          <w:tcPr>
            <w:tcW w:w="1203" w:type="dxa"/>
            <w:tcBorders>
              <w:top w:val="single" w:color="auto" w:sz="8" w:space="0"/>
              <w:left w:val="nil"/>
              <w:bottom w:val="single" w:color="auto" w:sz="8" w:space="0"/>
              <w:right w:val="nil"/>
            </w:tcBorders>
            <w:shd w:val="clear" w:color="auto" w:fill="auto"/>
            <w:noWrap/>
            <w:vAlign w:val="center"/>
          </w:tcPr>
          <w:p w14:paraId="5C3C490E">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Std. Deviation</w:t>
            </w:r>
          </w:p>
        </w:tc>
      </w:tr>
      <w:tr w14:paraId="56B39512">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0F878573">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Peer influence contributes to academic misconduct, including cheating in exams.</w:t>
            </w:r>
          </w:p>
        </w:tc>
        <w:tc>
          <w:tcPr>
            <w:tcW w:w="597" w:type="dxa"/>
            <w:tcBorders>
              <w:top w:val="nil"/>
              <w:left w:val="nil"/>
              <w:bottom w:val="nil"/>
              <w:right w:val="nil"/>
            </w:tcBorders>
          </w:tcPr>
          <w:p w14:paraId="5D174054">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600BAF27">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4.22</w:t>
            </w:r>
          </w:p>
        </w:tc>
        <w:tc>
          <w:tcPr>
            <w:tcW w:w="1203" w:type="dxa"/>
            <w:tcBorders>
              <w:top w:val="nil"/>
              <w:left w:val="nil"/>
              <w:bottom w:val="nil"/>
              <w:right w:val="nil"/>
            </w:tcBorders>
            <w:shd w:val="clear" w:color="auto" w:fill="auto"/>
            <w:noWrap/>
            <w:vAlign w:val="center"/>
          </w:tcPr>
          <w:p w14:paraId="3B4B66CD">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0.752</w:t>
            </w:r>
          </w:p>
        </w:tc>
      </w:tr>
      <w:tr w14:paraId="65D6EB19">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426AC222">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Positive peer influence can be used to deter cheating in exams.</w:t>
            </w:r>
          </w:p>
        </w:tc>
        <w:tc>
          <w:tcPr>
            <w:tcW w:w="597" w:type="dxa"/>
            <w:tcBorders>
              <w:top w:val="nil"/>
              <w:left w:val="nil"/>
              <w:bottom w:val="nil"/>
              <w:right w:val="nil"/>
            </w:tcBorders>
          </w:tcPr>
          <w:p w14:paraId="14A67017">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5026DEBF">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4.11</w:t>
            </w:r>
          </w:p>
        </w:tc>
        <w:tc>
          <w:tcPr>
            <w:tcW w:w="1203" w:type="dxa"/>
            <w:tcBorders>
              <w:top w:val="nil"/>
              <w:left w:val="nil"/>
              <w:bottom w:val="nil"/>
              <w:right w:val="nil"/>
            </w:tcBorders>
            <w:shd w:val="clear" w:color="auto" w:fill="auto"/>
            <w:noWrap/>
            <w:vAlign w:val="center"/>
          </w:tcPr>
          <w:p w14:paraId="7E3C2EA8">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0.643</w:t>
            </w:r>
          </w:p>
        </w:tc>
      </w:tr>
      <w:tr w14:paraId="569DA0F1">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010618E5">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Positive peer influence can be harnessed to develop intervention strategies on academic integrity.</w:t>
            </w:r>
          </w:p>
        </w:tc>
        <w:tc>
          <w:tcPr>
            <w:tcW w:w="597" w:type="dxa"/>
            <w:tcBorders>
              <w:top w:val="nil"/>
              <w:left w:val="nil"/>
              <w:bottom w:val="nil"/>
              <w:right w:val="nil"/>
            </w:tcBorders>
          </w:tcPr>
          <w:p w14:paraId="61F5B180">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29A77111">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3.95</w:t>
            </w:r>
          </w:p>
        </w:tc>
        <w:tc>
          <w:tcPr>
            <w:tcW w:w="1203" w:type="dxa"/>
            <w:tcBorders>
              <w:top w:val="nil"/>
              <w:left w:val="nil"/>
              <w:bottom w:val="nil"/>
              <w:right w:val="nil"/>
            </w:tcBorders>
            <w:shd w:val="clear" w:color="auto" w:fill="auto"/>
            <w:noWrap/>
            <w:vAlign w:val="center"/>
          </w:tcPr>
          <w:p w14:paraId="17A957E5">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0.767</w:t>
            </w:r>
          </w:p>
        </w:tc>
      </w:tr>
      <w:tr w14:paraId="6B1BAB00">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78341297">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Changes in peer influence can be tracked throughout student's educational journey.</w:t>
            </w:r>
          </w:p>
        </w:tc>
        <w:tc>
          <w:tcPr>
            <w:tcW w:w="597" w:type="dxa"/>
            <w:tcBorders>
              <w:top w:val="nil"/>
              <w:left w:val="nil"/>
              <w:bottom w:val="nil"/>
              <w:right w:val="nil"/>
            </w:tcBorders>
          </w:tcPr>
          <w:p w14:paraId="00BA3148">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0201458A">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3.83</w:t>
            </w:r>
          </w:p>
        </w:tc>
        <w:tc>
          <w:tcPr>
            <w:tcW w:w="1203" w:type="dxa"/>
            <w:tcBorders>
              <w:top w:val="nil"/>
              <w:left w:val="nil"/>
              <w:bottom w:val="nil"/>
              <w:right w:val="nil"/>
            </w:tcBorders>
            <w:shd w:val="clear" w:color="auto" w:fill="auto"/>
            <w:noWrap/>
            <w:vAlign w:val="center"/>
          </w:tcPr>
          <w:p w14:paraId="05D58353">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0.843</w:t>
            </w:r>
          </w:p>
        </w:tc>
      </w:tr>
      <w:tr w14:paraId="4A6124D3">
        <w:tblPrEx>
          <w:tblCellMar>
            <w:top w:w="0" w:type="dxa"/>
            <w:left w:w="108" w:type="dxa"/>
            <w:bottom w:w="0" w:type="dxa"/>
            <w:right w:w="108" w:type="dxa"/>
          </w:tblCellMar>
        </w:tblPrEx>
        <w:trPr>
          <w:trHeight w:val="20" w:hRule="atLeast"/>
        </w:trPr>
        <w:tc>
          <w:tcPr>
            <w:tcW w:w="5310" w:type="dxa"/>
            <w:tcBorders>
              <w:top w:val="nil"/>
              <w:left w:val="nil"/>
              <w:bottom w:val="single" w:color="auto" w:sz="8" w:space="0"/>
              <w:right w:val="nil"/>
            </w:tcBorders>
            <w:shd w:val="clear" w:color="auto" w:fill="auto"/>
            <w:noWrap/>
            <w:vAlign w:val="center"/>
          </w:tcPr>
          <w:p w14:paraId="1F7C1822">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Students are more likely to cheat when they perceive their peers engaging in similar behaviors without consequences.</w:t>
            </w:r>
          </w:p>
        </w:tc>
        <w:tc>
          <w:tcPr>
            <w:tcW w:w="597" w:type="dxa"/>
            <w:tcBorders>
              <w:top w:val="nil"/>
              <w:left w:val="nil"/>
              <w:bottom w:val="single" w:color="auto" w:sz="8" w:space="0"/>
              <w:right w:val="nil"/>
            </w:tcBorders>
          </w:tcPr>
          <w:p w14:paraId="76B697E8">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single" w:color="auto" w:sz="8" w:space="0"/>
              <w:right w:val="nil"/>
            </w:tcBorders>
            <w:shd w:val="clear" w:color="auto" w:fill="auto"/>
            <w:noWrap/>
            <w:vAlign w:val="center"/>
          </w:tcPr>
          <w:p w14:paraId="55EE8B07">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3.86</w:t>
            </w:r>
          </w:p>
        </w:tc>
        <w:tc>
          <w:tcPr>
            <w:tcW w:w="1203" w:type="dxa"/>
            <w:tcBorders>
              <w:top w:val="nil"/>
              <w:left w:val="nil"/>
              <w:bottom w:val="single" w:color="auto" w:sz="8" w:space="0"/>
              <w:right w:val="nil"/>
            </w:tcBorders>
            <w:shd w:val="clear" w:color="auto" w:fill="auto"/>
            <w:noWrap/>
            <w:vAlign w:val="center"/>
          </w:tcPr>
          <w:p w14:paraId="3B586D2D">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0.781</w:t>
            </w:r>
          </w:p>
        </w:tc>
      </w:tr>
    </w:tbl>
    <w:p w14:paraId="0BCE8574">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CE25B9B">
      <w:pPr>
        <w:spacing w:line="480" w:lineRule="auto"/>
        <w:jc w:val="both"/>
        <w:rPr>
          <w:rFonts w:asciiTheme="majorBidi" w:hAnsiTheme="majorBidi" w:cstheme="majorBidi"/>
          <w:sz w:val="24"/>
          <w:szCs w:val="24"/>
        </w:rPr>
      </w:pPr>
      <w:r>
        <w:rPr>
          <w:rFonts w:asciiTheme="majorBidi" w:hAnsiTheme="majorBidi" w:cstheme="majorBidi"/>
          <w:sz w:val="24"/>
          <w:szCs w:val="24"/>
        </w:rPr>
        <w:t>Table 6 summarizes the nature of peer influence in academic settings, particularly concerning cheating behaviors during exams. The data reveal a generally high acknowledgment among respondents regarding the significant contribution of peer influence to academic misconduct, as indicated by a mean rating of 4.22 out of 5. This suggests a widespread recognition among students and teachers of the role peers play in shaping behaviors related to cheating. Moreover, the relatively low standard deviation accompanying this result (0.752) indicates a notable level of consensus among respondents. Conversely, while positive peer influence is perceived as a potential deterrent to cheating, with a mean rating of 4.11 and a slightly lower standard deviation (0.643), there appears to be some hesitation or skepticism regarding its effectiveness for intervention purposes, as reflected in the lower mean rating of 3.95 for the item concerning the harnessing of positive peer influence for developing intervention strategies on academic integrity. The higher standard deviation associated with this item (0.767) suggests more variability in responses, implying a divergence of opinions among respondents. Similarly, the feasibility of tracking changes in peer influence throughout a student's educational journey receives a moderate level of agreement (mean rating of 3.83), but with a relatively high standard deviation (0.843), indicating a wider range of perspectives on this matter. Finally, the relationship between students' perceptions of peer behavior and their likelihood of engaging in cheating, particularly in the absence of consequences, elicits a moderate level of agreement (mean rating of 3.86) but with notable variability in responses (standard deviation of 0.781).</w:t>
      </w:r>
    </w:p>
    <w:p w14:paraId="62E10014">
      <w:pPr>
        <w:spacing w:after="0" w:line="480" w:lineRule="auto"/>
        <w:jc w:val="both"/>
        <w:rPr>
          <w:rFonts w:asciiTheme="majorBidi" w:hAnsiTheme="majorBidi" w:cstheme="majorBidi"/>
          <w:sz w:val="24"/>
          <w:szCs w:val="24"/>
        </w:rPr>
      </w:pPr>
      <w:r>
        <w:rPr>
          <w:rFonts w:asciiTheme="majorBidi" w:hAnsiTheme="majorBidi" w:cstheme="majorBidi"/>
          <w:sz w:val="24"/>
          <w:szCs w:val="24"/>
        </w:rPr>
        <w:t>Hypothesis 1</w:t>
      </w:r>
    </w:p>
    <w:p w14:paraId="6CCCF700">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first study hypothesis stated that </w:t>
      </w:r>
      <w:r>
        <w:rPr>
          <w:rFonts w:asciiTheme="majorBidi" w:hAnsiTheme="majorBidi" w:cstheme="majorBidi"/>
          <w:i/>
          <w:iCs/>
          <w:sz w:val="24"/>
          <w:szCs w:val="24"/>
        </w:rPr>
        <w:t>There is no significant relationship between peer pressure and academic integrity and examination malpractices in secondary schools in Garissa Township Sub County</w:t>
      </w:r>
      <w:r>
        <w:rPr>
          <w:rFonts w:asciiTheme="majorBidi" w:hAnsiTheme="majorBidi" w:cstheme="majorBidi"/>
          <w:sz w:val="24"/>
          <w:szCs w:val="24"/>
        </w:rPr>
        <w:t>. Pearson correlation coefficient was used to test hypothesis one. Table 7 presents the results of the correlation analysis.</w:t>
      </w:r>
    </w:p>
    <w:p w14:paraId="58FF71E7">
      <w:pPr>
        <w:spacing w:line="480" w:lineRule="auto"/>
        <w:jc w:val="both"/>
        <w:rPr>
          <w:rFonts w:hint="default" w:asciiTheme="majorBidi" w:hAnsiTheme="majorBidi" w:cstheme="majorBidi"/>
          <w:b/>
          <w:bCs/>
          <w:sz w:val="112"/>
          <w:szCs w:val="112"/>
          <w:lang w:val="en-US"/>
        </w:rPr>
      </w:pPr>
      <w:r>
        <w:rPr>
          <w:rFonts w:hint="default" w:asciiTheme="majorBidi" w:hAnsiTheme="majorBidi" w:cstheme="majorBidi"/>
          <w:b/>
          <w:bCs/>
          <w:sz w:val="112"/>
          <w:szCs w:val="112"/>
          <w:lang w:val="en-US"/>
        </w:rPr>
        <w:t>NEXT</w:t>
      </w:r>
      <w:bookmarkStart w:id="313" w:name="_GoBack"/>
      <w:bookmarkEnd w:id="313"/>
      <w:r>
        <w:rPr>
          <w:rFonts w:hint="default" w:asciiTheme="majorBidi" w:hAnsiTheme="majorBidi" w:cstheme="majorBidi"/>
          <w:b/>
          <w:bCs/>
          <w:sz w:val="112"/>
          <w:szCs w:val="112"/>
          <w:lang w:val="en-US"/>
        </w:rPr>
        <w:t xml:space="preserve"> LESSON</w:t>
      </w:r>
    </w:p>
    <w:p w14:paraId="5AC180DC">
      <w:pPr>
        <w:pStyle w:val="2"/>
        <w:spacing w:line="480" w:lineRule="auto"/>
        <w:rPr>
          <w:rFonts w:asciiTheme="majorBidi" w:hAnsiTheme="majorBidi"/>
          <w:b w:val="0"/>
          <w:bCs w:val="0"/>
          <w:color w:val="auto"/>
          <w:sz w:val="24"/>
          <w:szCs w:val="24"/>
        </w:rPr>
      </w:pPr>
      <w:bookmarkStart w:id="196" w:name="_Toc194769932"/>
      <w:bookmarkStart w:id="197" w:name="_Toc194822652"/>
      <w:r>
        <w:rPr>
          <w:rFonts w:asciiTheme="majorBidi" w:hAnsiTheme="majorBidi"/>
          <w:b w:val="0"/>
          <w:bCs w:val="0"/>
          <w:color w:val="auto"/>
          <w:sz w:val="24"/>
          <w:szCs w:val="24"/>
        </w:rPr>
        <w:t>Table 7:</w:t>
      </w:r>
      <w:bookmarkEnd w:id="196"/>
      <w:bookmarkEnd w:id="197"/>
    </w:p>
    <w:p w14:paraId="4C795EDF">
      <w:pPr>
        <w:pStyle w:val="2"/>
        <w:spacing w:before="0" w:line="480" w:lineRule="auto"/>
        <w:rPr>
          <w:rFonts w:asciiTheme="majorBidi" w:hAnsiTheme="majorBidi"/>
          <w:b w:val="0"/>
          <w:bCs w:val="0"/>
          <w:i/>
          <w:iCs/>
          <w:color w:val="auto"/>
          <w:sz w:val="24"/>
          <w:szCs w:val="24"/>
        </w:rPr>
      </w:pPr>
      <w:bookmarkStart w:id="198" w:name="_Toc194822653"/>
      <w:bookmarkStart w:id="199" w:name="_Toc194769933"/>
      <w:r>
        <w:rPr>
          <w:rFonts w:asciiTheme="majorBidi" w:hAnsiTheme="majorBidi"/>
          <w:b w:val="0"/>
          <w:bCs w:val="0"/>
          <w:i/>
          <w:iCs/>
          <w:color w:val="auto"/>
          <w:sz w:val="24"/>
          <w:szCs w:val="24"/>
        </w:rPr>
        <w:t>Correlation analysis of peer pressure and level of exam malpractices in KCSE</w:t>
      </w:r>
      <w:bookmarkEnd w:id="198"/>
      <w:bookmarkEnd w:id="199"/>
    </w:p>
    <w:tbl>
      <w:tblPr>
        <w:tblStyle w:val="20"/>
        <w:tblW w:w="935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6"/>
        <w:gridCol w:w="2457"/>
        <w:gridCol w:w="1642"/>
        <w:gridCol w:w="2220"/>
      </w:tblGrid>
      <w:tr w14:paraId="552997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tcBorders>
              <w:top w:val="single" w:color="auto" w:sz="4" w:space="0"/>
              <w:bottom w:val="single" w:color="auto" w:sz="4" w:space="0"/>
            </w:tcBorders>
            <w:noWrap/>
          </w:tcPr>
          <w:p w14:paraId="673980E1">
            <w:pPr>
              <w:spacing w:after="0" w:line="360" w:lineRule="auto"/>
              <w:rPr>
                <w:rFonts w:asciiTheme="majorBidi" w:hAnsiTheme="majorBidi" w:cstheme="majorBidi"/>
                <w:sz w:val="24"/>
                <w:szCs w:val="24"/>
              </w:rPr>
            </w:pPr>
            <w:r>
              <w:rPr>
                <w:rFonts w:asciiTheme="majorBidi" w:hAnsiTheme="majorBidi" w:cstheme="majorBidi"/>
                <w:sz w:val="24"/>
                <w:szCs w:val="24"/>
              </w:rPr>
              <w:t>Variable</w:t>
            </w:r>
          </w:p>
        </w:tc>
        <w:tc>
          <w:tcPr>
            <w:tcW w:w="2457" w:type="dxa"/>
            <w:tcBorders>
              <w:top w:val="single" w:color="auto" w:sz="4" w:space="0"/>
              <w:bottom w:val="single" w:color="auto" w:sz="4" w:space="0"/>
            </w:tcBorders>
            <w:noWrap/>
          </w:tcPr>
          <w:p w14:paraId="241218D9">
            <w:pPr>
              <w:spacing w:after="0" w:line="360" w:lineRule="auto"/>
              <w:jc w:val="both"/>
              <w:rPr>
                <w:rFonts w:asciiTheme="majorBidi" w:hAnsiTheme="majorBidi" w:cstheme="majorBidi"/>
                <w:sz w:val="24"/>
                <w:szCs w:val="24"/>
              </w:rPr>
            </w:pPr>
          </w:p>
        </w:tc>
        <w:tc>
          <w:tcPr>
            <w:tcW w:w="1642" w:type="dxa"/>
            <w:tcBorders>
              <w:top w:val="single" w:color="auto" w:sz="4" w:space="0"/>
              <w:bottom w:val="single" w:color="auto" w:sz="4" w:space="0"/>
            </w:tcBorders>
            <w:noWrap/>
          </w:tcPr>
          <w:p w14:paraId="654FFFE4">
            <w:pPr>
              <w:spacing w:after="0" w:line="360" w:lineRule="auto"/>
              <w:jc w:val="both"/>
              <w:rPr>
                <w:rFonts w:asciiTheme="majorBidi" w:hAnsiTheme="majorBidi" w:cstheme="majorBidi"/>
                <w:sz w:val="24"/>
                <w:szCs w:val="24"/>
              </w:rPr>
            </w:pPr>
            <w:r>
              <w:rPr>
                <w:rFonts w:asciiTheme="majorBidi" w:hAnsiTheme="majorBidi" w:cstheme="majorBidi"/>
                <w:sz w:val="24"/>
                <w:szCs w:val="24"/>
              </w:rPr>
              <w:t>Peer pressure</w:t>
            </w:r>
          </w:p>
        </w:tc>
        <w:tc>
          <w:tcPr>
            <w:tcW w:w="2220" w:type="dxa"/>
            <w:tcBorders>
              <w:top w:val="single" w:color="auto" w:sz="4" w:space="0"/>
              <w:bottom w:val="single" w:color="auto" w:sz="4" w:space="0"/>
            </w:tcBorders>
            <w:noWrap/>
          </w:tcPr>
          <w:p w14:paraId="4918BD79">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1FE984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tcBorders>
              <w:top w:val="single" w:color="auto" w:sz="4" w:space="0"/>
            </w:tcBorders>
            <w:noWrap/>
          </w:tcPr>
          <w:p w14:paraId="3798CF52">
            <w:pPr>
              <w:spacing w:after="0" w:line="360" w:lineRule="auto"/>
              <w:rPr>
                <w:rFonts w:asciiTheme="majorBidi" w:hAnsiTheme="majorBidi" w:cstheme="majorBidi"/>
                <w:sz w:val="24"/>
                <w:szCs w:val="24"/>
              </w:rPr>
            </w:pPr>
            <w:r>
              <w:rPr>
                <w:rFonts w:asciiTheme="majorBidi" w:hAnsiTheme="majorBidi" w:cstheme="majorBidi"/>
                <w:sz w:val="24"/>
                <w:szCs w:val="24"/>
              </w:rPr>
              <w:t>Peer pressure</w:t>
            </w:r>
          </w:p>
        </w:tc>
        <w:tc>
          <w:tcPr>
            <w:tcW w:w="2457" w:type="dxa"/>
            <w:tcBorders>
              <w:top w:val="single" w:color="auto" w:sz="4" w:space="0"/>
            </w:tcBorders>
            <w:noWrap/>
          </w:tcPr>
          <w:p w14:paraId="7C5644F1">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642" w:type="dxa"/>
            <w:tcBorders>
              <w:top w:val="single" w:color="auto" w:sz="4" w:space="0"/>
            </w:tcBorders>
            <w:noWrap/>
          </w:tcPr>
          <w:p w14:paraId="149FCEAF">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220" w:type="dxa"/>
            <w:tcBorders>
              <w:top w:val="single" w:color="auto" w:sz="4" w:space="0"/>
            </w:tcBorders>
            <w:noWrap/>
          </w:tcPr>
          <w:p w14:paraId="51C8D03D">
            <w:pPr>
              <w:spacing w:after="0" w:line="360" w:lineRule="auto"/>
              <w:rPr>
                <w:rFonts w:asciiTheme="majorBidi" w:hAnsiTheme="majorBidi" w:cstheme="majorBidi"/>
                <w:sz w:val="24"/>
                <w:szCs w:val="24"/>
              </w:rPr>
            </w:pPr>
            <w:r>
              <w:rPr>
                <w:rFonts w:asciiTheme="majorBidi" w:hAnsiTheme="majorBidi" w:cstheme="majorBidi"/>
                <w:sz w:val="24"/>
                <w:szCs w:val="24"/>
              </w:rPr>
              <w:t>.446**</w:t>
            </w:r>
          </w:p>
        </w:tc>
      </w:tr>
      <w:tr w14:paraId="16F09F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5C9217D6">
            <w:pPr>
              <w:spacing w:after="0" w:line="360" w:lineRule="auto"/>
              <w:rPr>
                <w:rFonts w:asciiTheme="majorBidi" w:hAnsiTheme="majorBidi" w:cstheme="majorBidi"/>
                <w:sz w:val="24"/>
                <w:szCs w:val="24"/>
              </w:rPr>
            </w:pPr>
          </w:p>
        </w:tc>
        <w:tc>
          <w:tcPr>
            <w:tcW w:w="2457" w:type="dxa"/>
            <w:noWrap/>
          </w:tcPr>
          <w:p w14:paraId="6BA9568A">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642" w:type="dxa"/>
            <w:noWrap/>
          </w:tcPr>
          <w:p w14:paraId="5A69D841">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220" w:type="dxa"/>
            <w:noWrap/>
          </w:tcPr>
          <w:p w14:paraId="299A13A6">
            <w:pPr>
              <w:spacing w:after="0" w:line="360" w:lineRule="auto"/>
              <w:rPr>
                <w:rFonts w:asciiTheme="majorBidi" w:hAnsiTheme="majorBidi" w:cstheme="majorBidi"/>
                <w:sz w:val="24"/>
                <w:szCs w:val="24"/>
              </w:rPr>
            </w:pPr>
            <w:r>
              <w:rPr>
                <w:rFonts w:asciiTheme="majorBidi" w:hAnsiTheme="majorBidi" w:cstheme="majorBidi"/>
                <w:sz w:val="24"/>
                <w:szCs w:val="24"/>
              </w:rPr>
              <w:t>0</w:t>
            </w:r>
          </w:p>
        </w:tc>
      </w:tr>
      <w:tr w14:paraId="4C3AD3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28267CD5">
            <w:pPr>
              <w:spacing w:after="0" w:line="360" w:lineRule="auto"/>
              <w:rPr>
                <w:rFonts w:asciiTheme="majorBidi" w:hAnsiTheme="majorBidi" w:cstheme="majorBidi"/>
                <w:sz w:val="24"/>
                <w:szCs w:val="24"/>
              </w:rPr>
            </w:pPr>
          </w:p>
        </w:tc>
        <w:tc>
          <w:tcPr>
            <w:tcW w:w="2457" w:type="dxa"/>
            <w:noWrap/>
          </w:tcPr>
          <w:p w14:paraId="678FB438">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642" w:type="dxa"/>
            <w:noWrap/>
          </w:tcPr>
          <w:p w14:paraId="0F01B511">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220" w:type="dxa"/>
            <w:noWrap/>
          </w:tcPr>
          <w:p w14:paraId="4F8C1628">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r w14:paraId="180D34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07C6119E">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457" w:type="dxa"/>
            <w:noWrap/>
          </w:tcPr>
          <w:p w14:paraId="549EA10E">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642" w:type="dxa"/>
            <w:noWrap/>
          </w:tcPr>
          <w:p w14:paraId="64957AF0">
            <w:pPr>
              <w:spacing w:after="0" w:line="360" w:lineRule="auto"/>
              <w:jc w:val="both"/>
              <w:rPr>
                <w:rFonts w:asciiTheme="majorBidi" w:hAnsiTheme="majorBidi" w:cstheme="majorBidi"/>
                <w:sz w:val="24"/>
                <w:szCs w:val="24"/>
              </w:rPr>
            </w:pPr>
            <w:r>
              <w:rPr>
                <w:rFonts w:asciiTheme="majorBidi" w:hAnsiTheme="majorBidi" w:cstheme="majorBidi"/>
                <w:sz w:val="24"/>
                <w:szCs w:val="24"/>
              </w:rPr>
              <w:t>.446**</w:t>
            </w:r>
          </w:p>
        </w:tc>
        <w:tc>
          <w:tcPr>
            <w:tcW w:w="2220" w:type="dxa"/>
            <w:noWrap/>
          </w:tcPr>
          <w:p w14:paraId="559A35C2">
            <w:pPr>
              <w:spacing w:after="0" w:line="360" w:lineRule="auto"/>
              <w:rPr>
                <w:rFonts w:asciiTheme="majorBidi" w:hAnsiTheme="majorBidi" w:cstheme="majorBidi"/>
                <w:sz w:val="24"/>
                <w:szCs w:val="24"/>
              </w:rPr>
            </w:pPr>
            <w:r>
              <w:rPr>
                <w:rFonts w:asciiTheme="majorBidi" w:hAnsiTheme="majorBidi" w:cstheme="majorBidi"/>
                <w:sz w:val="24"/>
                <w:szCs w:val="24"/>
              </w:rPr>
              <w:t>1</w:t>
            </w:r>
          </w:p>
        </w:tc>
      </w:tr>
      <w:tr w14:paraId="3D3CCA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4DB2A109">
            <w:pPr>
              <w:spacing w:after="0" w:line="360" w:lineRule="auto"/>
              <w:rPr>
                <w:rFonts w:asciiTheme="majorBidi" w:hAnsiTheme="majorBidi" w:cstheme="majorBidi"/>
                <w:sz w:val="24"/>
                <w:szCs w:val="24"/>
              </w:rPr>
            </w:pPr>
          </w:p>
        </w:tc>
        <w:tc>
          <w:tcPr>
            <w:tcW w:w="2457" w:type="dxa"/>
            <w:noWrap/>
          </w:tcPr>
          <w:p w14:paraId="58D8B56D">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642" w:type="dxa"/>
            <w:noWrap/>
          </w:tcPr>
          <w:p w14:paraId="0CB50AAA">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c>
          <w:tcPr>
            <w:tcW w:w="2220" w:type="dxa"/>
            <w:noWrap/>
          </w:tcPr>
          <w:p w14:paraId="1866DD19">
            <w:pPr>
              <w:spacing w:after="0" w:line="360" w:lineRule="auto"/>
              <w:rPr>
                <w:rFonts w:asciiTheme="majorBidi" w:hAnsiTheme="majorBidi" w:cstheme="majorBidi"/>
                <w:sz w:val="24"/>
                <w:szCs w:val="24"/>
              </w:rPr>
            </w:pPr>
            <w:r>
              <w:rPr>
                <w:rFonts w:asciiTheme="majorBidi" w:hAnsiTheme="majorBidi" w:cstheme="majorBidi"/>
                <w:sz w:val="24"/>
                <w:szCs w:val="24"/>
              </w:rPr>
              <w:t>.</w:t>
            </w:r>
          </w:p>
        </w:tc>
      </w:tr>
      <w:tr w14:paraId="0268E1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603314C1">
            <w:pPr>
              <w:spacing w:after="0" w:line="360" w:lineRule="auto"/>
              <w:rPr>
                <w:rFonts w:asciiTheme="majorBidi" w:hAnsiTheme="majorBidi" w:cstheme="majorBidi"/>
                <w:sz w:val="24"/>
                <w:szCs w:val="24"/>
              </w:rPr>
            </w:pPr>
          </w:p>
        </w:tc>
        <w:tc>
          <w:tcPr>
            <w:tcW w:w="2457" w:type="dxa"/>
            <w:noWrap/>
          </w:tcPr>
          <w:p w14:paraId="22B01D49">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642" w:type="dxa"/>
            <w:noWrap/>
          </w:tcPr>
          <w:p w14:paraId="596045F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220" w:type="dxa"/>
            <w:noWrap/>
          </w:tcPr>
          <w:p w14:paraId="5D68393E">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bl>
    <w:p w14:paraId="0CA6A81B">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08BC9C2">
      <w:pPr>
        <w:spacing w:line="480" w:lineRule="auto"/>
        <w:jc w:val="both"/>
        <w:rPr>
          <w:rFonts w:asciiTheme="majorBidi" w:hAnsiTheme="majorBidi" w:cstheme="majorBidi"/>
          <w:sz w:val="24"/>
          <w:szCs w:val="24"/>
        </w:rPr>
      </w:pPr>
      <w:r>
        <w:rPr>
          <w:rFonts w:asciiTheme="majorBidi" w:hAnsiTheme="majorBidi" w:cstheme="majorBidi"/>
          <w:sz w:val="24"/>
          <w:szCs w:val="24"/>
        </w:rPr>
        <w:t>The correlation analysis examines the relationship between peer pressure and the level of integrity in Kenya Certificate of Secondary Education (KCSE) examinations. The results reveal a statistically significant positive correlation coefficient of .446** between these two variables. This indicates that there is a moderate positive relationship between peer pressure and the level of integrity in KCSE examinations. The significance level (Sig. 2-tailed) is reported as 0.000, implying that the observed correlation is highly unlikely to have occurred by chance. This finding suggests that as peer pressure increases, there is a tendency for the level of integrity concern in KCSE examinations to also increase. The correlation analysis gives strong evidence to reject the first hypothesis of the study.</w:t>
      </w:r>
    </w:p>
    <w:p w14:paraId="3DC7FFEB">
      <w:pPr>
        <w:spacing w:after="0" w:line="480" w:lineRule="auto"/>
        <w:jc w:val="both"/>
        <w:rPr>
          <w:rFonts w:asciiTheme="majorBidi" w:hAnsiTheme="majorBidi" w:cstheme="majorBidi"/>
          <w:sz w:val="24"/>
          <w:szCs w:val="24"/>
        </w:rPr>
      </w:pPr>
      <w:r>
        <w:rPr>
          <w:rFonts w:asciiTheme="majorBidi" w:hAnsiTheme="majorBidi" w:cstheme="majorBidi"/>
          <w:sz w:val="24"/>
          <w:szCs w:val="24"/>
        </w:rPr>
        <w:t>The correlation analysis conducted in this study provides information into the relationship between peer pressure and the level of integrity in Kenya Certificate of Secondary Education (KCSE) examinations. The statistically significant positive correlation coefficient of .446** suggests a moderate positive relationship between these two variables, indicating that as peer pressure increases, there is a tendency for the level of integrity concern in KCSE examinations to also increase. This finding challenges the initial hypothesis of the study, suggesting that peer pressure may play a significant role in influencing students' behaviors related to exam integrity.</w:t>
      </w:r>
    </w:p>
    <w:p w14:paraId="074759B5">
      <w:pPr>
        <w:spacing w:after="0" w:line="480" w:lineRule="auto"/>
        <w:jc w:val="both"/>
        <w:rPr>
          <w:rFonts w:asciiTheme="majorBidi" w:hAnsiTheme="majorBidi" w:cstheme="majorBidi"/>
          <w:sz w:val="24"/>
          <w:szCs w:val="24"/>
        </w:rPr>
      </w:pPr>
      <w:r>
        <w:rPr>
          <w:rFonts w:asciiTheme="majorBidi" w:hAnsiTheme="majorBidi" w:cstheme="majorBidi"/>
          <w:sz w:val="24"/>
          <w:szCs w:val="24"/>
        </w:rPr>
        <w:t>However, the relationship between peer pressure and exam malpractice appears to be a topic of ongoing debate in recent literature. On one hand, the findings of a 2013 Nigerian study by Okorodudu (2013) suggest a positive correlation between peer pressure and students' willingness to engage in exam malpractice. This implies that pressure from peers can indeed influence students towards cheating, potentially undermining the integrity of examinations. Conversely, a contrasting viewpoint emerges from a study by Bassey and Iruonje (2016), which found a negative correlation between peer pressure and exam malpractice. Their research suggests that peer pressure might actually discourage students from cheating, indicating the presence of positive peer influence promoting honest test-taking behaviors. These divergent findings bring to light the complex and nuanced nature of peer pressure dynamics in educational settings and their impact on academic integrity. While the correlation analysis in this study points towards a positive relationship between peer pressure and integrity concern in KCSE examinations, it's essential to acknowledge the potential mitigating factors and contextual nuances that may influence this relationship. Factors such as the nature of peer relationships, school culture, and individual differences in susceptibility to peer influence could all play a role in shaping students' responses to peer pressure in the context of academic integrity.</w:t>
      </w:r>
    </w:p>
    <w:p w14:paraId="5ACDA43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Additionally, the interviews on the principals indicated that the role of societal pressure and expectations emerged as influential factors contributing to the prevalence of exam malpractice, as highlighted by educational administrators and principals. In discussions surrounding the root causes of academic dishonesty, these stakeholders underscored how the pervasive pressure to excel academically, largely driven by societal norms and expectations, can significantly impact students' ethical decision-making processes. In interviews conducted with school administrators, one principal elaborated on this notion, stating, </w:t>
      </w:r>
      <w:r>
        <w:rPr>
          <w:rFonts w:asciiTheme="majorBidi" w:hAnsiTheme="majorBidi" w:cstheme="majorBidi"/>
          <w:i/>
          <w:iCs/>
          <w:sz w:val="24"/>
          <w:szCs w:val="24"/>
        </w:rPr>
        <w:t>"The pressure on students to perform well in examinations is immense, and this pressure often translates into unethical behavior, such as cheating."</w:t>
      </w:r>
      <w:r>
        <w:rPr>
          <w:rFonts w:asciiTheme="majorBidi" w:hAnsiTheme="majorBidi" w:cstheme="majorBidi"/>
          <w:sz w:val="24"/>
          <w:szCs w:val="24"/>
        </w:rPr>
        <w:t xml:space="preserve"> This sentiment was echoed by several other administrators, who emphasized the profound influence of societal expectations on students' attitudes towards academic integrity. </w:t>
      </w:r>
    </w:p>
    <w:p w14:paraId="6259655C">
      <w:pPr>
        <w:spacing w:line="480" w:lineRule="auto"/>
        <w:jc w:val="both"/>
        <w:rPr>
          <w:rFonts w:asciiTheme="majorBidi" w:hAnsiTheme="majorBidi" w:cstheme="majorBidi"/>
          <w:sz w:val="24"/>
          <w:szCs w:val="24"/>
        </w:rPr>
      </w:pPr>
      <w:r>
        <w:rPr>
          <w:rFonts w:asciiTheme="majorBidi" w:hAnsiTheme="majorBidi" w:cstheme="majorBidi"/>
          <w:sz w:val="24"/>
          <w:szCs w:val="24"/>
        </w:rPr>
        <w:t>Furthermore, the influence of peer pressure on students' propensity to engage in exam malpractice was a recurring theme in discussions surrounding academic integrity. Administrators and educators alike highlighted how students are susceptible to the behaviors and attitudes of their peers, particularly in high-pressure academic environments. In interviews conducted with school administrators, one principal elaborated on this phenomenon, stating, "</w:t>
      </w:r>
      <w:r>
        <w:rPr>
          <w:rFonts w:asciiTheme="majorBidi" w:hAnsiTheme="majorBidi" w:cstheme="majorBidi"/>
          <w:i/>
          <w:iCs/>
          <w:sz w:val="24"/>
          <w:szCs w:val="24"/>
        </w:rPr>
        <w:t>Students are more likely to cheat in exams if they perceive their peers engaging in similar behaviors without consequences. The desire to conform to peer norms and expectations can override their moral compass, leading them to compromise their integrity."</w:t>
      </w:r>
      <w:r>
        <w:rPr>
          <w:rFonts w:asciiTheme="majorBidi" w:hAnsiTheme="majorBidi" w:cstheme="majorBidi"/>
          <w:sz w:val="24"/>
          <w:szCs w:val="24"/>
        </w:rPr>
        <w:t xml:space="preserve"> This observation underscores the powerful influence of peer dynamics on students' ethical decision-making processes and highlights the need for targeted interventions to address peer pressure in educational settings.</w:t>
      </w:r>
    </w:p>
    <w:p w14:paraId="1A925BFB">
      <w:pPr>
        <w:pStyle w:val="2"/>
        <w:numPr>
          <w:ilvl w:val="2"/>
          <w:numId w:val="20"/>
        </w:numPr>
        <w:spacing w:before="0" w:after="240"/>
        <w:rPr>
          <w:rFonts w:asciiTheme="majorBidi" w:hAnsiTheme="majorBidi"/>
          <w:color w:val="auto"/>
          <w:sz w:val="24"/>
          <w:szCs w:val="24"/>
        </w:rPr>
      </w:pPr>
      <w:bookmarkStart w:id="200" w:name="_Toc164927747"/>
      <w:bookmarkStart w:id="201" w:name="_Toc194822654"/>
      <w:r>
        <w:rPr>
          <w:rFonts w:asciiTheme="majorBidi" w:hAnsiTheme="majorBidi"/>
          <w:color w:val="auto"/>
          <w:sz w:val="24"/>
          <w:szCs w:val="24"/>
        </w:rPr>
        <w:t>Parents Involvement</w:t>
      </w:r>
      <w:bookmarkEnd w:id="200"/>
      <w:r>
        <w:rPr>
          <w:rFonts w:asciiTheme="majorBidi" w:hAnsiTheme="majorBidi"/>
          <w:color w:val="auto"/>
          <w:sz w:val="24"/>
          <w:szCs w:val="24"/>
        </w:rPr>
        <w:t xml:space="preserve"> and Level of Exam Malpractices in KCSE</w:t>
      </w:r>
      <w:bookmarkEnd w:id="201"/>
    </w:p>
    <w:p w14:paraId="7BDF72B0">
      <w:pPr>
        <w:spacing w:line="480" w:lineRule="auto"/>
        <w:jc w:val="both"/>
        <w:rPr>
          <w:rFonts w:asciiTheme="majorBidi" w:hAnsiTheme="majorBidi" w:cstheme="majorBidi"/>
          <w:sz w:val="24"/>
          <w:szCs w:val="24"/>
        </w:rPr>
      </w:pPr>
      <w:bookmarkStart w:id="202" w:name="_Hlk165139598"/>
      <w:r>
        <w:rPr>
          <w:rFonts w:asciiTheme="majorBidi" w:hAnsiTheme="majorBidi" w:cstheme="majorBidi"/>
          <w:sz w:val="24"/>
          <w:szCs w:val="24"/>
        </w:rPr>
        <w:t>The second objective of the research was to investigate the influence of parent involvement in the academic integrity and examination malpractices in secondary schools in Garissa Township Sub County.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8 and 9 present the results on this objective.</w:t>
      </w:r>
    </w:p>
    <w:bookmarkEnd w:id="202"/>
    <w:p w14:paraId="463FC738">
      <w:pPr>
        <w:pStyle w:val="2"/>
        <w:spacing w:before="0" w:line="480" w:lineRule="auto"/>
        <w:rPr>
          <w:rFonts w:asciiTheme="majorBidi" w:hAnsiTheme="majorBidi"/>
          <w:b w:val="0"/>
          <w:bCs w:val="0"/>
          <w:color w:val="auto"/>
          <w:sz w:val="24"/>
          <w:szCs w:val="24"/>
        </w:rPr>
      </w:pPr>
      <w:bookmarkStart w:id="203" w:name="_Toc194769935"/>
      <w:bookmarkStart w:id="204" w:name="_Toc194822655"/>
      <w:r>
        <w:rPr>
          <w:rFonts w:asciiTheme="majorBidi" w:hAnsiTheme="majorBidi"/>
          <w:b w:val="0"/>
          <w:bCs w:val="0"/>
          <w:color w:val="auto"/>
          <w:sz w:val="24"/>
          <w:szCs w:val="24"/>
        </w:rPr>
        <w:t>Table 8:</w:t>
      </w:r>
      <w:bookmarkEnd w:id="203"/>
      <w:bookmarkEnd w:id="204"/>
    </w:p>
    <w:p w14:paraId="17CA7DCC">
      <w:pPr>
        <w:pStyle w:val="2"/>
        <w:spacing w:before="0" w:line="480" w:lineRule="auto"/>
        <w:rPr>
          <w:rFonts w:asciiTheme="majorBidi" w:hAnsiTheme="majorBidi"/>
          <w:b w:val="0"/>
          <w:bCs w:val="0"/>
          <w:i/>
          <w:iCs/>
          <w:color w:val="auto"/>
          <w:sz w:val="24"/>
          <w:szCs w:val="24"/>
        </w:rPr>
      </w:pPr>
      <w:r>
        <w:rPr>
          <w:rFonts w:asciiTheme="majorBidi" w:hAnsiTheme="majorBidi"/>
          <w:b w:val="0"/>
          <w:bCs w:val="0"/>
          <w:i/>
          <w:iCs/>
          <w:color w:val="auto"/>
          <w:sz w:val="24"/>
          <w:szCs w:val="24"/>
        </w:rPr>
        <w:t xml:space="preserve"> </w:t>
      </w:r>
      <w:bookmarkStart w:id="205" w:name="_Toc194769936"/>
      <w:bookmarkStart w:id="206" w:name="_Toc194822656"/>
      <w:r>
        <w:rPr>
          <w:rFonts w:asciiTheme="majorBidi" w:hAnsiTheme="majorBidi"/>
          <w:b w:val="0"/>
          <w:bCs w:val="0"/>
          <w:i/>
          <w:iCs/>
          <w:color w:val="auto"/>
          <w:sz w:val="24"/>
          <w:szCs w:val="24"/>
        </w:rPr>
        <w:t>Descriptive analysis on parents’ involvement and Level of Exam Malpractices in KCSE</w:t>
      </w:r>
      <w:bookmarkEnd w:id="205"/>
      <w:bookmarkEnd w:id="206"/>
      <w:r>
        <w:rPr>
          <w:rFonts w:asciiTheme="majorBidi" w:hAnsiTheme="majorBidi"/>
          <w:b w:val="0"/>
          <w:bCs w:val="0"/>
          <w:i/>
          <w:iCs/>
          <w:color w:val="auto"/>
          <w:sz w:val="24"/>
          <w:szCs w:val="24"/>
        </w:rPr>
        <w:t xml:space="preserve"> </w:t>
      </w:r>
    </w:p>
    <w:tbl>
      <w:tblPr>
        <w:tblStyle w:val="20"/>
        <w:tblW w:w="89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5"/>
        <w:gridCol w:w="636"/>
        <w:gridCol w:w="849"/>
        <w:gridCol w:w="849"/>
        <w:gridCol w:w="1058"/>
        <w:gridCol w:w="971"/>
        <w:gridCol w:w="971"/>
      </w:tblGrid>
      <w:tr w14:paraId="5B1442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tcBorders>
              <w:bottom w:val="single" w:color="auto" w:sz="4" w:space="0"/>
            </w:tcBorders>
            <w:noWrap/>
          </w:tcPr>
          <w:p w14:paraId="4E48B567">
            <w:pPr>
              <w:spacing w:after="0" w:line="360" w:lineRule="auto"/>
              <w:rPr>
                <w:rFonts w:asciiTheme="majorBidi" w:hAnsiTheme="majorBidi" w:cstheme="majorBidi"/>
                <w:b/>
                <w:bCs/>
                <w:sz w:val="24"/>
                <w:szCs w:val="24"/>
              </w:rPr>
            </w:pPr>
          </w:p>
        </w:tc>
        <w:tc>
          <w:tcPr>
            <w:tcW w:w="636" w:type="dxa"/>
            <w:tcBorders>
              <w:bottom w:val="single" w:color="auto" w:sz="4" w:space="0"/>
            </w:tcBorders>
          </w:tcPr>
          <w:p w14:paraId="50FEB18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49" w:type="dxa"/>
            <w:tcBorders>
              <w:bottom w:val="single" w:color="auto" w:sz="4" w:space="0"/>
            </w:tcBorders>
            <w:noWrap/>
          </w:tcPr>
          <w:p w14:paraId="56641665">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849" w:type="dxa"/>
            <w:tcBorders>
              <w:bottom w:val="single" w:color="auto" w:sz="4" w:space="0"/>
            </w:tcBorders>
            <w:noWrap/>
          </w:tcPr>
          <w:p w14:paraId="58BC02B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1058" w:type="dxa"/>
            <w:tcBorders>
              <w:bottom w:val="single" w:color="auto" w:sz="4" w:space="0"/>
            </w:tcBorders>
            <w:noWrap/>
          </w:tcPr>
          <w:p w14:paraId="3FC056FB">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71" w:type="dxa"/>
            <w:tcBorders>
              <w:bottom w:val="single" w:color="auto" w:sz="4" w:space="0"/>
            </w:tcBorders>
            <w:noWrap/>
          </w:tcPr>
          <w:p w14:paraId="50D5BFBD">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71" w:type="dxa"/>
            <w:tcBorders>
              <w:bottom w:val="single" w:color="auto" w:sz="4" w:space="0"/>
            </w:tcBorders>
            <w:noWrap/>
          </w:tcPr>
          <w:p w14:paraId="3329865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31ED7D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tcBorders>
              <w:top w:val="single" w:color="auto" w:sz="4" w:space="0"/>
              <w:bottom w:val="nil"/>
            </w:tcBorders>
            <w:noWrap/>
          </w:tcPr>
          <w:p w14:paraId="335941B7">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636" w:type="dxa"/>
            <w:tcBorders>
              <w:top w:val="single" w:color="auto" w:sz="4" w:space="0"/>
              <w:bottom w:val="nil"/>
            </w:tcBorders>
          </w:tcPr>
          <w:p w14:paraId="780E52E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tcBorders>
              <w:top w:val="single" w:color="auto" w:sz="4" w:space="0"/>
              <w:bottom w:val="nil"/>
            </w:tcBorders>
            <w:noWrap/>
          </w:tcPr>
          <w:p w14:paraId="023AD05E">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49" w:type="dxa"/>
            <w:tcBorders>
              <w:top w:val="single" w:color="auto" w:sz="4" w:space="0"/>
              <w:bottom w:val="nil"/>
            </w:tcBorders>
            <w:noWrap/>
          </w:tcPr>
          <w:p w14:paraId="2558532F">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1058" w:type="dxa"/>
            <w:tcBorders>
              <w:top w:val="single" w:color="auto" w:sz="4" w:space="0"/>
              <w:bottom w:val="nil"/>
            </w:tcBorders>
            <w:noWrap/>
          </w:tcPr>
          <w:p w14:paraId="487BEBEC">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971" w:type="dxa"/>
            <w:tcBorders>
              <w:top w:val="single" w:color="auto" w:sz="4" w:space="0"/>
              <w:bottom w:val="nil"/>
            </w:tcBorders>
            <w:noWrap/>
          </w:tcPr>
          <w:p w14:paraId="55168FE7">
            <w:pPr>
              <w:spacing w:after="0" w:line="360" w:lineRule="auto"/>
              <w:jc w:val="both"/>
              <w:rPr>
                <w:rFonts w:asciiTheme="majorBidi" w:hAnsiTheme="majorBidi" w:cstheme="majorBidi"/>
                <w:sz w:val="24"/>
                <w:szCs w:val="24"/>
              </w:rPr>
            </w:pPr>
            <w:r>
              <w:rPr>
                <w:rFonts w:asciiTheme="majorBidi" w:hAnsiTheme="majorBidi" w:cstheme="majorBidi"/>
                <w:sz w:val="24"/>
                <w:szCs w:val="24"/>
              </w:rPr>
              <w:t>43.00%</w:t>
            </w:r>
          </w:p>
        </w:tc>
        <w:tc>
          <w:tcPr>
            <w:tcW w:w="971" w:type="dxa"/>
            <w:tcBorders>
              <w:top w:val="single" w:color="auto" w:sz="4" w:space="0"/>
              <w:bottom w:val="nil"/>
            </w:tcBorders>
            <w:noWrap/>
          </w:tcPr>
          <w:p w14:paraId="5D9B8295">
            <w:pPr>
              <w:spacing w:after="0" w:line="360" w:lineRule="auto"/>
              <w:jc w:val="both"/>
              <w:rPr>
                <w:rFonts w:asciiTheme="majorBidi" w:hAnsiTheme="majorBidi" w:cstheme="majorBidi"/>
                <w:sz w:val="24"/>
                <w:szCs w:val="24"/>
              </w:rPr>
            </w:pPr>
            <w:r>
              <w:rPr>
                <w:rFonts w:asciiTheme="majorBidi" w:hAnsiTheme="majorBidi" w:cstheme="majorBidi"/>
                <w:sz w:val="24"/>
                <w:szCs w:val="24"/>
              </w:rPr>
              <w:t>43.80%</w:t>
            </w:r>
          </w:p>
        </w:tc>
      </w:tr>
      <w:tr w14:paraId="5AF5BA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tcBorders>
              <w:top w:val="nil"/>
            </w:tcBorders>
            <w:noWrap/>
          </w:tcPr>
          <w:p w14:paraId="7EE2226C">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decision making on exam integrity.</w:t>
            </w:r>
          </w:p>
        </w:tc>
        <w:tc>
          <w:tcPr>
            <w:tcW w:w="636" w:type="dxa"/>
            <w:tcBorders>
              <w:top w:val="nil"/>
            </w:tcBorders>
          </w:tcPr>
          <w:p w14:paraId="204FAA29">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tcBorders>
              <w:top w:val="nil"/>
            </w:tcBorders>
            <w:noWrap/>
          </w:tcPr>
          <w:p w14:paraId="444F81DE">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49" w:type="dxa"/>
            <w:tcBorders>
              <w:top w:val="nil"/>
            </w:tcBorders>
            <w:noWrap/>
          </w:tcPr>
          <w:p w14:paraId="39360C92">
            <w:pPr>
              <w:spacing w:after="0" w:line="360" w:lineRule="auto"/>
              <w:jc w:val="both"/>
              <w:rPr>
                <w:rFonts w:asciiTheme="majorBidi" w:hAnsiTheme="majorBidi" w:cstheme="majorBidi"/>
                <w:sz w:val="24"/>
                <w:szCs w:val="24"/>
              </w:rPr>
            </w:pPr>
            <w:r>
              <w:rPr>
                <w:rFonts w:asciiTheme="majorBidi" w:hAnsiTheme="majorBidi" w:cstheme="majorBidi"/>
                <w:sz w:val="24"/>
                <w:szCs w:val="24"/>
              </w:rPr>
              <w:t>3.10%</w:t>
            </w:r>
          </w:p>
        </w:tc>
        <w:tc>
          <w:tcPr>
            <w:tcW w:w="1058" w:type="dxa"/>
            <w:tcBorders>
              <w:top w:val="nil"/>
            </w:tcBorders>
            <w:noWrap/>
          </w:tcPr>
          <w:p w14:paraId="698D1E98">
            <w:pPr>
              <w:spacing w:after="0" w:line="360" w:lineRule="auto"/>
              <w:jc w:val="both"/>
              <w:rPr>
                <w:rFonts w:asciiTheme="majorBidi" w:hAnsiTheme="majorBidi" w:cstheme="majorBidi"/>
                <w:sz w:val="24"/>
                <w:szCs w:val="24"/>
              </w:rPr>
            </w:pPr>
            <w:r>
              <w:rPr>
                <w:rFonts w:asciiTheme="majorBidi" w:hAnsiTheme="majorBidi" w:cstheme="majorBidi"/>
                <w:sz w:val="24"/>
                <w:szCs w:val="24"/>
              </w:rPr>
              <w:t>14.80%</w:t>
            </w:r>
          </w:p>
        </w:tc>
        <w:tc>
          <w:tcPr>
            <w:tcW w:w="971" w:type="dxa"/>
            <w:tcBorders>
              <w:top w:val="nil"/>
            </w:tcBorders>
            <w:noWrap/>
          </w:tcPr>
          <w:p w14:paraId="65DB9A16">
            <w:pPr>
              <w:spacing w:after="0" w:line="360" w:lineRule="auto"/>
              <w:jc w:val="both"/>
              <w:rPr>
                <w:rFonts w:asciiTheme="majorBidi" w:hAnsiTheme="majorBidi" w:cstheme="majorBidi"/>
                <w:sz w:val="24"/>
                <w:szCs w:val="24"/>
              </w:rPr>
            </w:pPr>
            <w:r>
              <w:rPr>
                <w:rFonts w:asciiTheme="majorBidi" w:hAnsiTheme="majorBidi" w:cstheme="majorBidi"/>
                <w:sz w:val="24"/>
                <w:szCs w:val="24"/>
              </w:rPr>
              <w:t>48.40%</w:t>
            </w:r>
          </w:p>
        </w:tc>
        <w:tc>
          <w:tcPr>
            <w:tcW w:w="971" w:type="dxa"/>
            <w:tcBorders>
              <w:top w:val="nil"/>
            </w:tcBorders>
            <w:noWrap/>
          </w:tcPr>
          <w:p w14:paraId="34B33B46">
            <w:pPr>
              <w:spacing w:after="0" w:line="360" w:lineRule="auto"/>
              <w:jc w:val="both"/>
              <w:rPr>
                <w:rFonts w:asciiTheme="majorBidi" w:hAnsiTheme="majorBidi" w:cstheme="majorBidi"/>
                <w:sz w:val="24"/>
                <w:szCs w:val="24"/>
              </w:rPr>
            </w:pPr>
            <w:r>
              <w:rPr>
                <w:rFonts w:asciiTheme="majorBidi" w:hAnsiTheme="majorBidi" w:cstheme="majorBidi"/>
                <w:sz w:val="24"/>
                <w:szCs w:val="24"/>
              </w:rPr>
              <w:t>32.80%</w:t>
            </w:r>
          </w:p>
        </w:tc>
      </w:tr>
      <w:tr w14:paraId="2E8F59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noWrap/>
          </w:tcPr>
          <w:p w14:paraId="200F2A66">
            <w:pPr>
              <w:spacing w:after="0" w:line="360" w:lineRule="auto"/>
              <w:rPr>
                <w:rFonts w:asciiTheme="majorBidi" w:hAnsiTheme="majorBidi" w:cstheme="majorBidi"/>
                <w:sz w:val="24"/>
                <w:szCs w:val="24"/>
              </w:rPr>
            </w:pPr>
            <w:r>
              <w:rPr>
                <w:rFonts w:asciiTheme="majorBidi" w:hAnsiTheme="majorBidi" w:cstheme="majorBidi"/>
                <w:sz w:val="24"/>
                <w:szCs w:val="24"/>
              </w:rPr>
              <w:t>Family backgrounds and financial situations of students impact their involvement in Exam malpractice.</w:t>
            </w:r>
          </w:p>
        </w:tc>
        <w:tc>
          <w:tcPr>
            <w:tcW w:w="636" w:type="dxa"/>
          </w:tcPr>
          <w:p w14:paraId="42769BA8">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noWrap/>
          </w:tcPr>
          <w:p w14:paraId="00DA4AAC">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849" w:type="dxa"/>
            <w:noWrap/>
          </w:tcPr>
          <w:p w14:paraId="516F6420">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1058" w:type="dxa"/>
            <w:noWrap/>
          </w:tcPr>
          <w:p w14:paraId="39610FF2">
            <w:pPr>
              <w:spacing w:after="0" w:line="360" w:lineRule="auto"/>
              <w:jc w:val="both"/>
              <w:rPr>
                <w:rFonts w:asciiTheme="majorBidi" w:hAnsiTheme="majorBidi" w:cstheme="majorBidi"/>
                <w:sz w:val="24"/>
                <w:szCs w:val="24"/>
              </w:rPr>
            </w:pPr>
            <w:r>
              <w:rPr>
                <w:rFonts w:asciiTheme="majorBidi" w:hAnsiTheme="majorBidi" w:cstheme="majorBidi"/>
                <w:sz w:val="24"/>
                <w:szCs w:val="24"/>
              </w:rPr>
              <w:t>16.40%</w:t>
            </w:r>
          </w:p>
        </w:tc>
        <w:tc>
          <w:tcPr>
            <w:tcW w:w="971" w:type="dxa"/>
            <w:noWrap/>
          </w:tcPr>
          <w:p w14:paraId="5BAD8091">
            <w:pPr>
              <w:spacing w:after="0" w:line="360" w:lineRule="auto"/>
              <w:jc w:val="both"/>
              <w:rPr>
                <w:rFonts w:asciiTheme="majorBidi" w:hAnsiTheme="majorBidi" w:cstheme="majorBidi"/>
                <w:sz w:val="24"/>
                <w:szCs w:val="24"/>
              </w:rPr>
            </w:pPr>
            <w:r>
              <w:rPr>
                <w:rFonts w:asciiTheme="majorBidi" w:hAnsiTheme="majorBidi" w:cstheme="majorBidi"/>
                <w:sz w:val="24"/>
                <w:szCs w:val="24"/>
              </w:rPr>
              <w:t>54.70%</w:t>
            </w:r>
          </w:p>
        </w:tc>
        <w:tc>
          <w:tcPr>
            <w:tcW w:w="971" w:type="dxa"/>
            <w:noWrap/>
          </w:tcPr>
          <w:p w14:paraId="2A2A29B9">
            <w:pPr>
              <w:spacing w:after="0" w:line="360" w:lineRule="auto"/>
              <w:jc w:val="both"/>
              <w:rPr>
                <w:rFonts w:asciiTheme="majorBidi" w:hAnsiTheme="majorBidi" w:cstheme="majorBidi"/>
                <w:sz w:val="24"/>
                <w:szCs w:val="24"/>
              </w:rPr>
            </w:pPr>
            <w:r>
              <w:rPr>
                <w:rFonts w:asciiTheme="majorBidi" w:hAnsiTheme="majorBidi" w:cstheme="majorBidi"/>
                <w:sz w:val="24"/>
                <w:szCs w:val="24"/>
              </w:rPr>
              <w:t>22.70%</w:t>
            </w:r>
          </w:p>
        </w:tc>
      </w:tr>
      <w:tr w14:paraId="021EE0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noWrap/>
          </w:tcPr>
          <w:p w14:paraId="4C572B92">
            <w:pPr>
              <w:spacing w:after="0" w:line="360" w:lineRule="auto"/>
              <w:rPr>
                <w:rFonts w:asciiTheme="majorBidi" w:hAnsiTheme="majorBidi" w:cstheme="majorBidi"/>
                <w:sz w:val="24"/>
                <w:szCs w:val="24"/>
              </w:rPr>
            </w:pPr>
            <w:r>
              <w:rPr>
                <w:rFonts w:asciiTheme="majorBidi" w:hAnsiTheme="majorBidi" w:cstheme="majorBidi"/>
                <w:sz w:val="24"/>
                <w:szCs w:val="24"/>
              </w:rPr>
              <w:t>Parents who instill values of honesty and integrity in their children contribute to a culture of academic honesty.</w:t>
            </w:r>
          </w:p>
        </w:tc>
        <w:tc>
          <w:tcPr>
            <w:tcW w:w="636" w:type="dxa"/>
          </w:tcPr>
          <w:p w14:paraId="02C16E8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noWrap/>
          </w:tcPr>
          <w:p w14:paraId="472F6B90">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49" w:type="dxa"/>
            <w:noWrap/>
          </w:tcPr>
          <w:p w14:paraId="013E3FE5">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1058" w:type="dxa"/>
            <w:noWrap/>
          </w:tcPr>
          <w:p w14:paraId="4C25D9BB">
            <w:pPr>
              <w:spacing w:after="0" w:line="360" w:lineRule="auto"/>
              <w:jc w:val="both"/>
              <w:rPr>
                <w:rFonts w:asciiTheme="majorBidi" w:hAnsiTheme="majorBidi" w:cstheme="majorBidi"/>
                <w:sz w:val="24"/>
                <w:szCs w:val="24"/>
              </w:rPr>
            </w:pPr>
            <w:r>
              <w:rPr>
                <w:rFonts w:asciiTheme="majorBidi" w:hAnsiTheme="majorBidi" w:cstheme="majorBidi"/>
                <w:sz w:val="24"/>
                <w:szCs w:val="24"/>
              </w:rPr>
              <w:t>25.00%</w:t>
            </w:r>
          </w:p>
        </w:tc>
        <w:tc>
          <w:tcPr>
            <w:tcW w:w="971" w:type="dxa"/>
            <w:noWrap/>
          </w:tcPr>
          <w:p w14:paraId="631EB4D9">
            <w:pPr>
              <w:spacing w:after="0" w:line="360" w:lineRule="auto"/>
              <w:jc w:val="both"/>
              <w:rPr>
                <w:rFonts w:asciiTheme="majorBidi" w:hAnsiTheme="majorBidi" w:cstheme="majorBidi"/>
                <w:sz w:val="24"/>
                <w:szCs w:val="24"/>
              </w:rPr>
            </w:pPr>
            <w:r>
              <w:rPr>
                <w:rFonts w:asciiTheme="majorBidi" w:hAnsiTheme="majorBidi" w:cstheme="majorBidi"/>
                <w:sz w:val="24"/>
                <w:szCs w:val="24"/>
              </w:rPr>
              <w:t>56.30%</w:t>
            </w:r>
          </w:p>
        </w:tc>
        <w:tc>
          <w:tcPr>
            <w:tcW w:w="971" w:type="dxa"/>
            <w:noWrap/>
          </w:tcPr>
          <w:p w14:paraId="2C0CCCF0">
            <w:pPr>
              <w:spacing w:after="0" w:line="360" w:lineRule="auto"/>
              <w:jc w:val="both"/>
              <w:rPr>
                <w:rFonts w:asciiTheme="majorBidi" w:hAnsiTheme="majorBidi" w:cstheme="majorBidi"/>
                <w:sz w:val="24"/>
                <w:szCs w:val="24"/>
              </w:rPr>
            </w:pPr>
            <w:r>
              <w:rPr>
                <w:rFonts w:asciiTheme="majorBidi" w:hAnsiTheme="majorBidi" w:cstheme="majorBidi"/>
                <w:sz w:val="24"/>
                <w:szCs w:val="24"/>
              </w:rPr>
              <w:t>14.10%</w:t>
            </w:r>
          </w:p>
        </w:tc>
      </w:tr>
    </w:tbl>
    <w:p w14:paraId="75950CF0">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BC817B3">
      <w:pPr>
        <w:spacing w:after="0" w:line="480" w:lineRule="auto"/>
        <w:jc w:val="both"/>
        <w:rPr>
          <w:rFonts w:asciiTheme="majorBidi" w:hAnsiTheme="majorBidi" w:cstheme="majorBidi"/>
          <w:sz w:val="24"/>
          <w:szCs w:val="24"/>
        </w:rPr>
      </w:pPr>
      <w:r>
        <w:rPr>
          <w:rFonts w:asciiTheme="majorBidi" w:hAnsiTheme="majorBidi" w:cstheme="majorBidi"/>
          <w:sz w:val="24"/>
          <w:szCs w:val="24"/>
        </w:rPr>
        <w:t>The table outlines respondents' perspectives on the involvement of parents in addressing academic integrity and examination malpractices issues within secondary schools in Garissa Township Sub County, Kenya. Across the provided statements, various aspects of parental involvement and its impact on academic integrity are explored. The table includes percentages representing the distribution of responses across different categories of agreement and it was found that there is positive relationship. Questionnaire items 6-9 were used to test</w:t>
      </w:r>
      <w:r>
        <w:rPr>
          <w:rFonts w:asciiTheme="majorBidi" w:hAnsiTheme="majorBidi" w:cstheme="majorBidi"/>
          <w:b/>
          <w:bCs/>
          <w:sz w:val="24"/>
          <w:szCs w:val="24"/>
        </w:rPr>
        <w:t xml:space="preserve">. </w:t>
      </w:r>
    </w:p>
    <w:p w14:paraId="293EEAC5">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43.00% agreeing and 43.80% strongly agreeing of the respondents of questionnaire item 6 suggests that a high level of parental engagement in monitoring their children's academic progress and potentially contributing to maintaining examination integrity. Parents are involved in communication with teachers on their children's academic lives.</w:t>
      </w:r>
      <w:r>
        <w:rPr>
          <w:rFonts w:asciiTheme="majorBidi" w:hAnsiTheme="majorBidi" w:cstheme="majorBidi"/>
          <w:b/>
          <w:bCs/>
        </w:rPr>
        <w:t xml:space="preserve"> </w:t>
      </w:r>
      <w:r>
        <w:rPr>
          <w:rFonts w:asciiTheme="majorBidi" w:hAnsiTheme="majorBidi" w:cstheme="majorBidi"/>
        </w:rPr>
        <w:t>Parental involvement in their children's academic lives is a crucial aspect of educational success (Okafor et al., 2013). Parents who communicate regularly with teachers can have a positive impact on their children's learning outcomes, behavior, and overall academic development.</w:t>
      </w:r>
      <w:r>
        <w:rPr>
          <w:rFonts w:asciiTheme="majorBidi" w:hAnsiTheme="majorBidi" w:cstheme="majorBidi"/>
          <w:b/>
          <w:bCs/>
        </w:rPr>
        <w:t xml:space="preserve"> </w:t>
      </w:r>
      <w:r>
        <w:rPr>
          <w:rFonts w:asciiTheme="majorBidi" w:hAnsiTheme="majorBidi" w:cstheme="majorBidi"/>
        </w:rPr>
        <w:t xml:space="preserve">Regular communication with teachers allows parents to stay informed about their child's academic progress, including strengths and areas for improvement. This can help parents provide additional support at home and address any learning gaps early (Fan &amp; Chen, 2001). </w:t>
      </w:r>
    </w:p>
    <w:p w14:paraId="78DC5EE0">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According to Epstein (2001), successful schools maintain open lines of communication with parents, fostering an environment where parents feel welcome and informed about their children's academic progress (Epstein, 2001). Teachers can alert parents to behavioral issues or patterns they observe in the classroom. This early intervention allows parents and teachers to work together to address these issues and promote positive behavior. Parents who communicate with teachers can better understand classroom expectations, homework assignments, and study habits (Hill &amp; Tyson, 2009). This helps parents create a supportive learning environment at home and ensure their child stays on track with their studies. Parents who are involved and communicate with teachers are more likely to encourage their children to participate in academic and extracurricular activities. This engagement can lead to a more well-rounded educational experience and foster social development. Teachers can share insights about a child's emotional well-being with parents, helping them provide emotional support at home. This is particularly important during challenging times or when the child faces academic or personal stress. Despite the benefits, there can be challenges in parent-teacher communication. Cultural and language barriers, as well as differing expectations, can hinder effective communication (Henderson &amp; Mapp, 2002). </w:t>
      </w:r>
    </w:p>
    <w:p w14:paraId="2D473587">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Similarly, a significant proportion of respondents agree or strongly agree that parents are involved in decision-making processes related to exam integrity, with 48.40% agreeing and 32.80% strongly agreeing in questionnaire item 7. </w:t>
      </w:r>
      <w:r>
        <w:rPr>
          <w:rFonts w:asciiTheme="majorBidi" w:hAnsiTheme="majorBidi" w:cstheme="majorBidi"/>
          <w:b/>
          <w:bCs/>
        </w:rPr>
        <w:t xml:space="preserve"> </w:t>
      </w:r>
      <w:r>
        <w:rPr>
          <w:rFonts w:asciiTheme="majorBidi" w:hAnsiTheme="majorBidi" w:cstheme="majorBidi"/>
        </w:rPr>
        <w:t xml:space="preserve">Parents can play a significant role in promoting exam integrity by participating in school decision-making processes and fostering a culture of academic honesty at home (Green &amp; Miller 2017). Involving parents in discussions about exam integrity helps build a comprehensive approach to academic integrity (Rashid &amp; Rajab, 2016). Parents who participate in Parent-Teacher Associations (PTAs) can have a voice in school policies, including those related to exam integrity. They can provide valuable insights from a parent's perspective and suggest ways to promote academic honesty. In some schools, parents are part of governance councils that have a say in key decisions, including exam policies. Parents on these councils can help shape policies to ensure fair and secure exam environments. </w:t>
      </w:r>
    </w:p>
    <w:p w14:paraId="1DB1B27F">
      <w:pPr>
        <w:pStyle w:val="17"/>
        <w:spacing w:before="0" w:beforeAutospacing="0" w:after="240" w:afterAutospacing="0" w:line="480" w:lineRule="auto"/>
        <w:jc w:val="both"/>
        <w:rPr>
          <w:rFonts w:asciiTheme="majorBidi" w:hAnsiTheme="majorBidi" w:cstheme="majorBidi"/>
        </w:rPr>
      </w:pPr>
      <w:r>
        <w:rPr>
          <w:rFonts w:asciiTheme="majorBidi" w:hAnsiTheme="majorBidi" w:cstheme="majorBidi"/>
        </w:rPr>
        <w:t xml:space="preserve">Schools can organize feedback sessions or focus groups with parents to discuss exam integrity and gather their opinions on policies, exam monitoring, and other related topics. Schools can conduct educational sessions for parents about academic integrity, emphasizing the importance of exams in measuring student progress. These sessions can also provide tips for parents to encourage academic honesty among their children (Hill &amp; Tyson, 2009). Some schools involve parents in exam supervision or as volunteers during exams as explained by one of the principals to maintain a fair and secure environment. This involvement can increase transparency and demonstrate a commitment to integrity. </w:t>
      </w:r>
    </w:p>
    <w:p w14:paraId="0471C79D">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 xml:space="preserve">54.70% agree and 22.70% strongly agree of the respondents of questionnaire item 8 agrees that family backgrounds and financial situations can have a significant impact on a student's involvement in exam malpractice. Financial constraints can limit access to educational resources, tutoring, or other academic support. Students who struggle academically without adequate support may resort to cheating as a means to catch up or improve their grades (Green &amp; Wilson, 2019). Students from disadvantaged backgrounds may face educational inequalities, such as underfunded schools or lack of access to quality teachers and learning materials (McCabe, 2001). These disparities can create a sense of unfairness, leading some students to view exam malpractice as a way to level the playing field. </w:t>
      </w:r>
    </w:p>
    <w:p w14:paraId="7D4A47F3">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 xml:space="preserve">Family backgrounds can shape attitudes toward education and academic integrity (Jones &amp; Smith, 2016). In some cultures, or family settings, there might be a greater emphasis on achieving high grades, even if it involves dishonest practices, while in others, academic integrity is strongly emphasized (Gupta, et al 2015). Financial situations can influence the peer groups that students associate with. If students from low-income families socialize with peers who engage in exam malpractice, they might be more likely to follow suit due to peer pressure or the desire to fit in. Students from higher-income families might have better access to technology and tools that facilitate exam malpractice, such as smartphones, internet resources, or paid "cheat services." This can create an environment where cheating is more accessible (Williams &amp; Johnson, 2020). </w:t>
      </w:r>
    </w:p>
    <w:p w14:paraId="39817FB7">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Majority of the respondents agree or strongly agree that parents who instill values of honesty and integrity contribute to a culture of academic honesty, with 56.30% agreeing and 14.10% strongly agreeing of the respondents of questionnaire item 9. Parents play a critical role in shaping their children's values and behaviors, including their approach to academic honesty. When parents instill values of honesty and integrity, they contribute significantly to building a culture of academic honesty in schools and communities (Johnson and White 2019). Parents who consistently demonstrate honesty and integrity in their own lives serve as powerful role models for their children. This can include being truthful, keeping promises, and acting with integrity in professional and personal contexts (</w:t>
      </w:r>
      <w:r>
        <w:rPr>
          <w:rFonts w:asciiTheme="majorBidi" w:hAnsiTheme="majorBidi" w:cstheme="majorBidi"/>
          <w:shd w:val="clear" w:color="auto" w:fill="FFFFFF"/>
        </w:rPr>
        <w:t>Hamid &amp; Siti,</w:t>
      </w:r>
      <w:r>
        <w:rPr>
          <w:rFonts w:asciiTheme="majorBidi" w:hAnsiTheme="majorBidi" w:cstheme="majorBidi"/>
        </w:rPr>
        <w:t xml:space="preserve"> 2018). </w:t>
      </w:r>
    </w:p>
    <w:p w14:paraId="4ACAD3AB">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Parents can discuss the importance of honesty and integrity with their children. These discussions can help children understand why academic honesty matters and how it contributes to their personal growth and future success. Parents can set clear expectations for academic honesty, emphasizing that cheating and dishonest behavior are unacceptable. By establishing these expectations early, children are more likely to understand the importance of academic integrity. When parents value effort, hard work, and learning, they help their children focus on the process of education rather than solely on grades or results. This perspective can reduce the pressure to cheat and encourage children to take pride in their achievements. </w:t>
      </w:r>
    </w:p>
    <w:p w14:paraId="67AD86C7">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Providing support and encouragement to children during academic challenges can help them navigate difficulties without resorting to cheating. This support can include helping with homework, discussing study strategies, or encouraging perseverance in the face of setbacks. Recognizing and reinforcing positive behavior, such as honesty, can strengthen children's commitment to academic integrity. This reinforcement can be verbal praise, rewards, or other forms of encouragement. Parents who are actively involved in school activities, such as parent-teacher associations (PTAs), can help promote a culture of academic honesty within the school community. Their involvement can lead to greater collaboration with teachers and influence school policies on academic integrity.</w:t>
      </w:r>
    </w:p>
    <w:p w14:paraId="4336C4CB">
      <w:pPr>
        <w:pStyle w:val="2"/>
        <w:spacing w:before="0"/>
        <w:rPr>
          <w:rFonts w:asciiTheme="majorBidi" w:hAnsiTheme="majorBidi"/>
          <w:b w:val="0"/>
          <w:bCs w:val="0"/>
          <w:color w:val="auto"/>
          <w:sz w:val="24"/>
          <w:szCs w:val="24"/>
        </w:rPr>
      </w:pPr>
      <w:bookmarkStart w:id="207" w:name="_Toc194769937"/>
      <w:bookmarkStart w:id="208" w:name="_Toc194822657"/>
      <w:r>
        <w:rPr>
          <w:rFonts w:asciiTheme="majorBidi" w:hAnsiTheme="majorBidi"/>
          <w:b w:val="0"/>
          <w:bCs w:val="0"/>
          <w:color w:val="auto"/>
          <w:sz w:val="24"/>
          <w:szCs w:val="24"/>
        </w:rPr>
        <w:t>Table 9:</w:t>
      </w:r>
      <w:bookmarkEnd w:id="207"/>
      <w:bookmarkEnd w:id="208"/>
    </w:p>
    <w:p w14:paraId="27287C82">
      <w:pPr>
        <w:pStyle w:val="2"/>
        <w:spacing w:before="0" w:after="240"/>
        <w:rPr>
          <w:rFonts w:asciiTheme="majorBidi" w:hAnsiTheme="majorBidi"/>
          <w:b w:val="0"/>
          <w:bCs w:val="0"/>
          <w:i/>
          <w:iCs/>
          <w:color w:val="auto"/>
          <w:sz w:val="24"/>
          <w:szCs w:val="24"/>
        </w:rPr>
      </w:pPr>
      <w:bookmarkStart w:id="209" w:name="_Toc194822658"/>
      <w:bookmarkStart w:id="210" w:name="_Toc194769938"/>
      <w:r>
        <w:rPr>
          <w:rFonts w:asciiTheme="majorBidi" w:hAnsiTheme="majorBidi"/>
          <w:b w:val="0"/>
          <w:bCs w:val="0"/>
          <w:i/>
          <w:iCs/>
          <w:color w:val="auto"/>
          <w:sz w:val="24"/>
          <w:szCs w:val="24"/>
        </w:rPr>
        <w:t>Mean and standard deviation of parent involvement items</w:t>
      </w:r>
      <w:bookmarkEnd w:id="209"/>
      <w:bookmarkEnd w:id="210"/>
    </w:p>
    <w:tbl>
      <w:tblPr>
        <w:tblStyle w:val="20"/>
        <w:tblW w:w="845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65"/>
        <w:gridCol w:w="720"/>
        <w:gridCol w:w="900"/>
        <w:gridCol w:w="2070"/>
      </w:tblGrid>
      <w:tr w14:paraId="18A6DE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tcBorders>
              <w:top w:val="single" w:color="auto" w:sz="4" w:space="0"/>
              <w:bottom w:val="single" w:color="auto" w:sz="4" w:space="0"/>
            </w:tcBorders>
            <w:noWrap/>
          </w:tcPr>
          <w:p w14:paraId="573D5C1F">
            <w:pPr>
              <w:spacing w:after="0" w:line="360" w:lineRule="auto"/>
              <w:rPr>
                <w:rFonts w:asciiTheme="majorBidi" w:hAnsiTheme="majorBidi" w:cstheme="majorBidi"/>
                <w:b/>
                <w:bCs/>
                <w:sz w:val="24"/>
                <w:szCs w:val="24"/>
              </w:rPr>
            </w:pPr>
          </w:p>
        </w:tc>
        <w:tc>
          <w:tcPr>
            <w:tcW w:w="720" w:type="dxa"/>
            <w:tcBorders>
              <w:top w:val="single" w:color="auto" w:sz="4" w:space="0"/>
              <w:bottom w:val="single" w:color="auto" w:sz="4" w:space="0"/>
            </w:tcBorders>
          </w:tcPr>
          <w:p w14:paraId="6803E36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00" w:type="dxa"/>
            <w:tcBorders>
              <w:top w:val="single" w:color="auto" w:sz="4" w:space="0"/>
              <w:bottom w:val="single" w:color="auto" w:sz="4" w:space="0"/>
            </w:tcBorders>
            <w:noWrap/>
          </w:tcPr>
          <w:p w14:paraId="7837036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Mean</w:t>
            </w:r>
          </w:p>
        </w:tc>
        <w:tc>
          <w:tcPr>
            <w:tcW w:w="2070" w:type="dxa"/>
            <w:tcBorders>
              <w:top w:val="single" w:color="auto" w:sz="4" w:space="0"/>
              <w:bottom w:val="single" w:color="auto" w:sz="4" w:space="0"/>
            </w:tcBorders>
            <w:noWrap/>
          </w:tcPr>
          <w:p w14:paraId="718BBB8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Std. Deviation </w:t>
            </w:r>
          </w:p>
        </w:tc>
      </w:tr>
      <w:tr w14:paraId="52F677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tcBorders>
              <w:top w:val="single" w:color="auto" w:sz="4" w:space="0"/>
            </w:tcBorders>
            <w:noWrap/>
          </w:tcPr>
          <w:p w14:paraId="54ADCDBC">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720" w:type="dxa"/>
            <w:tcBorders>
              <w:top w:val="single" w:color="auto" w:sz="4" w:space="0"/>
            </w:tcBorders>
          </w:tcPr>
          <w:p w14:paraId="2ABA7C5D">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tcBorders>
              <w:top w:val="single" w:color="auto" w:sz="4" w:space="0"/>
            </w:tcBorders>
            <w:noWrap/>
          </w:tcPr>
          <w:p w14:paraId="4F41D82C">
            <w:pPr>
              <w:spacing w:after="0" w:line="360" w:lineRule="auto"/>
              <w:jc w:val="both"/>
              <w:rPr>
                <w:rFonts w:asciiTheme="majorBidi" w:hAnsiTheme="majorBidi" w:cstheme="majorBidi"/>
                <w:sz w:val="24"/>
                <w:szCs w:val="24"/>
              </w:rPr>
            </w:pPr>
            <w:r>
              <w:rPr>
                <w:rFonts w:asciiTheme="majorBidi" w:hAnsiTheme="majorBidi" w:cstheme="majorBidi"/>
                <w:sz w:val="24"/>
                <w:szCs w:val="24"/>
              </w:rPr>
              <w:t>4.25</w:t>
            </w:r>
          </w:p>
        </w:tc>
        <w:tc>
          <w:tcPr>
            <w:tcW w:w="2070" w:type="dxa"/>
            <w:tcBorders>
              <w:top w:val="single" w:color="auto" w:sz="4" w:space="0"/>
            </w:tcBorders>
            <w:noWrap/>
          </w:tcPr>
          <w:p w14:paraId="2C0EE867">
            <w:pPr>
              <w:spacing w:after="0" w:line="360" w:lineRule="auto"/>
              <w:jc w:val="both"/>
              <w:rPr>
                <w:rFonts w:asciiTheme="majorBidi" w:hAnsiTheme="majorBidi" w:cstheme="majorBidi"/>
                <w:sz w:val="24"/>
                <w:szCs w:val="24"/>
              </w:rPr>
            </w:pPr>
            <w:r>
              <w:rPr>
                <w:rFonts w:asciiTheme="majorBidi" w:hAnsiTheme="majorBidi" w:cstheme="majorBidi"/>
                <w:sz w:val="24"/>
                <w:szCs w:val="24"/>
              </w:rPr>
              <w:t>0.832</w:t>
            </w:r>
          </w:p>
        </w:tc>
      </w:tr>
      <w:tr w14:paraId="13580A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noWrap/>
          </w:tcPr>
          <w:p w14:paraId="545E0E9E">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decision making on exam integrity.</w:t>
            </w:r>
          </w:p>
        </w:tc>
        <w:tc>
          <w:tcPr>
            <w:tcW w:w="720" w:type="dxa"/>
          </w:tcPr>
          <w:p w14:paraId="3763B0DF">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06851CF4">
            <w:pPr>
              <w:spacing w:after="0" w:line="360" w:lineRule="auto"/>
              <w:jc w:val="both"/>
              <w:rPr>
                <w:rFonts w:asciiTheme="majorBidi" w:hAnsiTheme="majorBidi" w:cstheme="majorBidi"/>
                <w:sz w:val="24"/>
                <w:szCs w:val="24"/>
              </w:rPr>
            </w:pPr>
            <w:r>
              <w:rPr>
                <w:rFonts w:asciiTheme="majorBidi" w:hAnsiTheme="majorBidi" w:cstheme="majorBidi"/>
                <w:sz w:val="24"/>
                <w:szCs w:val="24"/>
              </w:rPr>
              <w:t>4.09</w:t>
            </w:r>
          </w:p>
        </w:tc>
        <w:tc>
          <w:tcPr>
            <w:tcW w:w="2070" w:type="dxa"/>
            <w:noWrap/>
          </w:tcPr>
          <w:p w14:paraId="3BB46A1F">
            <w:pPr>
              <w:spacing w:after="0" w:line="360" w:lineRule="auto"/>
              <w:jc w:val="both"/>
              <w:rPr>
                <w:rFonts w:asciiTheme="majorBidi" w:hAnsiTheme="majorBidi" w:cstheme="majorBidi"/>
                <w:sz w:val="24"/>
                <w:szCs w:val="24"/>
              </w:rPr>
            </w:pPr>
            <w:r>
              <w:rPr>
                <w:rFonts w:asciiTheme="majorBidi" w:hAnsiTheme="majorBidi" w:cstheme="majorBidi"/>
                <w:sz w:val="24"/>
                <w:szCs w:val="24"/>
              </w:rPr>
              <w:t>0.818</w:t>
            </w:r>
          </w:p>
        </w:tc>
      </w:tr>
      <w:tr w14:paraId="4CA44E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noWrap/>
          </w:tcPr>
          <w:p w14:paraId="33A7A32D">
            <w:pPr>
              <w:spacing w:after="0" w:line="360" w:lineRule="auto"/>
              <w:rPr>
                <w:rFonts w:asciiTheme="majorBidi" w:hAnsiTheme="majorBidi" w:cstheme="majorBidi"/>
                <w:sz w:val="24"/>
                <w:szCs w:val="24"/>
              </w:rPr>
            </w:pPr>
            <w:r>
              <w:rPr>
                <w:rFonts w:asciiTheme="majorBidi" w:hAnsiTheme="majorBidi" w:cstheme="majorBidi"/>
                <w:sz w:val="24"/>
                <w:szCs w:val="24"/>
              </w:rPr>
              <w:t>Family backgrounds and financial situations of students impact their involvement in Exam malpractice.</w:t>
            </w:r>
          </w:p>
        </w:tc>
        <w:tc>
          <w:tcPr>
            <w:tcW w:w="720" w:type="dxa"/>
          </w:tcPr>
          <w:p w14:paraId="412BCBF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483C9BAC">
            <w:pPr>
              <w:spacing w:after="0" w:line="360" w:lineRule="auto"/>
              <w:jc w:val="both"/>
              <w:rPr>
                <w:rFonts w:asciiTheme="majorBidi" w:hAnsiTheme="majorBidi" w:cstheme="majorBidi"/>
                <w:sz w:val="24"/>
                <w:szCs w:val="24"/>
              </w:rPr>
            </w:pPr>
            <w:r>
              <w:rPr>
                <w:rFonts w:asciiTheme="majorBidi" w:hAnsiTheme="majorBidi" w:cstheme="majorBidi"/>
                <w:sz w:val="24"/>
                <w:szCs w:val="24"/>
              </w:rPr>
              <w:t>3.91</w:t>
            </w:r>
          </w:p>
        </w:tc>
        <w:tc>
          <w:tcPr>
            <w:tcW w:w="2070" w:type="dxa"/>
            <w:noWrap/>
          </w:tcPr>
          <w:p w14:paraId="582CE043">
            <w:pPr>
              <w:spacing w:after="0" w:line="360" w:lineRule="auto"/>
              <w:jc w:val="both"/>
              <w:rPr>
                <w:rFonts w:asciiTheme="majorBidi" w:hAnsiTheme="majorBidi" w:cstheme="majorBidi"/>
                <w:sz w:val="24"/>
                <w:szCs w:val="24"/>
              </w:rPr>
            </w:pPr>
            <w:r>
              <w:rPr>
                <w:rFonts w:asciiTheme="majorBidi" w:hAnsiTheme="majorBidi" w:cstheme="majorBidi"/>
                <w:sz w:val="24"/>
                <w:szCs w:val="24"/>
              </w:rPr>
              <w:t>0.87</w:t>
            </w:r>
          </w:p>
        </w:tc>
      </w:tr>
      <w:tr w14:paraId="217DF8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noWrap/>
          </w:tcPr>
          <w:p w14:paraId="56709804">
            <w:pPr>
              <w:spacing w:after="0" w:line="360" w:lineRule="auto"/>
              <w:rPr>
                <w:rFonts w:asciiTheme="majorBidi" w:hAnsiTheme="majorBidi" w:cstheme="majorBidi"/>
                <w:sz w:val="24"/>
                <w:szCs w:val="24"/>
              </w:rPr>
            </w:pPr>
            <w:r>
              <w:rPr>
                <w:rFonts w:asciiTheme="majorBidi" w:hAnsiTheme="majorBidi" w:cstheme="majorBidi"/>
                <w:sz w:val="24"/>
                <w:szCs w:val="24"/>
              </w:rPr>
              <w:t>Parents who instill values of honesty and integrity in their children contribute to a culture of academic honesty.</w:t>
            </w:r>
          </w:p>
        </w:tc>
        <w:tc>
          <w:tcPr>
            <w:tcW w:w="720" w:type="dxa"/>
          </w:tcPr>
          <w:p w14:paraId="3884C77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58E4FD4A">
            <w:pPr>
              <w:spacing w:after="0" w:line="360" w:lineRule="auto"/>
              <w:jc w:val="both"/>
              <w:rPr>
                <w:rFonts w:asciiTheme="majorBidi" w:hAnsiTheme="majorBidi" w:cstheme="majorBidi"/>
                <w:sz w:val="24"/>
                <w:szCs w:val="24"/>
              </w:rPr>
            </w:pPr>
            <w:r>
              <w:rPr>
                <w:rFonts w:asciiTheme="majorBidi" w:hAnsiTheme="majorBidi" w:cstheme="majorBidi"/>
                <w:sz w:val="24"/>
                <w:szCs w:val="24"/>
              </w:rPr>
              <w:t>3.8</w:t>
            </w:r>
          </w:p>
        </w:tc>
        <w:tc>
          <w:tcPr>
            <w:tcW w:w="2070" w:type="dxa"/>
            <w:noWrap/>
          </w:tcPr>
          <w:p w14:paraId="63D5F0A6">
            <w:pPr>
              <w:spacing w:after="0" w:line="360" w:lineRule="auto"/>
              <w:jc w:val="both"/>
              <w:rPr>
                <w:rFonts w:asciiTheme="majorBidi" w:hAnsiTheme="majorBidi" w:cstheme="majorBidi"/>
                <w:sz w:val="24"/>
                <w:szCs w:val="24"/>
              </w:rPr>
            </w:pPr>
            <w:r>
              <w:rPr>
                <w:rFonts w:asciiTheme="majorBidi" w:hAnsiTheme="majorBidi" w:cstheme="majorBidi"/>
                <w:sz w:val="24"/>
                <w:szCs w:val="24"/>
              </w:rPr>
              <w:t>0.736</w:t>
            </w:r>
          </w:p>
        </w:tc>
      </w:tr>
    </w:tbl>
    <w:p w14:paraId="78ABA6AB">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465ECCD">
      <w:pPr>
        <w:spacing w:line="480" w:lineRule="auto"/>
        <w:jc w:val="both"/>
        <w:rPr>
          <w:rFonts w:asciiTheme="majorBidi" w:hAnsiTheme="majorBidi" w:cstheme="majorBidi"/>
          <w:sz w:val="24"/>
          <w:szCs w:val="24"/>
        </w:rPr>
      </w:pPr>
      <w:r>
        <w:rPr>
          <w:rFonts w:asciiTheme="majorBidi" w:hAnsiTheme="majorBidi" w:cstheme="majorBidi"/>
          <w:sz w:val="24"/>
          <w:szCs w:val="24"/>
        </w:rPr>
        <w:t>Table 9 presents mean scores and standard deviations for Likert scale items pertaining to the involvement of parents in their children's academic lives, decision-making on exam integrity, the impact of family backgrounds and financial situations on involvement in exam malpractice, and the role of parents in instilling values of honesty and integrity in their children. The highest mean score of 4.25, with a standard deviation of 0.832, is associated with the statement indicating that parents are involved in communication with teachers regarding their children's academic lives. This suggests a strong perception among respondents that parents actively engage with teachers to stay informed about their children's educational progress and well-being, reflecting a positive aspect of parental involvement in education.</w:t>
      </w:r>
    </w:p>
    <w:p w14:paraId="3115FE3B">
      <w:pPr>
        <w:spacing w:line="480" w:lineRule="auto"/>
        <w:jc w:val="both"/>
        <w:rPr>
          <w:rFonts w:asciiTheme="majorBidi" w:hAnsiTheme="majorBidi" w:cstheme="majorBidi"/>
          <w:sz w:val="24"/>
          <w:szCs w:val="24"/>
        </w:rPr>
      </w:pPr>
      <w:r>
        <w:rPr>
          <w:rFonts w:asciiTheme="majorBidi" w:hAnsiTheme="majorBidi" w:cstheme="majorBidi"/>
          <w:sz w:val="24"/>
          <w:szCs w:val="24"/>
        </w:rPr>
        <w:t>Similarly, the mean score of 4.09, with a standard deviation of 0.818, for the statement regarding parents' involvement in decision-making on exam integrity indicates a relatively high level of perceived parental involvement in ensuring ethical behavior during examinations. This suggests that parents are seen as playing a role in guiding their children's attitudes and actions towards maintaining academic integrity. The item regarding the impact of family backgrounds and financial situations on involvement in exam malpractice yielded a mean score of 3.91, with a standard deviation of 0.87. This suggests a moderate level of agreement among respondents regarding the influence of socio-economic factors on students' propensity for engaging in exam malpractice. The relatively high standard deviation indicates some variability in perceptions, implying that respondents may hold diverse views on the extent to which family backgrounds and financial situations contribute to exam malpractice.</w:t>
      </w:r>
    </w:p>
    <w:p w14:paraId="7B127901">
      <w:pPr>
        <w:spacing w:after="0" w:line="480" w:lineRule="auto"/>
        <w:jc w:val="both"/>
        <w:rPr>
          <w:rFonts w:asciiTheme="majorBidi" w:hAnsiTheme="majorBidi" w:cstheme="majorBidi"/>
          <w:sz w:val="24"/>
          <w:szCs w:val="24"/>
        </w:rPr>
      </w:pPr>
      <w:r>
        <w:rPr>
          <w:rFonts w:asciiTheme="majorBidi" w:hAnsiTheme="majorBidi" w:cstheme="majorBidi"/>
          <w:sz w:val="24"/>
          <w:szCs w:val="24"/>
        </w:rPr>
        <w:t>Finally, the statement indicating that parents who instill values of honesty and integrity in their children contribute to a culture of academic honesty received a mean score of 3.8, with a standard deviation of 0.736. This suggests a generally positive perception among respondents regarding the role of parental values in shaping students' ethical conduct. However, the slightly lower mean score compared to the previous items, coupled with the lower standard deviation, indicates a somewhat less uniform agreement among respondents regarding this statement.</w:t>
      </w:r>
    </w:p>
    <w:p w14:paraId="31AA42AB">
      <w:pPr>
        <w:spacing w:after="0" w:line="480" w:lineRule="auto"/>
        <w:jc w:val="both"/>
        <w:rPr>
          <w:rFonts w:asciiTheme="majorBidi" w:hAnsiTheme="majorBidi" w:cstheme="majorBidi"/>
          <w:sz w:val="24"/>
          <w:szCs w:val="24"/>
        </w:rPr>
      </w:pPr>
      <w:r>
        <w:rPr>
          <w:rFonts w:asciiTheme="majorBidi" w:hAnsiTheme="majorBidi" w:cstheme="majorBidi"/>
          <w:sz w:val="24"/>
          <w:szCs w:val="24"/>
        </w:rPr>
        <w:t>Hypothesis 2</w:t>
      </w:r>
    </w:p>
    <w:p w14:paraId="6BCC59E2">
      <w:pPr>
        <w:pStyle w:val="17"/>
        <w:spacing w:before="0" w:beforeAutospacing="0" w:line="480" w:lineRule="auto"/>
        <w:jc w:val="both"/>
        <w:rPr>
          <w:rFonts w:asciiTheme="majorBidi" w:hAnsiTheme="majorBidi" w:cstheme="majorBidi"/>
          <w:i/>
          <w:iCs/>
        </w:rPr>
      </w:pPr>
      <w:bookmarkStart w:id="211" w:name="_Hlk165144977"/>
      <w:r>
        <w:rPr>
          <w:rFonts w:asciiTheme="majorBidi" w:hAnsiTheme="majorBidi" w:cstheme="majorBidi"/>
        </w:rPr>
        <w:t>The second hypothesis of the study stated that</w:t>
      </w:r>
      <w:r>
        <w:rPr>
          <w:rFonts w:asciiTheme="majorBidi" w:hAnsiTheme="majorBidi" w:cstheme="majorBidi"/>
          <w:b/>
          <w:bCs/>
        </w:rPr>
        <w:t xml:space="preserve"> </w:t>
      </w:r>
      <w:r>
        <w:rPr>
          <w:rFonts w:asciiTheme="majorBidi" w:hAnsiTheme="majorBidi" w:cstheme="majorBidi"/>
          <w:i/>
          <w:iCs/>
        </w:rPr>
        <w:t xml:space="preserve">There is no significant relationship between parents’ involvement and academic integrity and examination malpractices in secondary schools in Garissa Township Sub County. </w:t>
      </w:r>
      <w:r>
        <w:rPr>
          <w:rFonts w:asciiTheme="majorBidi" w:hAnsiTheme="majorBidi" w:cstheme="majorBidi"/>
        </w:rPr>
        <w:t>Pearson’s correlation coefficient and the associated p value were computed to test hypothesis two. Table 10 presents the results of the correlation analysis.</w:t>
      </w:r>
    </w:p>
    <w:p w14:paraId="19A1230C">
      <w:pPr>
        <w:pStyle w:val="2"/>
        <w:spacing w:before="0" w:line="480" w:lineRule="auto"/>
        <w:rPr>
          <w:rFonts w:asciiTheme="majorBidi" w:hAnsiTheme="majorBidi"/>
          <w:b w:val="0"/>
          <w:bCs w:val="0"/>
          <w:color w:val="auto"/>
          <w:sz w:val="24"/>
          <w:szCs w:val="24"/>
        </w:rPr>
      </w:pPr>
      <w:bookmarkStart w:id="212" w:name="_Toc194769939"/>
      <w:bookmarkStart w:id="213" w:name="_Toc194822659"/>
      <w:r>
        <w:rPr>
          <w:rFonts w:asciiTheme="majorBidi" w:hAnsiTheme="majorBidi"/>
          <w:b w:val="0"/>
          <w:bCs w:val="0"/>
          <w:color w:val="auto"/>
          <w:sz w:val="24"/>
          <w:szCs w:val="24"/>
        </w:rPr>
        <w:t>Table 10:</w:t>
      </w:r>
      <w:bookmarkEnd w:id="212"/>
      <w:bookmarkEnd w:id="213"/>
    </w:p>
    <w:p w14:paraId="55CA4538">
      <w:pPr>
        <w:pStyle w:val="2"/>
        <w:spacing w:before="0" w:line="480" w:lineRule="auto"/>
        <w:rPr>
          <w:rFonts w:asciiTheme="majorBidi" w:hAnsiTheme="majorBidi"/>
          <w:b w:val="0"/>
          <w:bCs w:val="0"/>
          <w:i/>
          <w:iCs/>
          <w:color w:val="auto"/>
          <w:sz w:val="24"/>
          <w:szCs w:val="24"/>
        </w:rPr>
      </w:pPr>
      <w:bookmarkStart w:id="214" w:name="_Toc194769940"/>
      <w:bookmarkStart w:id="215" w:name="_Toc194822660"/>
      <w:r>
        <w:rPr>
          <w:rFonts w:asciiTheme="majorBidi" w:hAnsiTheme="majorBidi"/>
          <w:b w:val="0"/>
          <w:bCs w:val="0"/>
          <w:i/>
          <w:iCs/>
          <w:color w:val="auto"/>
          <w:sz w:val="24"/>
          <w:szCs w:val="24"/>
        </w:rPr>
        <w:t>Correlation analysis of parent involvement and</w:t>
      </w:r>
      <w:r>
        <w:rPr>
          <w:rFonts w:asciiTheme="majorBidi" w:hAnsiTheme="majorBidi"/>
          <w:b w:val="0"/>
          <w:bCs w:val="0"/>
          <w:color w:val="auto"/>
          <w:sz w:val="24"/>
          <w:szCs w:val="24"/>
        </w:rPr>
        <w:t xml:space="preserve"> </w:t>
      </w:r>
      <w:r>
        <w:rPr>
          <w:rFonts w:asciiTheme="majorBidi" w:hAnsiTheme="majorBidi"/>
          <w:b w:val="0"/>
          <w:bCs w:val="0"/>
          <w:i/>
          <w:iCs/>
          <w:color w:val="auto"/>
          <w:sz w:val="24"/>
          <w:szCs w:val="24"/>
        </w:rPr>
        <w:t>Level of Exam Malpractices in KCSE</w:t>
      </w:r>
      <w:bookmarkEnd w:id="214"/>
      <w:bookmarkEnd w:id="215"/>
    </w:p>
    <w:bookmarkEnd w:id="211"/>
    <w:tbl>
      <w:tblPr>
        <w:tblStyle w:val="20"/>
        <w:tblW w:w="921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1"/>
        <w:gridCol w:w="2168"/>
        <w:gridCol w:w="1516"/>
        <w:gridCol w:w="2531"/>
      </w:tblGrid>
      <w:tr w14:paraId="31FC0F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tcBorders>
              <w:top w:val="single" w:color="auto" w:sz="4" w:space="0"/>
              <w:bottom w:val="single" w:color="auto" w:sz="4" w:space="0"/>
            </w:tcBorders>
            <w:noWrap/>
          </w:tcPr>
          <w:p w14:paraId="4BCE6895">
            <w:pPr>
              <w:spacing w:after="0" w:line="276" w:lineRule="auto"/>
              <w:rPr>
                <w:rFonts w:asciiTheme="majorBidi" w:hAnsiTheme="majorBidi" w:cstheme="majorBidi"/>
                <w:b/>
                <w:bCs/>
                <w:sz w:val="24"/>
                <w:szCs w:val="24"/>
              </w:rPr>
            </w:pPr>
          </w:p>
        </w:tc>
        <w:tc>
          <w:tcPr>
            <w:tcW w:w="2168" w:type="dxa"/>
            <w:tcBorders>
              <w:top w:val="single" w:color="auto" w:sz="4" w:space="0"/>
              <w:bottom w:val="single" w:color="auto" w:sz="4" w:space="0"/>
            </w:tcBorders>
            <w:noWrap/>
          </w:tcPr>
          <w:p w14:paraId="488F03E8">
            <w:pPr>
              <w:spacing w:after="0" w:line="276" w:lineRule="auto"/>
              <w:jc w:val="both"/>
              <w:rPr>
                <w:rFonts w:asciiTheme="majorBidi" w:hAnsiTheme="majorBidi" w:cstheme="majorBidi"/>
                <w:b/>
                <w:bCs/>
                <w:sz w:val="24"/>
                <w:szCs w:val="24"/>
              </w:rPr>
            </w:pPr>
          </w:p>
        </w:tc>
        <w:tc>
          <w:tcPr>
            <w:tcW w:w="1516" w:type="dxa"/>
            <w:tcBorders>
              <w:top w:val="single" w:color="auto" w:sz="4" w:space="0"/>
              <w:bottom w:val="single" w:color="auto" w:sz="4" w:space="0"/>
            </w:tcBorders>
            <w:noWrap/>
          </w:tcPr>
          <w:p w14:paraId="3195A4B6">
            <w:pPr>
              <w:spacing w:after="0" w:line="276" w:lineRule="auto"/>
              <w:jc w:val="both"/>
              <w:rPr>
                <w:rFonts w:asciiTheme="majorBidi" w:hAnsiTheme="majorBidi" w:cstheme="majorBidi"/>
                <w:sz w:val="24"/>
                <w:szCs w:val="24"/>
              </w:rPr>
            </w:pPr>
            <w:r>
              <w:rPr>
                <w:rFonts w:asciiTheme="majorBidi" w:hAnsiTheme="majorBidi" w:cstheme="majorBidi"/>
                <w:sz w:val="24"/>
                <w:szCs w:val="24"/>
              </w:rPr>
              <w:t>Parent involvement</w:t>
            </w:r>
          </w:p>
        </w:tc>
        <w:tc>
          <w:tcPr>
            <w:tcW w:w="2531" w:type="dxa"/>
            <w:tcBorders>
              <w:top w:val="single" w:color="auto" w:sz="4" w:space="0"/>
              <w:bottom w:val="single" w:color="auto" w:sz="4" w:space="0"/>
            </w:tcBorders>
            <w:noWrap/>
          </w:tcPr>
          <w:p w14:paraId="54DCB441">
            <w:pPr>
              <w:spacing w:after="0" w:line="276"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6E33AB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tcBorders>
              <w:top w:val="single" w:color="auto" w:sz="4" w:space="0"/>
            </w:tcBorders>
            <w:noWrap/>
          </w:tcPr>
          <w:p w14:paraId="2DDE60CD">
            <w:pPr>
              <w:spacing w:after="0" w:line="276" w:lineRule="auto"/>
              <w:rPr>
                <w:rFonts w:asciiTheme="majorBidi" w:hAnsiTheme="majorBidi" w:cstheme="majorBidi"/>
                <w:sz w:val="24"/>
                <w:szCs w:val="24"/>
              </w:rPr>
            </w:pPr>
            <w:r>
              <w:rPr>
                <w:rFonts w:asciiTheme="majorBidi" w:hAnsiTheme="majorBidi" w:cstheme="majorBidi"/>
                <w:sz w:val="24"/>
                <w:szCs w:val="24"/>
              </w:rPr>
              <w:t>Parent involvement</w:t>
            </w:r>
          </w:p>
        </w:tc>
        <w:tc>
          <w:tcPr>
            <w:tcW w:w="2168" w:type="dxa"/>
            <w:tcBorders>
              <w:top w:val="single" w:color="auto" w:sz="4" w:space="0"/>
            </w:tcBorders>
            <w:noWrap/>
          </w:tcPr>
          <w:p w14:paraId="47346832">
            <w:pPr>
              <w:spacing w:after="0" w:line="276"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16" w:type="dxa"/>
            <w:tcBorders>
              <w:top w:val="single" w:color="auto" w:sz="4" w:space="0"/>
            </w:tcBorders>
            <w:noWrap/>
          </w:tcPr>
          <w:p w14:paraId="408E2A32">
            <w:pPr>
              <w:spacing w:after="0" w:line="276" w:lineRule="auto"/>
              <w:jc w:val="both"/>
              <w:rPr>
                <w:rFonts w:asciiTheme="majorBidi" w:hAnsiTheme="majorBidi" w:cstheme="majorBidi"/>
                <w:sz w:val="24"/>
                <w:szCs w:val="24"/>
              </w:rPr>
            </w:pPr>
            <w:r>
              <w:rPr>
                <w:rFonts w:asciiTheme="majorBidi" w:hAnsiTheme="majorBidi" w:cstheme="majorBidi"/>
                <w:sz w:val="24"/>
                <w:szCs w:val="24"/>
              </w:rPr>
              <w:t>1</w:t>
            </w:r>
          </w:p>
        </w:tc>
        <w:tc>
          <w:tcPr>
            <w:tcW w:w="2531" w:type="dxa"/>
            <w:tcBorders>
              <w:top w:val="single" w:color="auto" w:sz="4" w:space="0"/>
            </w:tcBorders>
            <w:noWrap/>
          </w:tcPr>
          <w:p w14:paraId="28F58673">
            <w:pPr>
              <w:spacing w:after="0" w:line="276" w:lineRule="auto"/>
              <w:jc w:val="both"/>
              <w:rPr>
                <w:rFonts w:asciiTheme="majorBidi" w:hAnsiTheme="majorBidi" w:cstheme="majorBidi"/>
                <w:sz w:val="24"/>
                <w:szCs w:val="24"/>
              </w:rPr>
            </w:pPr>
            <w:r>
              <w:rPr>
                <w:rFonts w:asciiTheme="majorBidi" w:hAnsiTheme="majorBidi" w:cstheme="majorBidi"/>
                <w:sz w:val="24"/>
                <w:szCs w:val="24"/>
              </w:rPr>
              <w:t>.301**</w:t>
            </w:r>
          </w:p>
        </w:tc>
      </w:tr>
      <w:tr w14:paraId="0B4CFA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4F523F32">
            <w:pPr>
              <w:spacing w:after="0" w:line="276" w:lineRule="auto"/>
              <w:rPr>
                <w:rFonts w:asciiTheme="majorBidi" w:hAnsiTheme="majorBidi" w:cstheme="majorBidi"/>
                <w:sz w:val="24"/>
                <w:szCs w:val="24"/>
              </w:rPr>
            </w:pPr>
          </w:p>
        </w:tc>
        <w:tc>
          <w:tcPr>
            <w:tcW w:w="2168" w:type="dxa"/>
            <w:noWrap/>
          </w:tcPr>
          <w:p w14:paraId="214F40B3">
            <w:pPr>
              <w:spacing w:after="0" w:line="276"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16" w:type="dxa"/>
            <w:noWrap/>
          </w:tcPr>
          <w:p w14:paraId="7871DD34">
            <w:pPr>
              <w:spacing w:after="0" w:line="276" w:lineRule="auto"/>
              <w:jc w:val="both"/>
              <w:rPr>
                <w:rFonts w:asciiTheme="majorBidi" w:hAnsiTheme="majorBidi" w:cstheme="majorBidi"/>
                <w:sz w:val="24"/>
                <w:szCs w:val="24"/>
              </w:rPr>
            </w:pPr>
            <w:r>
              <w:rPr>
                <w:rFonts w:asciiTheme="majorBidi" w:hAnsiTheme="majorBidi" w:cstheme="majorBidi"/>
                <w:sz w:val="24"/>
                <w:szCs w:val="24"/>
              </w:rPr>
              <w:t>.</w:t>
            </w:r>
          </w:p>
        </w:tc>
        <w:tc>
          <w:tcPr>
            <w:tcW w:w="2531" w:type="dxa"/>
            <w:noWrap/>
          </w:tcPr>
          <w:p w14:paraId="43400D59">
            <w:pPr>
              <w:spacing w:after="0" w:line="276" w:lineRule="auto"/>
              <w:jc w:val="both"/>
              <w:rPr>
                <w:rFonts w:asciiTheme="majorBidi" w:hAnsiTheme="majorBidi" w:cstheme="majorBidi"/>
                <w:sz w:val="24"/>
                <w:szCs w:val="24"/>
              </w:rPr>
            </w:pPr>
            <w:r>
              <w:rPr>
                <w:rFonts w:asciiTheme="majorBidi" w:hAnsiTheme="majorBidi" w:cstheme="majorBidi"/>
                <w:sz w:val="24"/>
                <w:szCs w:val="24"/>
              </w:rPr>
              <w:t>0.001</w:t>
            </w:r>
          </w:p>
        </w:tc>
      </w:tr>
      <w:tr w14:paraId="60FB33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2323B16E">
            <w:pPr>
              <w:spacing w:after="0" w:line="276" w:lineRule="auto"/>
              <w:rPr>
                <w:rFonts w:asciiTheme="majorBidi" w:hAnsiTheme="majorBidi" w:cstheme="majorBidi"/>
                <w:sz w:val="24"/>
                <w:szCs w:val="24"/>
              </w:rPr>
            </w:pPr>
          </w:p>
        </w:tc>
        <w:tc>
          <w:tcPr>
            <w:tcW w:w="2168" w:type="dxa"/>
            <w:noWrap/>
          </w:tcPr>
          <w:p w14:paraId="2B5A97B6">
            <w:pPr>
              <w:spacing w:after="0" w:line="276" w:lineRule="auto"/>
              <w:jc w:val="both"/>
              <w:rPr>
                <w:rFonts w:asciiTheme="majorBidi" w:hAnsiTheme="majorBidi" w:cstheme="majorBidi"/>
                <w:sz w:val="24"/>
                <w:szCs w:val="24"/>
              </w:rPr>
            </w:pPr>
            <w:r>
              <w:rPr>
                <w:rFonts w:asciiTheme="majorBidi" w:hAnsiTheme="majorBidi" w:cstheme="majorBidi"/>
                <w:sz w:val="24"/>
                <w:szCs w:val="24"/>
              </w:rPr>
              <w:t>N</w:t>
            </w:r>
          </w:p>
        </w:tc>
        <w:tc>
          <w:tcPr>
            <w:tcW w:w="1516" w:type="dxa"/>
            <w:noWrap/>
          </w:tcPr>
          <w:p w14:paraId="4D7AF749">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c>
          <w:tcPr>
            <w:tcW w:w="2531" w:type="dxa"/>
            <w:noWrap/>
          </w:tcPr>
          <w:p w14:paraId="016D8104">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r>
      <w:tr w14:paraId="7A9434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1FF73074">
            <w:pPr>
              <w:spacing w:after="0" w:line="276"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168" w:type="dxa"/>
            <w:noWrap/>
          </w:tcPr>
          <w:p w14:paraId="690A9619">
            <w:pPr>
              <w:spacing w:after="0" w:line="276"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16" w:type="dxa"/>
            <w:noWrap/>
          </w:tcPr>
          <w:p w14:paraId="562D339E">
            <w:pPr>
              <w:spacing w:after="0" w:line="276" w:lineRule="auto"/>
              <w:jc w:val="both"/>
              <w:rPr>
                <w:rFonts w:asciiTheme="majorBidi" w:hAnsiTheme="majorBidi" w:cstheme="majorBidi"/>
                <w:sz w:val="24"/>
                <w:szCs w:val="24"/>
              </w:rPr>
            </w:pPr>
            <w:r>
              <w:rPr>
                <w:rFonts w:asciiTheme="majorBidi" w:hAnsiTheme="majorBidi" w:cstheme="majorBidi"/>
                <w:sz w:val="24"/>
                <w:szCs w:val="24"/>
              </w:rPr>
              <w:t>.301**</w:t>
            </w:r>
          </w:p>
        </w:tc>
        <w:tc>
          <w:tcPr>
            <w:tcW w:w="2531" w:type="dxa"/>
            <w:noWrap/>
          </w:tcPr>
          <w:p w14:paraId="1F221BE0">
            <w:pPr>
              <w:spacing w:after="0" w:line="276" w:lineRule="auto"/>
              <w:jc w:val="both"/>
              <w:rPr>
                <w:rFonts w:asciiTheme="majorBidi" w:hAnsiTheme="majorBidi" w:cstheme="majorBidi"/>
                <w:sz w:val="24"/>
                <w:szCs w:val="24"/>
              </w:rPr>
            </w:pPr>
            <w:r>
              <w:rPr>
                <w:rFonts w:asciiTheme="majorBidi" w:hAnsiTheme="majorBidi" w:cstheme="majorBidi"/>
                <w:sz w:val="24"/>
                <w:szCs w:val="24"/>
              </w:rPr>
              <w:t>1</w:t>
            </w:r>
          </w:p>
        </w:tc>
      </w:tr>
      <w:tr w14:paraId="677BA8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22A70BDF">
            <w:pPr>
              <w:spacing w:after="0" w:line="276" w:lineRule="auto"/>
              <w:rPr>
                <w:rFonts w:asciiTheme="majorBidi" w:hAnsiTheme="majorBidi" w:cstheme="majorBidi"/>
                <w:sz w:val="24"/>
                <w:szCs w:val="24"/>
              </w:rPr>
            </w:pPr>
          </w:p>
        </w:tc>
        <w:tc>
          <w:tcPr>
            <w:tcW w:w="2168" w:type="dxa"/>
            <w:noWrap/>
          </w:tcPr>
          <w:p w14:paraId="7D7F2FC4">
            <w:pPr>
              <w:spacing w:after="0" w:line="276"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16" w:type="dxa"/>
            <w:noWrap/>
          </w:tcPr>
          <w:p w14:paraId="13587688">
            <w:pPr>
              <w:spacing w:after="0" w:line="276" w:lineRule="auto"/>
              <w:jc w:val="both"/>
              <w:rPr>
                <w:rFonts w:asciiTheme="majorBidi" w:hAnsiTheme="majorBidi" w:cstheme="majorBidi"/>
                <w:sz w:val="24"/>
                <w:szCs w:val="24"/>
              </w:rPr>
            </w:pPr>
            <w:r>
              <w:rPr>
                <w:rFonts w:asciiTheme="majorBidi" w:hAnsiTheme="majorBidi" w:cstheme="majorBidi"/>
                <w:sz w:val="24"/>
                <w:szCs w:val="24"/>
              </w:rPr>
              <w:t>0.001</w:t>
            </w:r>
          </w:p>
        </w:tc>
        <w:tc>
          <w:tcPr>
            <w:tcW w:w="2531" w:type="dxa"/>
            <w:noWrap/>
          </w:tcPr>
          <w:p w14:paraId="43C7EA7D">
            <w:pPr>
              <w:spacing w:after="0" w:line="276" w:lineRule="auto"/>
              <w:jc w:val="both"/>
              <w:rPr>
                <w:rFonts w:asciiTheme="majorBidi" w:hAnsiTheme="majorBidi" w:cstheme="majorBidi"/>
                <w:sz w:val="24"/>
                <w:szCs w:val="24"/>
              </w:rPr>
            </w:pPr>
            <w:r>
              <w:rPr>
                <w:rFonts w:asciiTheme="majorBidi" w:hAnsiTheme="majorBidi" w:cstheme="majorBidi"/>
                <w:sz w:val="24"/>
                <w:szCs w:val="24"/>
              </w:rPr>
              <w:t>.</w:t>
            </w:r>
          </w:p>
        </w:tc>
      </w:tr>
      <w:tr w14:paraId="2E074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0DF2C691">
            <w:pPr>
              <w:spacing w:after="0" w:line="276" w:lineRule="auto"/>
              <w:rPr>
                <w:rFonts w:asciiTheme="majorBidi" w:hAnsiTheme="majorBidi" w:cstheme="majorBidi"/>
                <w:sz w:val="24"/>
                <w:szCs w:val="24"/>
              </w:rPr>
            </w:pPr>
          </w:p>
        </w:tc>
        <w:tc>
          <w:tcPr>
            <w:tcW w:w="2168" w:type="dxa"/>
            <w:noWrap/>
          </w:tcPr>
          <w:p w14:paraId="35B8734E">
            <w:pPr>
              <w:spacing w:after="0" w:line="276" w:lineRule="auto"/>
              <w:jc w:val="both"/>
              <w:rPr>
                <w:rFonts w:asciiTheme="majorBidi" w:hAnsiTheme="majorBidi" w:cstheme="majorBidi"/>
                <w:sz w:val="24"/>
                <w:szCs w:val="24"/>
              </w:rPr>
            </w:pPr>
            <w:r>
              <w:rPr>
                <w:rFonts w:asciiTheme="majorBidi" w:hAnsiTheme="majorBidi" w:cstheme="majorBidi"/>
                <w:sz w:val="24"/>
                <w:szCs w:val="24"/>
              </w:rPr>
              <w:t>N</w:t>
            </w:r>
          </w:p>
        </w:tc>
        <w:tc>
          <w:tcPr>
            <w:tcW w:w="1516" w:type="dxa"/>
            <w:noWrap/>
          </w:tcPr>
          <w:p w14:paraId="002C4DE2">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c>
          <w:tcPr>
            <w:tcW w:w="2531" w:type="dxa"/>
            <w:noWrap/>
          </w:tcPr>
          <w:p w14:paraId="3EB482B6">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r>
    </w:tbl>
    <w:p w14:paraId="6BCE925E">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6ED212C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correlation analysis examines the relationship between parent involvement and the level of integrity observed in Kenya Certificate of Secondary Education (KCSE) examinations. The results reveal a statistically significant positive correlation coefficient of .301** between these two variables. This indicates a moderate positive relationship, suggesting that higher levels of parent involvement are associated with increased levels of integrity concerns in KCSE examinations. The significance level (Sig. 2-tailed) of 0.001 indicates that this correlation is highly unlikely to have occurred by chance. The correlation statistics give sufficient information to reject the study hypothesis. </w:t>
      </w:r>
    </w:p>
    <w:p w14:paraId="0C27A5EE">
      <w:pPr>
        <w:spacing w:after="0" w:line="480" w:lineRule="auto"/>
        <w:jc w:val="both"/>
        <w:rPr>
          <w:rFonts w:asciiTheme="majorBidi" w:hAnsiTheme="majorBidi" w:cstheme="majorBidi"/>
          <w:sz w:val="24"/>
          <w:szCs w:val="24"/>
        </w:rPr>
      </w:pPr>
      <w:r>
        <w:rPr>
          <w:rFonts w:asciiTheme="majorBidi" w:hAnsiTheme="majorBidi" w:cstheme="majorBidi"/>
          <w:sz w:val="24"/>
          <w:szCs w:val="24"/>
        </w:rPr>
        <w:t>The study findings shed light on the intricate relationship between parents’ involvement in the academic life of the students and the level of exam integrity in schools. Scholars have tried to explain this relationship. For instance, Anyin and Otu (2021) revealed that both parental educational level and family size significantly influenced students' attitudes towards examination malpractice in the Southern Educational Zone of Cross River State. These findings align with the broader literature on the role of parental involvement in shaping students' attitudes and behaviors. The positive correlation observed between parent involvement and examination integrity, as discussed earlier, suggests that parents play a crucial role in guiding their children towards ethical conduct in academic settings. Anyin and Otu's study further emphasizes the importance of parental factors, such as educational level and family size, in influencing students' attitudes towards examination malpractice.</w:t>
      </w:r>
    </w:p>
    <w:p w14:paraId="13572C50">
      <w:pPr>
        <w:spacing w:line="480" w:lineRule="auto"/>
        <w:jc w:val="both"/>
        <w:rPr>
          <w:rFonts w:asciiTheme="majorBidi" w:hAnsiTheme="majorBidi" w:cstheme="majorBidi"/>
          <w:sz w:val="24"/>
          <w:szCs w:val="24"/>
        </w:rPr>
      </w:pPr>
      <w:r>
        <w:rPr>
          <w:rFonts w:asciiTheme="majorBidi" w:hAnsiTheme="majorBidi" w:cstheme="majorBidi"/>
          <w:sz w:val="24"/>
          <w:szCs w:val="24"/>
        </w:rPr>
        <w:t>Another study conducted by Chinaza Nwosu et al. (2020) delved into the intricate psychosocial and motivational variables involved in adolescents' moral views on examination malpractice in Nigeria. Their findings revealed several significant relationships. Permissive parenting style and test anxiety were found to positively predict adolescents' amoral stance on examination malpractice, while authoritative parenting style negatively predicted it. Connecting these findings with the results on parent involvement discussed earlier, it becomes evident that the parenting styles investigated in Nwosu et al.'s study are intertwined with the concept of parent involvement in education. Parent involvement encompasses various aspects, including communication with teachers, decision-making on exam integrity, and instilling values of honesty and integrity in children. The study by Nwosu et al. (2020) sheds light on how specific parenting styles, such as permissive and authoritative, can influence adolescents' moral views on examination malpractice. Parents who are actively involved in their children's education and uphold authoritative parenting styles may contribute to fostering a culture of academic honesty and ethical behavior. Conversely, permissive parenting styles, characterized by leniency and lack of discipline, may inadvertently promote a moral attitude towards examination malpractice.</w:t>
      </w:r>
    </w:p>
    <w:p w14:paraId="124BB2AF">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interviews with principals from high schools in Garissa Township Sub County shed light on the multifaceted dynamics of examination integrity, particularly the significant role of parent involvement in exam malpractice. Principals underscored how parental expectations and support, although well-intentioned, can inadvertently contribute to unethical behavior among students. As one principal articulated, </w:t>
      </w:r>
      <w:r>
        <w:rPr>
          <w:rFonts w:asciiTheme="majorBidi" w:hAnsiTheme="majorBidi" w:cstheme="majorBidi"/>
          <w:i/>
          <w:iCs/>
          <w:sz w:val="24"/>
          <w:szCs w:val="24"/>
        </w:rPr>
        <w:t>"Some parents have high expectations on their children hence forcing some students to cheat."</w:t>
      </w:r>
      <w:r>
        <w:rPr>
          <w:rFonts w:asciiTheme="majorBidi" w:hAnsiTheme="majorBidi" w:cstheme="majorBidi"/>
          <w:sz w:val="24"/>
          <w:szCs w:val="24"/>
        </w:rPr>
        <w:t xml:space="preserve"> This highlights the pressure students may feel to meet parental expectations, potentially compromising their integrity in pursuit of academic success. </w:t>
      </w:r>
    </w:p>
    <w:p w14:paraId="7D12B132">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Additionally, the financial situation at home emerged as a crucial factor influencing exam integrity, with principals noting that students from financially challenged backgrounds may resort to malpractice to compensate for missed learning opportunities due to school fee arrears. One principal remarked, </w:t>
      </w:r>
      <w:r>
        <w:rPr>
          <w:rFonts w:asciiTheme="majorBidi" w:hAnsiTheme="majorBidi" w:cstheme="majorBidi"/>
          <w:i/>
          <w:iCs/>
          <w:sz w:val="24"/>
          <w:szCs w:val="24"/>
        </w:rPr>
        <w:t>"Students from financially challenged homes are often sent home because of school fees arrears hence engaging in exam malpractice to have good grades."</w:t>
      </w:r>
      <w:r>
        <w:rPr>
          <w:rFonts w:asciiTheme="majorBidi" w:hAnsiTheme="majorBidi" w:cstheme="majorBidi"/>
          <w:sz w:val="24"/>
          <w:szCs w:val="24"/>
        </w:rPr>
        <w:t xml:space="preserve"> This highlights the role of parental financial support in ensuring academic success, which may inadvertently contribute to exam malpractice as parents seek to secure favorable outcomes for their children. Moreover, societal pressure and expectations were identified as influential factors driving exam malpractice, with principals emphasizing the immense pressure students face to excel academically. This sentiment was echoed by one principal who stated, </w:t>
      </w:r>
      <w:r>
        <w:rPr>
          <w:rFonts w:asciiTheme="majorBidi" w:hAnsiTheme="majorBidi" w:cstheme="majorBidi"/>
          <w:i/>
          <w:iCs/>
          <w:sz w:val="24"/>
          <w:szCs w:val="24"/>
        </w:rPr>
        <w:t>"The pressure on students to perform well in examinations is immense, and this pressure often translates into unethical behavior, such as cheating."</w:t>
      </w:r>
      <w:r>
        <w:rPr>
          <w:rFonts w:asciiTheme="majorBidi" w:hAnsiTheme="majorBidi" w:cstheme="majorBidi"/>
          <w:sz w:val="24"/>
          <w:szCs w:val="24"/>
        </w:rPr>
        <w:t xml:space="preserve"> Additionally, another principal noted, </w:t>
      </w:r>
      <w:r>
        <w:rPr>
          <w:rFonts w:asciiTheme="majorBidi" w:hAnsiTheme="majorBidi" w:cstheme="majorBidi"/>
          <w:i/>
          <w:iCs/>
          <w:sz w:val="24"/>
          <w:szCs w:val="24"/>
        </w:rPr>
        <w:t>"Some Parents contribute money to the schools to ensure that their children get good grades."</w:t>
      </w:r>
      <w:r>
        <w:rPr>
          <w:rFonts w:asciiTheme="majorBidi" w:hAnsiTheme="majorBidi" w:cstheme="majorBidi"/>
          <w:sz w:val="24"/>
          <w:szCs w:val="24"/>
        </w:rPr>
        <w:t xml:space="preserve"> </w:t>
      </w:r>
    </w:p>
    <w:p w14:paraId="5124D242">
      <w:pPr>
        <w:spacing w:line="480" w:lineRule="auto"/>
        <w:jc w:val="both"/>
        <w:rPr>
          <w:rFonts w:asciiTheme="majorBidi" w:hAnsiTheme="majorBidi" w:cstheme="majorBidi"/>
          <w:sz w:val="24"/>
          <w:szCs w:val="24"/>
        </w:rPr>
      </w:pPr>
      <w:r>
        <w:rPr>
          <w:rFonts w:asciiTheme="majorBidi" w:hAnsiTheme="majorBidi" w:cstheme="majorBidi"/>
          <w:sz w:val="24"/>
          <w:szCs w:val="24"/>
        </w:rPr>
        <w:t>In light of these findings, it became evident that parental involvement, both in terms of expectations, support, and financial contributions, plays a significant role in shaping students' attitudes towards academic integrity. Collaborative efforts between parents, educators, and school authorities can foster a culture of honesty and ethical conduct among students.</w:t>
      </w:r>
    </w:p>
    <w:p w14:paraId="684F8D7D">
      <w:pPr>
        <w:pStyle w:val="2"/>
        <w:numPr>
          <w:ilvl w:val="2"/>
          <w:numId w:val="20"/>
        </w:numPr>
        <w:spacing w:before="0" w:after="240"/>
        <w:rPr>
          <w:rFonts w:asciiTheme="majorBidi" w:hAnsiTheme="majorBidi"/>
          <w:color w:val="auto"/>
          <w:sz w:val="24"/>
          <w:szCs w:val="24"/>
        </w:rPr>
      </w:pPr>
      <w:bookmarkStart w:id="216" w:name="_Toc164927748"/>
      <w:bookmarkStart w:id="217" w:name="_Toc194822661"/>
      <w:r>
        <w:rPr>
          <w:rFonts w:asciiTheme="majorBidi" w:hAnsiTheme="majorBidi"/>
          <w:color w:val="auto"/>
          <w:sz w:val="24"/>
          <w:szCs w:val="24"/>
        </w:rPr>
        <w:t>Perceived Benefits</w:t>
      </w:r>
      <w:bookmarkEnd w:id="216"/>
      <w:r>
        <w:rPr>
          <w:rFonts w:asciiTheme="majorBidi" w:hAnsiTheme="majorBidi"/>
          <w:color w:val="auto"/>
          <w:sz w:val="24"/>
          <w:szCs w:val="24"/>
        </w:rPr>
        <w:t xml:space="preserve"> and Level of Exam Malpractices in KCSE</w:t>
      </w:r>
      <w:bookmarkEnd w:id="217"/>
    </w:p>
    <w:p w14:paraId="4EF3E0FB">
      <w:pPr>
        <w:spacing w:after="0" w:line="480" w:lineRule="auto"/>
        <w:jc w:val="both"/>
        <w:rPr>
          <w:rFonts w:asciiTheme="majorBidi" w:hAnsiTheme="majorBidi" w:cstheme="majorBidi"/>
          <w:sz w:val="24"/>
          <w:szCs w:val="24"/>
        </w:rPr>
      </w:pPr>
      <w:r>
        <w:rPr>
          <w:rFonts w:asciiTheme="majorBidi" w:hAnsiTheme="majorBidi" w:cstheme="majorBidi"/>
          <w:sz w:val="24"/>
          <w:szCs w:val="24"/>
        </w:rPr>
        <w:t>The third objective of the research was to investigate the influence of the perceived benefits on academic integrity and examination malpractices of KCSE examinations in secondary schools within Garissa Township sub county Kenya.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11 and 12 present the results on this objective.</w:t>
      </w:r>
    </w:p>
    <w:p w14:paraId="7D0ADE96">
      <w:pPr>
        <w:pStyle w:val="2"/>
        <w:spacing w:before="0" w:line="480" w:lineRule="auto"/>
        <w:rPr>
          <w:rFonts w:asciiTheme="majorBidi" w:hAnsiTheme="majorBidi"/>
          <w:b w:val="0"/>
          <w:bCs w:val="0"/>
          <w:color w:val="auto"/>
          <w:sz w:val="24"/>
          <w:szCs w:val="24"/>
        </w:rPr>
      </w:pPr>
      <w:bookmarkStart w:id="218" w:name="_Toc194769942"/>
      <w:bookmarkStart w:id="219" w:name="_Toc194822662"/>
      <w:r>
        <w:rPr>
          <w:rFonts w:asciiTheme="majorBidi" w:hAnsiTheme="majorBidi"/>
          <w:b w:val="0"/>
          <w:bCs w:val="0"/>
          <w:color w:val="auto"/>
          <w:sz w:val="24"/>
          <w:szCs w:val="24"/>
        </w:rPr>
        <w:t>Table 11:</w:t>
      </w:r>
      <w:bookmarkEnd w:id="218"/>
      <w:bookmarkEnd w:id="219"/>
    </w:p>
    <w:p w14:paraId="250A25CB">
      <w:pPr>
        <w:pStyle w:val="2"/>
        <w:spacing w:before="0" w:line="480" w:lineRule="auto"/>
        <w:rPr>
          <w:rFonts w:asciiTheme="majorBidi" w:hAnsiTheme="majorBidi"/>
          <w:b w:val="0"/>
          <w:bCs w:val="0"/>
          <w:i/>
          <w:iCs/>
          <w:color w:val="auto"/>
          <w:sz w:val="24"/>
          <w:szCs w:val="24"/>
        </w:rPr>
      </w:pPr>
      <w:bookmarkStart w:id="220" w:name="_Toc194769943"/>
      <w:bookmarkStart w:id="221" w:name="_Toc194822663"/>
      <w:r>
        <w:rPr>
          <w:rFonts w:asciiTheme="majorBidi" w:hAnsiTheme="majorBidi"/>
          <w:b w:val="0"/>
          <w:bCs w:val="0"/>
          <w:i/>
          <w:iCs/>
          <w:color w:val="auto"/>
          <w:sz w:val="24"/>
          <w:szCs w:val="24"/>
        </w:rPr>
        <w:t>Descriptive analysis on Perceived benefits</w:t>
      </w:r>
      <w:r>
        <w:rPr>
          <w:rFonts w:asciiTheme="majorBidi" w:hAnsiTheme="majorBidi"/>
          <w:b w:val="0"/>
          <w:bCs w:val="0"/>
          <w:color w:val="auto"/>
          <w:sz w:val="24"/>
          <w:szCs w:val="24"/>
        </w:rPr>
        <w:t xml:space="preserve"> </w:t>
      </w:r>
      <w:r>
        <w:rPr>
          <w:rFonts w:asciiTheme="majorBidi" w:hAnsiTheme="majorBidi"/>
          <w:b w:val="0"/>
          <w:bCs w:val="0"/>
          <w:i/>
          <w:iCs/>
          <w:color w:val="auto"/>
          <w:sz w:val="24"/>
          <w:szCs w:val="24"/>
        </w:rPr>
        <w:t>and Level of Exam Malpractices in KCSE</w:t>
      </w:r>
      <w:bookmarkEnd w:id="220"/>
      <w:bookmarkEnd w:id="221"/>
    </w:p>
    <w:tbl>
      <w:tblPr>
        <w:tblStyle w:val="20"/>
        <w:tblW w:w="885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75"/>
        <w:gridCol w:w="604"/>
        <w:gridCol w:w="853"/>
        <w:gridCol w:w="956"/>
        <w:gridCol w:w="956"/>
        <w:gridCol w:w="956"/>
        <w:gridCol w:w="956"/>
      </w:tblGrid>
      <w:tr w14:paraId="4A1A78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tcBorders>
              <w:top w:val="single" w:color="auto" w:sz="4" w:space="0"/>
              <w:bottom w:val="single" w:color="auto" w:sz="4" w:space="0"/>
            </w:tcBorders>
            <w:noWrap/>
          </w:tcPr>
          <w:p w14:paraId="1158959F">
            <w:pPr>
              <w:spacing w:after="0" w:line="480" w:lineRule="auto"/>
              <w:rPr>
                <w:rFonts w:asciiTheme="majorBidi" w:hAnsiTheme="majorBidi" w:cstheme="majorBidi"/>
                <w:b/>
                <w:bCs/>
                <w:sz w:val="24"/>
                <w:szCs w:val="24"/>
              </w:rPr>
            </w:pPr>
          </w:p>
        </w:tc>
        <w:tc>
          <w:tcPr>
            <w:tcW w:w="644" w:type="dxa"/>
            <w:tcBorders>
              <w:top w:val="single" w:color="auto" w:sz="4" w:space="0"/>
              <w:bottom w:val="single" w:color="auto" w:sz="4" w:space="0"/>
            </w:tcBorders>
          </w:tcPr>
          <w:p w14:paraId="0178B661">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53" w:type="dxa"/>
            <w:tcBorders>
              <w:top w:val="single" w:color="auto" w:sz="4" w:space="0"/>
              <w:bottom w:val="single" w:color="auto" w:sz="4" w:space="0"/>
            </w:tcBorders>
            <w:noWrap/>
          </w:tcPr>
          <w:p w14:paraId="0E70A312">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46" w:type="dxa"/>
            <w:tcBorders>
              <w:top w:val="single" w:color="auto" w:sz="4" w:space="0"/>
              <w:bottom w:val="single" w:color="auto" w:sz="4" w:space="0"/>
            </w:tcBorders>
            <w:noWrap/>
          </w:tcPr>
          <w:p w14:paraId="122CA6C2">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46" w:type="dxa"/>
            <w:tcBorders>
              <w:top w:val="single" w:color="auto" w:sz="4" w:space="0"/>
              <w:bottom w:val="single" w:color="auto" w:sz="4" w:space="0"/>
            </w:tcBorders>
            <w:noWrap/>
          </w:tcPr>
          <w:p w14:paraId="56062350">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46" w:type="dxa"/>
            <w:tcBorders>
              <w:top w:val="single" w:color="auto" w:sz="4" w:space="0"/>
              <w:bottom w:val="single" w:color="auto" w:sz="4" w:space="0"/>
            </w:tcBorders>
            <w:noWrap/>
          </w:tcPr>
          <w:p w14:paraId="44858ECD">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46" w:type="dxa"/>
            <w:tcBorders>
              <w:top w:val="single" w:color="auto" w:sz="4" w:space="0"/>
              <w:bottom w:val="single" w:color="auto" w:sz="4" w:space="0"/>
            </w:tcBorders>
            <w:noWrap/>
          </w:tcPr>
          <w:p w14:paraId="52C42709">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1D0343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tcBorders>
              <w:top w:val="single" w:color="auto" w:sz="4" w:space="0"/>
            </w:tcBorders>
            <w:noWrap/>
          </w:tcPr>
          <w:p w14:paraId="749E3B8B">
            <w:pPr>
              <w:spacing w:after="0" w:line="360" w:lineRule="auto"/>
              <w:rPr>
                <w:rFonts w:asciiTheme="majorBidi" w:hAnsiTheme="majorBidi" w:cstheme="majorBidi"/>
                <w:sz w:val="24"/>
                <w:szCs w:val="24"/>
              </w:rPr>
            </w:pPr>
            <w:r>
              <w:rPr>
                <w:rFonts w:asciiTheme="majorBidi" w:hAnsiTheme="majorBidi" w:cstheme="majorBidi"/>
                <w:sz w:val="24"/>
                <w:szCs w:val="24"/>
              </w:rPr>
              <w:t>Students perceived benefits of cheating correlate to exam integrity</w:t>
            </w:r>
          </w:p>
        </w:tc>
        <w:tc>
          <w:tcPr>
            <w:tcW w:w="644" w:type="dxa"/>
            <w:tcBorders>
              <w:top w:val="single" w:color="auto" w:sz="4" w:space="0"/>
            </w:tcBorders>
          </w:tcPr>
          <w:p w14:paraId="0E8D167E">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tcBorders>
              <w:top w:val="single" w:color="auto" w:sz="4" w:space="0"/>
            </w:tcBorders>
            <w:noWrap/>
          </w:tcPr>
          <w:p w14:paraId="755F31B6">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46" w:type="dxa"/>
            <w:tcBorders>
              <w:top w:val="single" w:color="auto" w:sz="4" w:space="0"/>
            </w:tcBorders>
            <w:noWrap/>
          </w:tcPr>
          <w:p w14:paraId="60031AD0">
            <w:pPr>
              <w:spacing w:after="0" w:line="480" w:lineRule="auto"/>
              <w:jc w:val="both"/>
              <w:rPr>
                <w:rFonts w:asciiTheme="majorBidi" w:hAnsiTheme="majorBidi" w:cstheme="majorBidi"/>
                <w:sz w:val="24"/>
                <w:szCs w:val="24"/>
              </w:rPr>
            </w:pPr>
            <w:r>
              <w:rPr>
                <w:rFonts w:asciiTheme="majorBidi" w:hAnsiTheme="majorBidi" w:cstheme="majorBidi"/>
                <w:sz w:val="24"/>
                <w:szCs w:val="24"/>
              </w:rPr>
              <w:t>2.30%</w:t>
            </w:r>
          </w:p>
        </w:tc>
        <w:tc>
          <w:tcPr>
            <w:tcW w:w="946" w:type="dxa"/>
            <w:tcBorders>
              <w:top w:val="single" w:color="auto" w:sz="4" w:space="0"/>
            </w:tcBorders>
            <w:noWrap/>
          </w:tcPr>
          <w:p w14:paraId="7228759A">
            <w:pPr>
              <w:spacing w:after="0" w:line="480" w:lineRule="auto"/>
              <w:jc w:val="both"/>
              <w:rPr>
                <w:rFonts w:asciiTheme="majorBidi" w:hAnsiTheme="majorBidi" w:cstheme="majorBidi"/>
                <w:sz w:val="24"/>
                <w:szCs w:val="24"/>
              </w:rPr>
            </w:pPr>
            <w:r>
              <w:rPr>
                <w:rFonts w:asciiTheme="majorBidi" w:hAnsiTheme="majorBidi" w:cstheme="majorBidi"/>
                <w:sz w:val="24"/>
                <w:szCs w:val="24"/>
              </w:rPr>
              <w:t>9.40%</w:t>
            </w:r>
          </w:p>
        </w:tc>
        <w:tc>
          <w:tcPr>
            <w:tcW w:w="946" w:type="dxa"/>
            <w:tcBorders>
              <w:top w:val="single" w:color="auto" w:sz="4" w:space="0"/>
            </w:tcBorders>
            <w:noWrap/>
          </w:tcPr>
          <w:p w14:paraId="15347F32">
            <w:pPr>
              <w:spacing w:after="0" w:line="480" w:lineRule="auto"/>
              <w:jc w:val="both"/>
              <w:rPr>
                <w:rFonts w:asciiTheme="majorBidi" w:hAnsiTheme="majorBidi" w:cstheme="majorBidi"/>
                <w:sz w:val="24"/>
                <w:szCs w:val="24"/>
              </w:rPr>
            </w:pPr>
            <w:r>
              <w:rPr>
                <w:rFonts w:asciiTheme="majorBidi" w:hAnsiTheme="majorBidi" w:cstheme="majorBidi"/>
                <w:sz w:val="24"/>
                <w:szCs w:val="24"/>
              </w:rPr>
              <w:t>39.10%</w:t>
            </w:r>
          </w:p>
        </w:tc>
        <w:tc>
          <w:tcPr>
            <w:tcW w:w="946" w:type="dxa"/>
            <w:tcBorders>
              <w:top w:val="single" w:color="auto" w:sz="4" w:space="0"/>
            </w:tcBorders>
            <w:noWrap/>
          </w:tcPr>
          <w:p w14:paraId="1A006A86">
            <w:pPr>
              <w:spacing w:after="0" w:line="480" w:lineRule="auto"/>
              <w:jc w:val="both"/>
              <w:rPr>
                <w:rFonts w:asciiTheme="majorBidi" w:hAnsiTheme="majorBidi" w:cstheme="majorBidi"/>
                <w:sz w:val="24"/>
                <w:szCs w:val="24"/>
              </w:rPr>
            </w:pPr>
            <w:r>
              <w:rPr>
                <w:rFonts w:asciiTheme="majorBidi" w:hAnsiTheme="majorBidi" w:cstheme="majorBidi"/>
                <w:sz w:val="24"/>
                <w:szCs w:val="24"/>
              </w:rPr>
              <w:t>49.20%</w:t>
            </w:r>
          </w:p>
        </w:tc>
      </w:tr>
      <w:tr w14:paraId="22A75C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2140DDB7">
            <w:pPr>
              <w:spacing w:after="0" w:line="360" w:lineRule="auto"/>
              <w:rPr>
                <w:rFonts w:asciiTheme="majorBidi" w:hAnsiTheme="majorBidi" w:cstheme="majorBidi"/>
                <w:sz w:val="24"/>
                <w:szCs w:val="24"/>
              </w:rPr>
            </w:pPr>
            <w:r>
              <w:rPr>
                <w:rFonts w:asciiTheme="majorBidi" w:hAnsiTheme="majorBidi" w:cstheme="majorBidi"/>
                <w:sz w:val="24"/>
                <w:szCs w:val="24"/>
              </w:rPr>
              <w:t>Cheating in exams is influenced by Perceived benefits of getting good career courses.</w:t>
            </w:r>
          </w:p>
        </w:tc>
        <w:tc>
          <w:tcPr>
            <w:tcW w:w="644" w:type="dxa"/>
          </w:tcPr>
          <w:p w14:paraId="28DDDB64">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50867E03">
            <w:pPr>
              <w:spacing w:after="0" w:line="480" w:lineRule="auto"/>
              <w:jc w:val="both"/>
              <w:rPr>
                <w:rFonts w:asciiTheme="majorBidi" w:hAnsiTheme="majorBidi" w:cstheme="majorBidi"/>
                <w:sz w:val="24"/>
                <w:szCs w:val="24"/>
              </w:rPr>
            </w:pPr>
            <w:r>
              <w:rPr>
                <w:rFonts w:asciiTheme="majorBidi" w:hAnsiTheme="majorBidi" w:cstheme="majorBidi"/>
                <w:sz w:val="24"/>
                <w:szCs w:val="24"/>
              </w:rPr>
              <w:t>1.60%</w:t>
            </w:r>
          </w:p>
        </w:tc>
        <w:tc>
          <w:tcPr>
            <w:tcW w:w="946" w:type="dxa"/>
            <w:noWrap/>
          </w:tcPr>
          <w:p w14:paraId="529D0C56">
            <w:pPr>
              <w:spacing w:after="0" w:line="480" w:lineRule="auto"/>
              <w:jc w:val="both"/>
              <w:rPr>
                <w:rFonts w:asciiTheme="majorBidi" w:hAnsiTheme="majorBidi" w:cstheme="majorBidi"/>
                <w:sz w:val="24"/>
                <w:szCs w:val="24"/>
              </w:rPr>
            </w:pPr>
            <w:r>
              <w:rPr>
                <w:rFonts w:asciiTheme="majorBidi" w:hAnsiTheme="majorBidi" w:cstheme="majorBidi"/>
                <w:sz w:val="24"/>
                <w:szCs w:val="24"/>
              </w:rPr>
              <w:t>5.50%</w:t>
            </w:r>
          </w:p>
        </w:tc>
        <w:tc>
          <w:tcPr>
            <w:tcW w:w="946" w:type="dxa"/>
            <w:noWrap/>
          </w:tcPr>
          <w:p w14:paraId="6DEF1183">
            <w:pPr>
              <w:spacing w:after="0" w:line="480" w:lineRule="auto"/>
              <w:jc w:val="both"/>
              <w:rPr>
                <w:rFonts w:asciiTheme="majorBidi" w:hAnsiTheme="majorBidi" w:cstheme="majorBidi"/>
                <w:sz w:val="24"/>
                <w:szCs w:val="24"/>
              </w:rPr>
            </w:pPr>
            <w:r>
              <w:rPr>
                <w:rFonts w:asciiTheme="majorBidi" w:hAnsiTheme="majorBidi" w:cstheme="majorBidi"/>
                <w:sz w:val="24"/>
                <w:szCs w:val="24"/>
              </w:rPr>
              <w:t>15.60%</w:t>
            </w:r>
          </w:p>
        </w:tc>
        <w:tc>
          <w:tcPr>
            <w:tcW w:w="946" w:type="dxa"/>
            <w:noWrap/>
          </w:tcPr>
          <w:p w14:paraId="077FB95E">
            <w:pPr>
              <w:spacing w:after="0" w:line="480" w:lineRule="auto"/>
              <w:jc w:val="both"/>
              <w:rPr>
                <w:rFonts w:asciiTheme="majorBidi" w:hAnsiTheme="majorBidi" w:cstheme="majorBidi"/>
                <w:sz w:val="24"/>
                <w:szCs w:val="24"/>
              </w:rPr>
            </w:pPr>
            <w:r>
              <w:rPr>
                <w:rFonts w:asciiTheme="majorBidi" w:hAnsiTheme="majorBidi" w:cstheme="majorBidi"/>
                <w:sz w:val="24"/>
                <w:szCs w:val="24"/>
              </w:rPr>
              <w:t>54.70%</w:t>
            </w:r>
          </w:p>
        </w:tc>
        <w:tc>
          <w:tcPr>
            <w:tcW w:w="946" w:type="dxa"/>
            <w:noWrap/>
          </w:tcPr>
          <w:p w14:paraId="49F6F87B">
            <w:pPr>
              <w:spacing w:after="0" w:line="480" w:lineRule="auto"/>
              <w:jc w:val="both"/>
              <w:rPr>
                <w:rFonts w:asciiTheme="majorBidi" w:hAnsiTheme="majorBidi" w:cstheme="majorBidi"/>
                <w:sz w:val="24"/>
                <w:szCs w:val="24"/>
              </w:rPr>
            </w:pPr>
            <w:r>
              <w:rPr>
                <w:rFonts w:asciiTheme="majorBidi" w:hAnsiTheme="majorBidi" w:cstheme="majorBidi"/>
                <w:sz w:val="24"/>
                <w:szCs w:val="24"/>
              </w:rPr>
              <w:t>22.70%</w:t>
            </w:r>
          </w:p>
        </w:tc>
      </w:tr>
      <w:tr w14:paraId="71164B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0990AD78">
            <w:pPr>
              <w:spacing w:after="0" w:line="360" w:lineRule="auto"/>
              <w:rPr>
                <w:rFonts w:asciiTheme="majorBidi" w:hAnsiTheme="majorBidi" w:cstheme="majorBidi"/>
                <w:sz w:val="24"/>
                <w:szCs w:val="24"/>
              </w:rPr>
            </w:pPr>
            <w:r>
              <w:rPr>
                <w:rFonts w:asciiTheme="majorBidi" w:hAnsiTheme="majorBidi" w:cstheme="majorBidi"/>
                <w:sz w:val="24"/>
                <w:szCs w:val="24"/>
              </w:rPr>
              <w:t>The belief in fair competition is a significant driver of examination integrity.</w:t>
            </w:r>
          </w:p>
        </w:tc>
        <w:tc>
          <w:tcPr>
            <w:tcW w:w="644" w:type="dxa"/>
          </w:tcPr>
          <w:p w14:paraId="56E60D11">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0E5B841A">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46" w:type="dxa"/>
            <w:noWrap/>
          </w:tcPr>
          <w:p w14:paraId="67E79310">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46" w:type="dxa"/>
            <w:noWrap/>
          </w:tcPr>
          <w:p w14:paraId="3A01C0CD">
            <w:pPr>
              <w:spacing w:after="0" w:line="480" w:lineRule="auto"/>
              <w:jc w:val="both"/>
              <w:rPr>
                <w:rFonts w:asciiTheme="majorBidi" w:hAnsiTheme="majorBidi" w:cstheme="majorBidi"/>
                <w:sz w:val="24"/>
                <w:szCs w:val="24"/>
              </w:rPr>
            </w:pPr>
            <w:r>
              <w:rPr>
                <w:rFonts w:asciiTheme="majorBidi" w:hAnsiTheme="majorBidi" w:cstheme="majorBidi"/>
                <w:sz w:val="24"/>
                <w:szCs w:val="24"/>
              </w:rPr>
              <w:t>18.80%</w:t>
            </w:r>
          </w:p>
        </w:tc>
        <w:tc>
          <w:tcPr>
            <w:tcW w:w="946" w:type="dxa"/>
            <w:noWrap/>
          </w:tcPr>
          <w:p w14:paraId="704E5934">
            <w:pPr>
              <w:spacing w:after="0" w:line="480" w:lineRule="auto"/>
              <w:jc w:val="both"/>
              <w:rPr>
                <w:rFonts w:asciiTheme="majorBidi" w:hAnsiTheme="majorBidi" w:cstheme="majorBidi"/>
                <w:sz w:val="24"/>
                <w:szCs w:val="24"/>
              </w:rPr>
            </w:pPr>
            <w:r>
              <w:rPr>
                <w:rFonts w:asciiTheme="majorBidi" w:hAnsiTheme="majorBidi" w:cstheme="majorBidi"/>
                <w:sz w:val="24"/>
                <w:szCs w:val="24"/>
              </w:rPr>
              <w:t>51.60%</w:t>
            </w:r>
          </w:p>
        </w:tc>
        <w:tc>
          <w:tcPr>
            <w:tcW w:w="946" w:type="dxa"/>
            <w:noWrap/>
          </w:tcPr>
          <w:p w14:paraId="08C10CD7">
            <w:pPr>
              <w:spacing w:after="0" w:line="480" w:lineRule="auto"/>
              <w:jc w:val="both"/>
              <w:rPr>
                <w:rFonts w:asciiTheme="majorBidi" w:hAnsiTheme="majorBidi" w:cstheme="majorBidi"/>
                <w:sz w:val="24"/>
                <w:szCs w:val="24"/>
              </w:rPr>
            </w:pPr>
            <w:r>
              <w:rPr>
                <w:rFonts w:asciiTheme="majorBidi" w:hAnsiTheme="majorBidi" w:cstheme="majorBidi"/>
                <w:sz w:val="24"/>
                <w:szCs w:val="24"/>
              </w:rPr>
              <w:t>28.90%</w:t>
            </w:r>
          </w:p>
        </w:tc>
      </w:tr>
      <w:tr w14:paraId="2B3918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7F65E98E">
            <w:pPr>
              <w:spacing w:after="0" w:line="360" w:lineRule="auto"/>
              <w:rPr>
                <w:rFonts w:asciiTheme="majorBidi" w:hAnsiTheme="majorBidi" w:cstheme="majorBidi"/>
                <w:sz w:val="24"/>
                <w:szCs w:val="24"/>
              </w:rPr>
            </w:pPr>
            <w:r>
              <w:rPr>
                <w:rFonts w:asciiTheme="majorBidi" w:hAnsiTheme="majorBidi" w:cstheme="majorBidi"/>
                <w:sz w:val="24"/>
                <w:szCs w:val="24"/>
              </w:rPr>
              <w:t>Students who value a level playing field perceive the benefits of maintaining fairness in examinations.</w:t>
            </w:r>
          </w:p>
        </w:tc>
        <w:tc>
          <w:tcPr>
            <w:tcW w:w="644" w:type="dxa"/>
          </w:tcPr>
          <w:p w14:paraId="7EDA446C">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03BDEBE5">
            <w:pPr>
              <w:spacing w:after="0" w:line="480" w:lineRule="auto"/>
              <w:jc w:val="both"/>
              <w:rPr>
                <w:rFonts w:asciiTheme="majorBidi" w:hAnsiTheme="majorBidi" w:cstheme="majorBidi"/>
                <w:sz w:val="24"/>
                <w:szCs w:val="24"/>
              </w:rPr>
            </w:pPr>
            <w:r>
              <w:rPr>
                <w:rFonts w:asciiTheme="majorBidi" w:hAnsiTheme="majorBidi" w:cstheme="majorBidi"/>
                <w:sz w:val="24"/>
                <w:szCs w:val="24"/>
              </w:rPr>
              <w:t>4.70%</w:t>
            </w:r>
          </w:p>
        </w:tc>
        <w:tc>
          <w:tcPr>
            <w:tcW w:w="946" w:type="dxa"/>
            <w:noWrap/>
          </w:tcPr>
          <w:p w14:paraId="280F54AF">
            <w:pPr>
              <w:spacing w:after="0" w:line="480" w:lineRule="auto"/>
              <w:jc w:val="both"/>
              <w:rPr>
                <w:rFonts w:asciiTheme="majorBidi" w:hAnsiTheme="majorBidi" w:cstheme="majorBidi"/>
                <w:sz w:val="24"/>
                <w:szCs w:val="24"/>
              </w:rPr>
            </w:pPr>
            <w:r>
              <w:rPr>
                <w:rFonts w:asciiTheme="majorBidi" w:hAnsiTheme="majorBidi" w:cstheme="majorBidi"/>
                <w:sz w:val="24"/>
                <w:szCs w:val="24"/>
              </w:rPr>
              <w:t>14.10%</w:t>
            </w:r>
          </w:p>
        </w:tc>
        <w:tc>
          <w:tcPr>
            <w:tcW w:w="946" w:type="dxa"/>
            <w:noWrap/>
          </w:tcPr>
          <w:p w14:paraId="6F3082A8">
            <w:pPr>
              <w:spacing w:after="0" w:line="480" w:lineRule="auto"/>
              <w:jc w:val="both"/>
              <w:rPr>
                <w:rFonts w:asciiTheme="majorBidi" w:hAnsiTheme="majorBidi" w:cstheme="majorBidi"/>
                <w:sz w:val="24"/>
                <w:szCs w:val="24"/>
              </w:rPr>
            </w:pPr>
            <w:r>
              <w:rPr>
                <w:rFonts w:asciiTheme="majorBidi" w:hAnsiTheme="majorBidi" w:cstheme="majorBidi"/>
                <w:sz w:val="24"/>
                <w:szCs w:val="24"/>
              </w:rPr>
              <w:t>39.10%</w:t>
            </w:r>
          </w:p>
        </w:tc>
        <w:tc>
          <w:tcPr>
            <w:tcW w:w="946" w:type="dxa"/>
            <w:noWrap/>
          </w:tcPr>
          <w:p w14:paraId="33115301">
            <w:pPr>
              <w:spacing w:after="0" w:line="480" w:lineRule="auto"/>
              <w:jc w:val="both"/>
              <w:rPr>
                <w:rFonts w:asciiTheme="majorBidi" w:hAnsiTheme="majorBidi" w:cstheme="majorBidi"/>
                <w:sz w:val="24"/>
                <w:szCs w:val="24"/>
              </w:rPr>
            </w:pPr>
            <w:r>
              <w:rPr>
                <w:rFonts w:asciiTheme="majorBidi" w:hAnsiTheme="majorBidi" w:cstheme="majorBidi"/>
                <w:sz w:val="24"/>
                <w:szCs w:val="24"/>
              </w:rPr>
              <w:t>32.00%</w:t>
            </w:r>
          </w:p>
        </w:tc>
        <w:tc>
          <w:tcPr>
            <w:tcW w:w="946" w:type="dxa"/>
            <w:noWrap/>
          </w:tcPr>
          <w:p w14:paraId="3AAA1D76">
            <w:pPr>
              <w:spacing w:after="0" w:line="480" w:lineRule="auto"/>
              <w:jc w:val="both"/>
              <w:rPr>
                <w:rFonts w:asciiTheme="majorBidi" w:hAnsiTheme="majorBidi" w:cstheme="majorBidi"/>
                <w:sz w:val="24"/>
                <w:szCs w:val="24"/>
              </w:rPr>
            </w:pPr>
            <w:r>
              <w:rPr>
                <w:rFonts w:asciiTheme="majorBidi" w:hAnsiTheme="majorBidi" w:cstheme="majorBidi"/>
                <w:sz w:val="24"/>
                <w:szCs w:val="24"/>
              </w:rPr>
              <w:t>10.20%</w:t>
            </w:r>
          </w:p>
        </w:tc>
      </w:tr>
      <w:tr w14:paraId="639B54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4868F2EA">
            <w:pPr>
              <w:spacing w:after="0" w:line="360" w:lineRule="auto"/>
              <w:rPr>
                <w:rFonts w:asciiTheme="majorBidi" w:hAnsiTheme="majorBidi" w:cstheme="majorBidi"/>
                <w:sz w:val="24"/>
                <w:szCs w:val="24"/>
              </w:rPr>
            </w:pPr>
            <w:r>
              <w:rPr>
                <w:rFonts w:asciiTheme="majorBidi" w:hAnsiTheme="majorBidi" w:cstheme="majorBidi"/>
                <w:sz w:val="24"/>
                <w:szCs w:val="24"/>
              </w:rPr>
              <w:t>The perception that academic success directly translates to future career opportunities motivates candidates to consider academic dishonesty.</w:t>
            </w:r>
          </w:p>
        </w:tc>
        <w:tc>
          <w:tcPr>
            <w:tcW w:w="644" w:type="dxa"/>
          </w:tcPr>
          <w:p w14:paraId="42E075E3">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7D3BE541">
            <w:pPr>
              <w:spacing w:after="0" w:line="480" w:lineRule="auto"/>
              <w:jc w:val="both"/>
              <w:rPr>
                <w:rFonts w:asciiTheme="majorBidi" w:hAnsiTheme="majorBidi" w:cstheme="majorBidi"/>
                <w:sz w:val="24"/>
                <w:szCs w:val="24"/>
              </w:rPr>
            </w:pPr>
            <w:r>
              <w:rPr>
                <w:rFonts w:asciiTheme="majorBidi" w:hAnsiTheme="majorBidi" w:cstheme="majorBidi"/>
                <w:sz w:val="24"/>
                <w:szCs w:val="24"/>
              </w:rPr>
              <w:t>3.90%</w:t>
            </w:r>
          </w:p>
        </w:tc>
        <w:tc>
          <w:tcPr>
            <w:tcW w:w="946" w:type="dxa"/>
            <w:noWrap/>
          </w:tcPr>
          <w:p w14:paraId="7DD6DE2E">
            <w:pPr>
              <w:spacing w:after="0" w:line="480" w:lineRule="auto"/>
              <w:jc w:val="both"/>
              <w:rPr>
                <w:rFonts w:asciiTheme="majorBidi" w:hAnsiTheme="majorBidi" w:cstheme="majorBidi"/>
                <w:sz w:val="24"/>
                <w:szCs w:val="24"/>
              </w:rPr>
            </w:pPr>
            <w:r>
              <w:rPr>
                <w:rFonts w:asciiTheme="majorBidi" w:hAnsiTheme="majorBidi" w:cstheme="majorBidi"/>
                <w:sz w:val="24"/>
                <w:szCs w:val="24"/>
              </w:rPr>
              <w:t>6.30%</w:t>
            </w:r>
          </w:p>
        </w:tc>
        <w:tc>
          <w:tcPr>
            <w:tcW w:w="946" w:type="dxa"/>
            <w:noWrap/>
          </w:tcPr>
          <w:p w14:paraId="37167662">
            <w:pPr>
              <w:spacing w:after="0" w:line="480" w:lineRule="auto"/>
              <w:jc w:val="both"/>
              <w:rPr>
                <w:rFonts w:asciiTheme="majorBidi" w:hAnsiTheme="majorBidi" w:cstheme="majorBidi"/>
                <w:sz w:val="24"/>
                <w:szCs w:val="24"/>
              </w:rPr>
            </w:pPr>
            <w:r>
              <w:rPr>
                <w:rFonts w:asciiTheme="majorBidi" w:hAnsiTheme="majorBidi" w:cstheme="majorBidi"/>
                <w:sz w:val="24"/>
                <w:szCs w:val="24"/>
              </w:rPr>
              <w:t>31.30%</w:t>
            </w:r>
          </w:p>
        </w:tc>
        <w:tc>
          <w:tcPr>
            <w:tcW w:w="946" w:type="dxa"/>
            <w:noWrap/>
          </w:tcPr>
          <w:p w14:paraId="73C86830">
            <w:pPr>
              <w:spacing w:after="0" w:line="480" w:lineRule="auto"/>
              <w:jc w:val="both"/>
              <w:rPr>
                <w:rFonts w:asciiTheme="majorBidi" w:hAnsiTheme="majorBidi" w:cstheme="majorBidi"/>
                <w:sz w:val="24"/>
                <w:szCs w:val="24"/>
              </w:rPr>
            </w:pPr>
            <w:r>
              <w:rPr>
                <w:rFonts w:asciiTheme="majorBidi" w:hAnsiTheme="majorBidi" w:cstheme="majorBidi"/>
                <w:sz w:val="24"/>
                <w:szCs w:val="24"/>
              </w:rPr>
              <w:t>45.30%</w:t>
            </w:r>
          </w:p>
        </w:tc>
        <w:tc>
          <w:tcPr>
            <w:tcW w:w="946" w:type="dxa"/>
            <w:noWrap/>
          </w:tcPr>
          <w:p w14:paraId="6A51EA6D">
            <w:pPr>
              <w:spacing w:after="0" w:line="480" w:lineRule="auto"/>
              <w:jc w:val="both"/>
              <w:rPr>
                <w:rFonts w:asciiTheme="majorBidi" w:hAnsiTheme="majorBidi" w:cstheme="majorBidi"/>
                <w:sz w:val="24"/>
                <w:szCs w:val="24"/>
              </w:rPr>
            </w:pPr>
            <w:r>
              <w:rPr>
                <w:rFonts w:asciiTheme="majorBidi" w:hAnsiTheme="majorBidi" w:cstheme="majorBidi"/>
                <w:sz w:val="24"/>
                <w:szCs w:val="24"/>
              </w:rPr>
              <w:t>13.30%</w:t>
            </w:r>
          </w:p>
        </w:tc>
      </w:tr>
    </w:tbl>
    <w:p w14:paraId="5905AAD5">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6C92535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table outlines the perceptions of students regarding various factors related to academic integrity and examination malpractices within secondary schools in Garissa Township Sub County, Kenya. These factors encompass the perceived benefits of cheating, the influence of career prospects on cheating behavior, the importance of fair competition, the value of maintaining fairness in examinations, and the relationship between academic success and future career opportunities. It was found that there is correlation between perceived benefit and exam integrity. Questionnaire items 10 - 14 was used to test. </w:t>
      </w:r>
    </w:p>
    <w:p w14:paraId="660C8155">
      <w:pPr>
        <w:spacing w:after="0" w:line="480" w:lineRule="auto"/>
        <w:jc w:val="both"/>
        <w:rPr>
          <w:rFonts w:asciiTheme="majorBidi" w:hAnsiTheme="majorBidi" w:cstheme="majorBidi"/>
          <w:sz w:val="24"/>
          <w:szCs w:val="24"/>
        </w:rPr>
      </w:pPr>
      <w:r>
        <w:rPr>
          <w:rFonts w:asciiTheme="majorBidi" w:hAnsiTheme="majorBidi" w:cstheme="majorBidi"/>
          <w:sz w:val="24"/>
          <w:szCs w:val="24"/>
        </w:rPr>
        <w:t>Questionnaire item 10 shows that</w:t>
      </w:r>
      <w:r>
        <w:rPr>
          <w:rFonts w:asciiTheme="majorBidi" w:hAnsiTheme="majorBidi" w:cstheme="majorBidi"/>
          <w:b/>
          <w:bCs/>
          <w:sz w:val="24"/>
          <w:szCs w:val="24"/>
        </w:rPr>
        <w:t xml:space="preserve"> </w:t>
      </w:r>
      <w:r>
        <w:rPr>
          <w:rFonts w:asciiTheme="majorBidi" w:hAnsiTheme="majorBidi" w:cstheme="majorBidi"/>
          <w:sz w:val="24"/>
          <w:szCs w:val="24"/>
        </w:rPr>
        <w:t xml:space="preserve">a significant majority of respondents either agree or strongly agree that students' perceived benefits of cheating correlate to exam integrity, with 39.10% agreeing and 49.20% strongly agreeing. When students believe that cheating will lead to positive outcomes without significant risks or consequences, it can undermine exam integrity and promote academic misconduct. This is conforming to the study by Smith and Johnson (2017), that students who believe cheating provides a significant advantage are more likely to engage in academic dishonesty. If students perceive that cheating can help them achieve academic success, such as better grades, scholarships, or college admissions, they are more likely to engage in academic misconduct (Jones et al. </w:t>
      </w:r>
      <w:r>
        <w:rPr>
          <w:rFonts w:eastAsia="Times New Roman" w:asciiTheme="majorBidi" w:hAnsiTheme="majorBidi" w:cstheme="majorBidi"/>
          <w:sz w:val="24"/>
          <w:szCs w:val="24"/>
        </w:rPr>
        <w:t>2015)</w:t>
      </w:r>
      <w:r>
        <w:rPr>
          <w:rFonts w:asciiTheme="majorBidi" w:hAnsiTheme="majorBidi" w:cstheme="majorBidi"/>
          <w:sz w:val="24"/>
          <w:szCs w:val="24"/>
        </w:rPr>
        <w:t xml:space="preserve">. This perception can stem from high academic pressure, competition, or unrealistic expectations. </w:t>
      </w:r>
    </w:p>
    <w:p w14:paraId="5E35986E">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Similarly, a substantial proportion of respondents in questionnaire item 11 agree or strongly agree that Cheating in exams can be significantly influenced by the perceived benefits of achieving high grades, which, in turn, are often linked to gaining admission to prestigious career courses or programs, with 54.70% agreeing and 22.70% strongly agreeing. According to Smith and Johnson (2018), students with a strong desire to enter competitive career courses may perceive cheating as a means to improve their academic performance and secure a place in their desired field. This pressure to secure a spot in desirable academic or career pathways can drive some students to resort to academic misconduct. Students may view high grades as a pathway to competitive career courses, internships, or job opportunities (Rogers and Wright 2020). If they believe that cheating can improve their chances of gaining access to these opportunities, they may be more inclined to engage in exam malpractice. The competition for admission into top career courses, like medicine, engineering, or business, can be intense. This high level of competition can create a perception that cheating is the only way to stand out or meet the rigorous admission requirements. </w:t>
      </w:r>
    </w:p>
    <w:p w14:paraId="43F0FE4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Majority of the respondent in questionnaire item 12 with 51.60% agreeing and 28.90% strongly agreeing that fair competition is indeed a significant driver of examination integrity. When students, teachers, and educational institutions uphold the principles of fairness and equal opportunity, it fosters an environment where academic honesty is valued and cheating is less likely to occur. Creating a culture of academic integrity, emphasizing the importance of ethical behavior, and providing clear consequences for cheating can help reduce academic dishonesty (Williams &amp; Davis, 2021). Fair competition ensures that all students have an equal opportunity to demonstrate their knowledge and skills (Davis, 2013). When students believe that exams are conducted fairly, they are more likely to respect the process and avoid cheating. When the examination system is perceived as fair, it builds trust among students and all stakeholder (Smith &amp; Johnson, 2016). This trust is crucial for maintaining academic integrity, as it discourages students from seeking unfair advantages through cheating. A belief in fair competition reinforces the idea that success is based on merit, effort, and skills. This perception reduces the motivation to cheat, as students understand that their achievements should be based on their own work. </w:t>
      </w:r>
    </w:p>
    <w:p w14:paraId="429D7265">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While there is less agreement compared to previous statements, a considerable portion of respondents still agree or strongly agree on questionnaire item 13, it  shows that 39.1% of the respondents have no idea if </w:t>
      </w:r>
      <w:r>
        <w:rPr>
          <w:rFonts w:asciiTheme="majorBidi" w:hAnsiTheme="majorBidi" w:cstheme="majorBidi"/>
          <w:color w:val="000000"/>
          <w:sz w:val="24"/>
          <w:szCs w:val="24"/>
        </w:rPr>
        <w:t>Students</w:t>
      </w:r>
      <w:r>
        <w:rPr>
          <w:rFonts w:asciiTheme="majorBidi" w:hAnsiTheme="majorBidi" w:cstheme="majorBidi"/>
          <w:sz w:val="24"/>
          <w:szCs w:val="24"/>
        </w:rPr>
        <w:t xml:space="preserve"> who value a level playing field perceive the benefits of maintaining fairness in examinations</w:t>
      </w:r>
      <w:r>
        <w:rPr>
          <w:rFonts w:asciiTheme="majorBidi" w:hAnsiTheme="majorBidi" w:cstheme="majorBidi"/>
          <w:b/>
          <w:bCs/>
          <w:sz w:val="24"/>
          <w:szCs w:val="24"/>
        </w:rPr>
        <w:t xml:space="preserve"> </w:t>
      </w:r>
      <w:r>
        <w:rPr>
          <w:rFonts w:asciiTheme="majorBidi" w:hAnsiTheme="majorBidi" w:cstheme="majorBidi"/>
          <w:sz w:val="24"/>
          <w:szCs w:val="24"/>
        </w:rPr>
        <w:t xml:space="preserve">but a considerable portion of respondents still agree or strongly agree, with 32.00% agreeing and 10.20% strongly agreeing that Students who value a level playing field tend to see the benefits of maintaining fairness in examinations because they understand that a fair system ensures equal opportunities and rewards hard work (Hosotani &amp; Imai-Matsumura, 2011).. This perception can play a significant role in promoting academic integrity and reducing cheating. </w:t>
      </w:r>
    </w:p>
    <w:p w14:paraId="2D52B4FC">
      <w:pPr>
        <w:spacing w:after="0" w:line="480" w:lineRule="auto"/>
        <w:jc w:val="both"/>
        <w:rPr>
          <w:rFonts w:asciiTheme="majorBidi" w:hAnsiTheme="majorBidi" w:cstheme="majorBidi"/>
          <w:sz w:val="24"/>
          <w:szCs w:val="24"/>
        </w:rPr>
      </w:pPr>
      <w:r>
        <w:rPr>
          <w:rFonts w:asciiTheme="majorBidi" w:hAnsiTheme="majorBidi" w:cstheme="majorBidi"/>
          <w:sz w:val="24"/>
          <w:szCs w:val="24"/>
        </w:rPr>
        <w:t>Lastly a significant portion of respondents agree or strongly agree, with 45.30% agreeing and 13.30% strongly agreeing in questionnaire items 14 that the perception that academic success directly translates to future career opportunities can be a strong motivator for candidates to consider academic dishonesty. When students believe that high grades and academic achievements are the primary keys to unlocking career success, they may be more tempted to engage in dishonest practices like cheating on exams (Anderman and Murdock 2007). According to Green and Wilson (2019), students from cultures that emphasize high academic achievement are more likely to feel pressure to succeed, which can lead to academic dishonesty (Green &amp; Wilson, 2019). Additionally, societal expectations for career success can contribute to the belief that academic achievements are crucial for future opportunities. To address academic dishonesty motivated by career aspirations, educational institutions can implement various strategies. According to Smith and Johnson (2017), many students believe that high grades and academic achievements are critical for entering competitive job markets and securing well-paying positions. This perception can create pressure to succeed academically, leading some students to consider academic dishonesty as a means to achieve their goals. The pressure to succeed academically can be a significant motivator for academic dishonesty. Cultural and societal factors also play a role in shaping students' perceptions of academic success and its impact on career opportunities.</w:t>
      </w:r>
    </w:p>
    <w:p w14:paraId="6F452477">
      <w:pPr>
        <w:pStyle w:val="2"/>
        <w:spacing w:before="0" w:line="480" w:lineRule="auto"/>
        <w:rPr>
          <w:rFonts w:asciiTheme="majorBidi" w:hAnsiTheme="majorBidi"/>
          <w:b w:val="0"/>
          <w:bCs w:val="0"/>
          <w:color w:val="auto"/>
          <w:sz w:val="24"/>
          <w:szCs w:val="24"/>
        </w:rPr>
      </w:pPr>
      <w:bookmarkStart w:id="222" w:name="_Toc194769944"/>
      <w:bookmarkStart w:id="223" w:name="_Toc194822664"/>
      <w:r>
        <w:rPr>
          <w:rFonts w:asciiTheme="majorBidi" w:hAnsiTheme="majorBidi"/>
          <w:b w:val="0"/>
          <w:bCs w:val="0"/>
          <w:color w:val="auto"/>
          <w:sz w:val="24"/>
          <w:szCs w:val="24"/>
        </w:rPr>
        <w:t>Table 12:</w:t>
      </w:r>
      <w:bookmarkEnd w:id="222"/>
      <w:bookmarkEnd w:id="223"/>
    </w:p>
    <w:p w14:paraId="4A94EBAE">
      <w:pPr>
        <w:pStyle w:val="2"/>
        <w:spacing w:before="0" w:line="480" w:lineRule="auto"/>
        <w:rPr>
          <w:rFonts w:asciiTheme="majorBidi" w:hAnsiTheme="majorBidi"/>
          <w:b w:val="0"/>
          <w:bCs w:val="0"/>
          <w:i/>
          <w:iCs/>
          <w:color w:val="auto"/>
          <w:sz w:val="24"/>
          <w:szCs w:val="24"/>
        </w:rPr>
      </w:pPr>
      <w:bookmarkStart w:id="224" w:name="_Toc194822665"/>
      <w:bookmarkStart w:id="225" w:name="_Toc194769945"/>
      <w:r>
        <w:rPr>
          <w:rFonts w:asciiTheme="majorBidi" w:hAnsiTheme="majorBidi"/>
          <w:b w:val="0"/>
          <w:bCs w:val="0"/>
          <w:i/>
          <w:iCs/>
          <w:color w:val="auto"/>
          <w:sz w:val="24"/>
          <w:szCs w:val="24"/>
        </w:rPr>
        <w:t>Mean and standard deviation of perceived benefits items</w:t>
      </w:r>
      <w:bookmarkEnd w:id="224"/>
      <w:bookmarkEnd w:id="225"/>
    </w:p>
    <w:tbl>
      <w:tblPr>
        <w:tblStyle w:val="20"/>
        <w:tblW w:w="885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4"/>
        <w:gridCol w:w="1040"/>
        <w:gridCol w:w="141"/>
        <w:gridCol w:w="781"/>
        <w:gridCol w:w="1730"/>
      </w:tblGrid>
      <w:tr w14:paraId="1FB443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tcBorders>
              <w:top w:val="single" w:color="auto" w:sz="4" w:space="0"/>
              <w:bottom w:val="single" w:color="auto" w:sz="4" w:space="0"/>
            </w:tcBorders>
            <w:noWrap/>
          </w:tcPr>
          <w:p w14:paraId="4E225531">
            <w:pPr>
              <w:spacing w:after="0" w:line="360" w:lineRule="auto"/>
              <w:rPr>
                <w:rFonts w:asciiTheme="majorBidi" w:hAnsiTheme="majorBidi" w:cstheme="majorBidi"/>
                <w:b/>
                <w:bCs/>
                <w:sz w:val="24"/>
                <w:szCs w:val="24"/>
              </w:rPr>
            </w:pPr>
          </w:p>
        </w:tc>
        <w:tc>
          <w:tcPr>
            <w:tcW w:w="1040" w:type="dxa"/>
            <w:tcBorders>
              <w:top w:val="single" w:color="auto" w:sz="4" w:space="0"/>
              <w:bottom w:val="single" w:color="auto" w:sz="4" w:space="0"/>
            </w:tcBorders>
          </w:tcPr>
          <w:p w14:paraId="162B109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22" w:type="dxa"/>
            <w:gridSpan w:val="2"/>
            <w:tcBorders>
              <w:top w:val="single" w:color="auto" w:sz="4" w:space="0"/>
              <w:bottom w:val="single" w:color="auto" w:sz="4" w:space="0"/>
            </w:tcBorders>
            <w:noWrap/>
          </w:tcPr>
          <w:p w14:paraId="0D2952B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Mean</w:t>
            </w:r>
          </w:p>
        </w:tc>
        <w:tc>
          <w:tcPr>
            <w:tcW w:w="1730" w:type="dxa"/>
            <w:tcBorders>
              <w:top w:val="single" w:color="auto" w:sz="4" w:space="0"/>
              <w:bottom w:val="single" w:color="auto" w:sz="4" w:space="0"/>
            </w:tcBorders>
            <w:noWrap/>
          </w:tcPr>
          <w:p w14:paraId="0558189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Std. Deviation</w:t>
            </w:r>
          </w:p>
        </w:tc>
      </w:tr>
      <w:tr w14:paraId="7C13A1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tcBorders>
              <w:top w:val="single" w:color="auto" w:sz="4" w:space="0"/>
            </w:tcBorders>
            <w:noWrap/>
          </w:tcPr>
          <w:p w14:paraId="6187CBA0">
            <w:pPr>
              <w:spacing w:after="0" w:line="360" w:lineRule="auto"/>
              <w:rPr>
                <w:rFonts w:asciiTheme="majorBidi" w:hAnsiTheme="majorBidi" w:cstheme="majorBidi"/>
                <w:sz w:val="24"/>
                <w:szCs w:val="24"/>
              </w:rPr>
            </w:pPr>
            <w:r>
              <w:rPr>
                <w:rFonts w:asciiTheme="majorBidi" w:hAnsiTheme="majorBidi" w:cstheme="majorBidi"/>
                <w:sz w:val="24"/>
                <w:szCs w:val="24"/>
              </w:rPr>
              <w:t>Students perceived benefits of cheating correlate to exam integrity</w:t>
            </w:r>
          </w:p>
        </w:tc>
        <w:tc>
          <w:tcPr>
            <w:tcW w:w="1181" w:type="dxa"/>
            <w:gridSpan w:val="2"/>
            <w:tcBorders>
              <w:top w:val="single" w:color="auto" w:sz="4" w:space="0"/>
            </w:tcBorders>
          </w:tcPr>
          <w:p w14:paraId="319B985C">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tcBorders>
              <w:top w:val="single" w:color="auto" w:sz="4" w:space="0"/>
            </w:tcBorders>
            <w:noWrap/>
          </w:tcPr>
          <w:p w14:paraId="3930D617">
            <w:pPr>
              <w:spacing w:after="0" w:line="360" w:lineRule="auto"/>
              <w:jc w:val="both"/>
              <w:rPr>
                <w:rFonts w:asciiTheme="majorBidi" w:hAnsiTheme="majorBidi" w:cstheme="majorBidi"/>
                <w:sz w:val="24"/>
                <w:szCs w:val="24"/>
              </w:rPr>
            </w:pPr>
            <w:r>
              <w:rPr>
                <w:rFonts w:asciiTheme="majorBidi" w:hAnsiTheme="majorBidi" w:cstheme="majorBidi"/>
                <w:sz w:val="24"/>
                <w:szCs w:val="24"/>
              </w:rPr>
              <w:t>4.35</w:t>
            </w:r>
          </w:p>
        </w:tc>
        <w:tc>
          <w:tcPr>
            <w:tcW w:w="1730" w:type="dxa"/>
            <w:tcBorders>
              <w:top w:val="single" w:color="auto" w:sz="4" w:space="0"/>
            </w:tcBorders>
            <w:noWrap/>
          </w:tcPr>
          <w:p w14:paraId="219213F0">
            <w:pPr>
              <w:spacing w:after="0" w:line="360" w:lineRule="auto"/>
              <w:jc w:val="both"/>
              <w:rPr>
                <w:rFonts w:asciiTheme="majorBidi" w:hAnsiTheme="majorBidi" w:cstheme="majorBidi"/>
                <w:sz w:val="24"/>
                <w:szCs w:val="24"/>
              </w:rPr>
            </w:pPr>
            <w:r>
              <w:rPr>
                <w:rFonts w:asciiTheme="majorBidi" w:hAnsiTheme="majorBidi" w:cstheme="majorBidi"/>
                <w:sz w:val="24"/>
                <w:szCs w:val="24"/>
              </w:rPr>
              <w:t>0.749</w:t>
            </w:r>
          </w:p>
        </w:tc>
      </w:tr>
      <w:tr w14:paraId="432EA2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18153DEC">
            <w:pPr>
              <w:spacing w:after="0" w:line="360" w:lineRule="auto"/>
              <w:rPr>
                <w:rFonts w:asciiTheme="majorBidi" w:hAnsiTheme="majorBidi" w:cstheme="majorBidi"/>
                <w:sz w:val="24"/>
                <w:szCs w:val="24"/>
              </w:rPr>
            </w:pPr>
            <w:r>
              <w:rPr>
                <w:rFonts w:asciiTheme="majorBidi" w:hAnsiTheme="majorBidi" w:cstheme="majorBidi"/>
                <w:sz w:val="24"/>
                <w:szCs w:val="24"/>
              </w:rPr>
              <w:t>Cheating in exams is influenced by Perceived benefits of getting good career courses.</w:t>
            </w:r>
          </w:p>
        </w:tc>
        <w:tc>
          <w:tcPr>
            <w:tcW w:w="1181" w:type="dxa"/>
            <w:gridSpan w:val="2"/>
          </w:tcPr>
          <w:p w14:paraId="01F53904">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3798FD5C">
            <w:pPr>
              <w:spacing w:after="0" w:line="360" w:lineRule="auto"/>
              <w:jc w:val="both"/>
              <w:rPr>
                <w:rFonts w:asciiTheme="majorBidi" w:hAnsiTheme="majorBidi" w:cstheme="majorBidi"/>
                <w:sz w:val="24"/>
                <w:szCs w:val="24"/>
              </w:rPr>
            </w:pPr>
            <w:r>
              <w:rPr>
                <w:rFonts w:asciiTheme="majorBidi" w:hAnsiTheme="majorBidi" w:cstheme="majorBidi"/>
                <w:sz w:val="24"/>
                <w:szCs w:val="24"/>
              </w:rPr>
              <w:t>3.91</w:t>
            </w:r>
          </w:p>
        </w:tc>
        <w:tc>
          <w:tcPr>
            <w:tcW w:w="1730" w:type="dxa"/>
            <w:noWrap/>
          </w:tcPr>
          <w:p w14:paraId="033C8107">
            <w:pPr>
              <w:spacing w:after="0" w:line="360" w:lineRule="auto"/>
              <w:jc w:val="both"/>
              <w:rPr>
                <w:rFonts w:asciiTheme="majorBidi" w:hAnsiTheme="majorBidi" w:cstheme="majorBidi"/>
                <w:sz w:val="24"/>
                <w:szCs w:val="24"/>
              </w:rPr>
            </w:pPr>
            <w:r>
              <w:rPr>
                <w:rFonts w:asciiTheme="majorBidi" w:hAnsiTheme="majorBidi" w:cstheme="majorBidi"/>
                <w:sz w:val="24"/>
                <w:szCs w:val="24"/>
              </w:rPr>
              <w:t>0.861</w:t>
            </w:r>
          </w:p>
        </w:tc>
      </w:tr>
      <w:tr w14:paraId="1A7FFE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6F19912D">
            <w:pPr>
              <w:spacing w:after="0" w:line="360" w:lineRule="auto"/>
              <w:rPr>
                <w:rFonts w:asciiTheme="majorBidi" w:hAnsiTheme="majorBidi" w:cstheme="majorBidi"/>
                <w:sz w:val="24"/>
                <w:szCs w:val="24"/>
              </w:rPr>
            </w:pPr>
            <w:r>
              <w:rPr>
                <w:rFonts w:asciiTheme="majorBidi" w:hAnsiTheme="majorBidi" w:cstheme="majorBidi"/>
                <w:sz w:val="24"/>
                <w:szCs w:val="24"/>
              </w:rPr>
              <w:t>The belief in fair competition is a significant driver of examination integrity.</w:t>
            </w:r>
          </w:p>
        </w:tc>
        <w:tc>
          <w:tcPr>
            <w:tcW w:w="1181" w:type="dxa"/>
            <w:gridSpan w:val="2"/>
          </w:tcPr>
          <w:p w14:paraId="42E365E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28CA3B98">
            <w:pPr>
              <w:spacing w:after="0" w:line="360" w:lineRule="auto"/>
              <w:jc w:val="both"/>
              <w:rPr>
                <w:rFonts w:asciiTheme="majorBidi" w:hAnsiTheme="majorBidi" w:cstheme="majorBidi"/>
                <w:sz w:val="24"/>
                <w:szCs w:val="24"/>
              </w:rPr>
            </w:pPr>
            <w:r>
              <w:rPr>
                <w:rFonts w:asciiTheme="majorBidi" w:hAnsiTheme="majorBidi" w:cstheme="majorBidi"/>
                <w:sz w:val="24"/>
                <w:szCs w:val="24"/>
              </w:rPr>
              <w:t>4.09</w:t>
            </w:r>
          </w:p>
        </w:tc>
        <w:tc>
          <w:tcPr>
            <w:tcW w:w="1730" w:type="dxa"/>
            <w:noWrap/>
          </w:tcPr>
          <w:p w14:paraId="715D11C7">
            <w:pPr>
              <w:spacing w:after="0" w:line="360" w:lineRule="auto"/>
              <w:jc w:val="both"/>
              <w:rPr>
                <w:rFonts w:asciiTheme="majorBidi" w:hAnsiTheme="majorBidi" w:cstheme="majorBidi"/>
                <w:sz w:val="24"/>
                <w:szCs w:val="24"/>
              </w:rPr>
            </w:pPr>
            <w:r>
              <w:rPr>
                <w:rFonts w:asciiTheme="majorBidi" w:hAnsiTheme="majorBidi" w:cstheme="majorBidi"/>
                <w:sz w:val="24"/>
                <w:szCs w:val="24"/>
              </w:rPr>
              <w:t>0.71</w:t>
            </w:r>
          </w:p>
        </w:tc>
      </w:tr>
      <w:tr w14:paraId="3C41C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3B45BF36">
            <w:pPr>
              <w:spacing w:after="0" w:line="360" w:lineRule="auto"/>
              <w:rPr>
                <w:rFonts w:asciiTheme="majorBidi" w:hAnsiTheme="majorBidi" w:cstheme="majorBidi"/>
                <w:sz w:val="24"/>
                <w:szCs w:val="24"/>
              </w:rPr>
            </w:pPr>
            <w:r>
              <w:rPr>
                <w:rFonts w:asciiTheme="majorBidi" w:hAnsiTheme="majorBidi" w:cstheme="majorBidi"/>
                <w:sz w:val="24"/>
                <w:szCs w:val="24"/>
              </w:rPr>
              <w:t>Students who value a level playing field perceive the benefits of maintaining fairness in examinations.</w:t>
            </w:r>
          </w:p>
        </w:tc>
        <w:tc>
          <w:tcPr>
            <w:tcW w:w="1181" w:type="dxa"/>
            <w:gridSpan w:val="2"/>
          </w:tcPr>
          <w:p w14:paraId="7DC5586D">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16DE3753">
            <w:pPr>
              <w:spacing w:after="0" w:line="360" w:lineRule="auto"/>
              <w:jc w:val="both"/>
              <w:rPr>
                <w:rFonts w:asciiTheme="majorBidi" w:hAnsiTheme="majorBidi" w:cstheme="majorBidi"/>
                <w:sz w:val="24"/>
                <w:szCs w:val="24"/>
              </w:rPr>
            </w:pPr>
            <w:r>
              <w:rPr>
                <w:rFonts w:asciiTheme="majorBidi" w:hAnsiTheme="majorBidi" w:cstheme="majorBidi"/>
                <w:sz w:val="24"/>
                <w:szCs w:val="24"/>
              </w:rPr>
              <w:t>3.29</w:t>
            </w:r>
          </w:p>
        </w:tc>
        <w:tc>
          <w:tcPr>
            <w:tcW w:w="1730" w:type="dxa"/>
            <w:noWrap/>
          </w:tcPr>
          <w:p w14:paraId="65FD2A04">
            <w:pPr>
              <w:spacing w:after="0" w:line="360" w:lineRule="auto"/>
              <w:jc w:val="both"/>
              <w:rPr>
                <w:rFonts w:asciiTheme="majorBidi" w:hAnsiTheme="majorBidi" w:cstheme="majorBidi"/>
                <w:sz w:val="24"/>
                <w:szCs w:val="24"/>
              </w:rPr>
            </w:pPr>
            <w:r>
              <w:rPr>
                <w:rFonts w:asciiTheme="majorBidi" w:hAnsiTheme="majorBidi" w:cstheme="majorBidi"/>
                <w:sz w:val="24"/>
                <w:szCs w:val="24"/>
              </w:rPr>
              <w:t>0.989</w:t>
            </w:r>
          </w:p>
        </w:tc>
      </w:tr>
      <w:tr w14:paraId="1464ED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421C55AA">
            <w:pPr>
              <w:spacing w:after="0" w:line="360" w:lineRule="auto"/>
              <w:rPr>
                <w:rFonts w:asciiTheme="majorBidi" w:hAnsiTheme="majorBidi" w:cstheme="majorBidi"/>
                <w:sz w:val="24"/>
                <w:szCs w:val="24"/>
              </w:rPr>
            </w:pPr>
            <w:r>
              <w:rPr>
                <w:rFonts w:asciiTheme="majorBidi" w:hAnsiTheme="majorBidi" w:cstheme="majorBidi"/>
                <w:sz w:val="24"/>
                <w:szCs w:val="24"/>
              </w:rPr>
              <w:t>The perception that academic success directly translates to future career opportunities motivates candidates to consider academic dishonesty.</w:t>
            </w:r>
          </w:p>
        </w:tc>
        <w:tc>
          <w:tcPr>
            <w:tcW w:w="1181" w:type="dxa"/>
            <w:gridSpan w:val="2"/>
          </w:tcPr>
          <w:p w14:paraId="540F3B90">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676CF739">
            <w:pPr>
              <w:spacing w:after="0" w:line="360" w:lineRule="auto"/>
              <w:jc w:val="both"/>
              <w:rPr>
                <w:rFonts w:asciiTheme="majorBidi" w:hAnsiTheme="majorBidi" w:cstheme="majorBidi"/>
                <w:sz w:val="24"/>
                <w:szCs w:val="24"/>
              </w:rPr>
            </w:pPr>
            <w:r>
              <w:rPr>
                <w:rFonts w:asciiTheme="majorBidi" w:hAnsiTheme="majorBidi" w:cstheme="majorBidi"/>
                <w:sz w:val="24"/>
                <w:szCs w:val="24"/>
              </w:rPr>
              <w:t>3.58</w:t>
            </w:r>
          </w:p>
        </w:tc>
        <w:tc>
          <w:tcPr>
            <w:tcW w:w="1730" w:type="dxa"/>
            <w:noWrap/>
          </w:tcPr>
          <w:p w14:paraId="5A5545D5">
            <w:pPr>
              <w:spacing w:after="0" w:line="360" w:lineRule="auto"/>
              <w:jc w:val="both"/>
              <w:rPr>
                <w:rFonts w:asciiTheme="majorBidi" w:hAnsiTheme="majorBidi" w:cstheme="majorBidi"/>
                <w:sz w:val="24"/>
                <w:szCs w:val="24"/>
              </w:rPr>
            </w:pPr>
            <w:r>
              <w:rPr>
                <w:rFonts w:asciiTheme="majorBidi" w:hAnsiTheme="majorBidi" w:cstheme="majorBidi"/>
                <w:sz w:val="24"/>
                <w:szCs w:val="24"/>
              </w:rPr>
              <w:t>0.936</w:t>
            </w:r>
          </w:p>
        </w:tc>
      </w:tr>
    </w:tbl>
    <w:p w14:paraId="7EF60BEC">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321249A1">
      <w:pPr>
        <w:spacing w:after="0" w:line="480" w:lineRule="auto"/>
        <w:jc w:val="both"/>
        <w:rPr>
          <w:rFonts w:asciiTheme="majorBidi" w:hAnsiTheme="majorBidi" w:cstheme="majorBidi"/>
          <w:sz w:val="24"/>
          <w:szCs w:val="24"/>
        </w:rPr>
      </w:pPr>
      <w:r>
        <w:rPr>
          <w:rFonts w:asciiTheme="majorBidi" w:hAnsiTheme="majorBidi" w:cstheme="majorBidi"/>
          <w:sz w:val="24"/>
          <w:szCs w:val="24"/>
        </w:rPr>
        <w:t>The data presents mean scores and standard deviations for Likert scale items related to students' perceptions of cheating and examination integrity. These items explore various factors influencing students' attitudes towards academic honesty and unethical behavior in examinations. The highest mean score of 4.35, with a standard deviation of 0.749, is associated with the statement indicating that students perceive benefits of cheating to correlate with exam integrity. This suggests that students may believe that cheating provides advantages in academic performance, potentially undermining the integrity of examinations.</w:t>
      </w:r>
    </w:p>
    <w:p w14:paraId="029F66AE">
      <w:pPr>
        <w:spacing w:line="480" w:lineRule="auto"/>
        <w:jc w:val="both"/>
        <w:rPr>
          <w:rFonts w:asciiTheme="majorBidi" w:hAnsiTheme="majorBidi" w:cstheme="majorBidi"/>
          <w:sz w:val="24"/>
          <w:szCs w:val="24"/>
        </w:rPr>
      </w:pPr>
      <w:r>
        <w:rPr>
          <w:rFonts w:asciiTheme="majorBidi" w:hAnsiTheme="majorBidi" w:cstheme="majorBidi"/>
          <w:sz w:val="24"/>
          <w:szCs w:val="24"/>
        </w:rPr>
        <w:t>Similarly, the statement regarding cheating in exams being influenced by perceived benefits of getting good career courses yielded a mean score of 3.91, with a standard deviation of 0.861. This suggests that students may view academic dishonesty as a means to secure desirable career opportunities, reflecting a utilitarian perspective on cheating behavior. The belief in fair competition being a significant driver of academic integrity and examination malpractices received a mean score of 4.09, with a standard deviation of 0.71. This indicates that students value fair competition and perceive it as important for maintaining integrity in examinations.</w:t>
      </w:r>
    </w:p>
    <w:p w14:paraId="113E73CE">
      <w:pPr>
        <w:spacing w:line="480" w:lineRule="auto"/>
        <w:jc w:val="both"/>
        <w:rPr>
          <w:rFonts w:asciiTheme="majorBidi" w:hAnsiTheme="majorBidi" w:cstheme="majorBidi"/>
          <w:sz w:val="24"/>
          <w:szCs w:val="24"/>
        </w:rPr>
      </w:pPr>
      <w:r>
        <w:rPr>
          <w:rFonts w:asciiTheme="majorBidi" w:hAnsiTheme="majorBidi" w:cstheme="majorBidi"/>
          <w:sz w:val="24"/>
          <w:szCs w:val="24"/>
        </w:rPr>
        <w:t>However, the statement suggesting that students who value a level playing field perceive the benefits of maintaining fairness in examinations yielded a lower mean score of 3.29, with a higher standard deviation of 0.989. This suggests that while some students may value fairness in examinations, there may be variability in their perceptions of the benefits associated with maintaining integrity.</w:t>
      </w:r>
    </w:p>
    <w:p w14:paraId="5AA3560D">
      <w:pPr>
        <w:spacing w:line="480" w:lineRule="auto"/>
        <w:jc w:val="both"/>
        <w:rPr>
          <w:rFonts w:asciiTheme="majorBidi" w:hAnsiTheme="majorBidi" w:cstheme="majorBidi"/>
          <w:sz w:val="24"/>
          <w:szCs w:val="24"/>
        </w:rPr>
      </w:pPr>
    </w:p>
    <w:p w14:paraId="23ED5C89">
      <w:pPr>
        <w:spacing w:after="0" w:line="480" w:lineRule="auto"/>
        <w:jc w:val="both"/>
        <w:rPr>
          <w:rFonts w:asciiTheme="majorBidi" w:hAnsiTheme="majorBidi" w:cstheme="majorBidi"/>
          <w:bCs/>
          <w:sz w:val="24"/>
          <w:szCs w:val="24"/>
        </w:rPr>
      </w:pPr>
      <w:r>
        <w:rPr>
          <w:rFonts w:asciiTheme="majorBidi" w:hAnsiTheme="majorBidi" w:cstheme="majorBidi"/>
          <w:bCs/>
          <w:sz w:val="24"/>
          <w:szCs w:val="24"/>
        </w:rPr>
        <w:t>Hypothesis three</w:t>
      </w:r>
    </w:p>
    <w:p w14:paraId="6403BE2C">
      <w:pPr>
        <w:pStyle w:val="17"/>
        <w:spacing w:before="0" w:beforeAutospacing="0" w:line="480" w:lineRule="auto"/>
        <w:jc w:val="both"/>
        <w:rPr>
          <w:rFonts w:asciiTheme="majorBidi" w:hAnsiTheme="majorBidi" w:cstheme="majorBidi"/>
        </w:rPr>
      </w:pPr>
      <w:bookmarkStart w:id="226" w:name="_Hlk165146612"/>
      <w:r>
        <w:rPr>
          <w:rFonts w:asciiTheme="majorBidi" w:hAnsiTheme="majorBidi" w:cstheme="majorBidi"/>
          <w:bCs/>
        </w:rPr>
        <w:t xml:space="preserve">The third hypothesis of the study stated that </w:t>
      </w:r>
      <w:r>
        <w:rPr>
          <w:rFonts w:asciiTheme="majorBidi" w:hAnsiTheme="majorBidi" w:cstheme="majorBidi"/>
          <w:i/>
          <w:iCs/>
        </w:rPr>
        <w:t xml:space="preserve">There is no significant relationship between perceived benefits and academic integrity and examination malpractices in secondary schools in Garissa Township Sub County. </w:t>
      </w:r>
      <w:r>
        <w:rPr>
          <w:rFonts w:asciiTheme="majorBidi" w:hAnsiTheme="majorBidi" w:cstheme="majorBidi"/>
          <w:bCs/>
        </w:rPr>
        <w:t>Pearson ’s correlation coefficient and the associated p value were computed to test hypothesis three. Table 13 presents the results of the correlation analysis.</w:t>
      </w:r>
    </w:p>
    <w:p w14:paraId="7EA385FB">
      <w:pPr>
        <w:pStyle w:val="2"/>
        <w:spacing w:before="0" w:line="480" w:lineRule="auto"/>
        <w:rPr>
          <w:rFonts w:asciiTheme="majorBidi" w:hAnsiTheme="majorBidi"/>
          <w:b w:val="0"/>
          <w:bCs w:val="0"/>
          <w:color w:val="auto"/>
          <w:sz w:val="24"/>
          <w:szCs w:val="24"/>
        </w:rPr>
      </w:pPr>
      <w:bookmarkStart w:id="227" w:name="_Toc194822666"/>
      <w:bookmarkStart w:id="228" w:name="_Toc194769946"/>
      <w:r>
        <w:rPr>
          <w:rFonts w:asciiTheme="majorBidi" w:hAnsiTheme="majorBidi"/>
          <w:b w:val="0"/>
          <w:bCs w:val="0"/>
          <w:color w:val="auto"/>
          <w:sz w:val="24"/>
          <w:szCs w:val="24"/>
        </w:rPr>
        <w:t>Table 13:</w:t>
      </w:r>
      <w:bookmarkEnd w:id="227"/>
      <w:bookmarkEnd w:id="228"/>
    </w:p>
    <w:p w14:paraId="6257F2E1">
      <w:pPr>
        <w:pStyle w:val="2"/>
        <w:spacing w:before="0" w:line="480" w:lineRule="auto"/>
        <w:rPr>
          <w:rFonts w:asciiTheme="majorBidi" w:hAnsiTheme="majorBidi"/>
          <w:b w:val="0"/>
          <w:bCs w:val="0"/>
          <w:i/>
          <w:iCs/>
          <w:color w:val="auto"/>
          <w:sz w:val="24"/>
          <w:szCs w:val="24"/>
        </w:rPr>
      </w:pPr>
      <w:bookmarkStart w:id="229" w:name="_Toc194769947"/>
      <w:bookmarkStart w:id="230" w:name="_Toc194822667"/>
      <w:r>
        <w:rPr>
          <w:rFonts w:asciiTheme="majorBidi" w:hAnsiTheme="majorBidi"/>
          <w:b w:val="0"/>
          <w:bCs w:val="0"/>
          <w:i/>
          <w:iCs/>
          <w:color w:val="auto"/>
          <w:sz w:val="24"/>
          <w:szCs w:val="24"/>
        </w:rPr>
        <w:t>Correlation analysis of perceived benefits and Level of Exam Malpractices in KCSE</w:t>
      </w:r>
      <w:bookmarkEnd w:id="229"/>
      <w:bookmarkEnd w:id="230"/>
    </w:p>
    <w:bookmarkEnd w:id="226"/>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5"/>
        <w:gridCol w:w="1883"/>
        <w:gridCol w:w="1548"/>
        <w:gridCol w:w="2380"/>
      </w:tblGrid>
      <w:tr w14:paraId="24B6E0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tcBorders>
              <w:top w:val="single" w:color="auto" w:sz="4" w:space="0"/>
              <w:bottom w:val="single" w:color="auto" w:sz="4" w:space="0"/>
            </w:tcBorders>
            <w:noWrap/>
          </w:tcPr>
          <w:p w14:paraId="630D95F3">
            <w:pPr>
              <w:spacing w:after="0" w:line="360" w:lineRule="auto"/>
              <w:rPr>
                <w:rFonts w:asciiTheme="majorBidi" w:hAnsiTheme="majorBidi" w:cstheme="majorBidi"/>
                <w:b/>
                <w:bCs/>
                <w:sz w:val="24"/>
                <w:szCs w:val="24"/>
              </w:rPr>
            </w:pPr>
          </w:p>
        </w:tc>
        <w:tc>
          <w:tcPr>
            <w:tcW w:w="1883" w:type="dxa"/>
            <w:tcBorders>
              <w:top w:val="single" w:color="auto" w:sz="4" w:space="0"/>
              <w:bottom w:val="single" w:color="auto" w:sz="4" w:space="0"/>
            </w:tcBorders>
            <w:noWrap/>
          </w:tcPr>
          <w:p w14:paraId="1B3E80EB">
            <w:pPr>
              <w:spacing w:after="0" w:line="360" w:lineRule="auto"/>
              <w:jc w:val="both"/>
              <w:rPr>
                <w:rFonts w:asciiTheme="majorBidi" w:hAnsiTheme="majorBidi" w:cstheme="majorBidi"/>
                <w:b/>
                <w:bCs/>
                <w:sz w:val="24"/>
                <w:szCs w:val="24"/>
              </w:rPr>
            </w:pPr>
          </w:p>
        </w:tc>
        <w:tc>
          <w:tcPr>
            <w:tcW w:w="1548" w:type="dxa"/>
            <w:tcBorders>
              <w:top w:val="single" w:color="auto" w:sz="4" w:space="0"/>
              <w:bottom w:val="single" w:color="auto" w:sz="4" w:space="0"/>
            </w:tcBorders>
            <w:noWrap/>
          </w:tcPr>
          <w:p w14:paraId="47E47197">
            <w:pPr>
              <w:spacing w:after="0" w:line="360" w:lineRule="auto"/>
              <w:jc w:val="both"/>
              <w:rPr>
                <w:rFonts w:asciiTheme="majorBidi" w:hAnsiTheme="majorBidi" w:cstheme="majorBidi"/>
                <w:sz w:val="24"/>
                <w:szCs w:val="24"/>
              </w:rPr>
            </w:pPr>
            <w:r>
              <w:rPr>
                <w:rFonts w:asciiTheme="majorBidi" w:hAnsiTheme="majorBidi" w:cstheme="majorBidi"/>
                <w:sz w:val="24"/>
                <w:szCs w:val="24"/>
              </w:rPr>
              <w:t>Perceived benefits</w:t>
            </w:r>
          </w:p>
        </w:tc>
        <w:tc>
          <w:tcPr>
            <w:tcW w:w="2380" w:type="dxa"/>
            <w:tcBorders>
              <w:top w:val="single" w:color="auto" w:sz="4" w:space="0"/>
              <w:bottom w:val="single" w:color="auto" w:sz="4" w:space="0"/>
            </w:tcBorders>
            <w:noWrap/>
          </w:tcPr>
          <w:p w14:paraId="21E68CDE">
            <w:pPr>
              <w:spacing w:after="0" w:line="360" w:lineRule="auto"/>
              <w:jc w:val="both"/>
              <w:rPr>
                <w:rFonts w:asciiTheme="majorBidi" w:hAnsiTheme="majorBidi" w:cstheme="majorBidi"/>
                <w:sz w:val="24"/>
                <w:szCs w:val="24"/>
              </w:rPr>
            </w:pPr>
            <w:r>
              <w:rPr>
                <w:rFonts w:asciiTheme="majorBidi" w:hAnsiTheme="majorBidi" w:cstheme="majorBidi"/>
                <w:sz w:val="24"/>
                <w:szCs w:val="24"/>
              </w:rPr>
              <w:t>Level of Exam Malpractices in KCSE</w:t>
            </w:r>
          </w:p>
        </w:tc>
      </w:tr>
      <w:tr w14:paraId="4DA8B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tcBorders>
              <w:top w:val="single" w:color="auto" w:sz="4" w:space="0"/>
            </w:tcBorders>
            <w:noWrap/>
          </w:tcPr>
          <w:p w14:paraId="16CC0C17">
            <w:pPr>
              <w:spacing w:after="0" w:line="360" w:lineRule="auto"/>
              <w:rPr>
                <w:rFonts w:asciiTheme="majorBidi" w:hAnsiTheme="majorBidi" w:cstheme="majorBidi"/>
                <w:sz w:val="24"/>
                <w:szCs w:val="24"/>
              </w:rPr>
            </w:pPr>
            <w:r>
              <w:rPr>
                <w:rFonts w:asciiTheme="majorBidi" w:hAnsiTheme="majorBidi" w:cstheme="majorBidi"/>
                <w:sz w:val="24"/>
                <w:szCs w:val="24"/>
              </w:rPr>
              <w:t>Perceived benefits</w:t>
            </w:r>
          </w:p>
        </w:tc>
        <w:tc>
          <w:tcPr>
            <w:tcW w:w="1883" w:type="dxa"/>
            <w:tcBorders>
              <w:top w:val="single" w:color="auto" w:sz="4" w:space="0"/>
            </w:tcBorders>
            <w:noWrap/>
          </w:tcPr>
          <w:p w14:paraId="2CF89012">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48" w:type="dxa"/>
            <w:tcBorders>
              <w:top w:val="single" w:color="auto" w:sz="4" w:space="0"/>
            </w:tcBorders>
            <w:noWrap/>
          </w:tcPr>
          <w:p w14:paraId="56BBC17A">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380" w:type="dxa"/>
            <w:tcBorders>
              <w:top w:val="single" w:color="auto" w:sz="4" w:space="0"/>
            </w:tcBorders>
            <w:noWrap/>
          </w:tcPr>
          <w:p w14:paraId="7BFA5556">
            <w:pPr>
              <w:spacing w:after="0" w:line="360" w:lineRule="auto"/>
              <w:jc w:val="both"/>
              <w:rPr>
                <w:rFonts w:asciiTheme="majorBidi" w:hAnsiTheme="majorBidi" w:cstheme="majorBidi"/>
                <w:sz w:val="24"/>
                <w:szCs w:val="24"/>
              </w:rPr>
            </w:pPr>
            <w:r>
              <w:rPr>
                <w:rFonts w:asciiTheme="majorBidi" w:hAnsiTheme="majorBidi" w:cstheme="majorBidi"/>
                <w:sz w:val="24"/>
                <w:szCs w:val="24"/>
              </w:rPr>
              <w:t>.329**</w:t>
            </w:r>
          </w:p>
        </w:tc>
      </w:tr>
      <w:tr w14:paraId="74215F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5BF2D8DA">
            <w:pPr>
              <w:spacing w:after="0" w:line="360" w:lineRule="auto"/>
              <w:rPr>
                <w:rFonts w:asciiTheme="majorBidi" w:hAnsiTheme="majorBidi" w:cstheme="majorBidi"/>
                <w:sz w:val="24"/>
                <w:szCs w:val="24"/>
              </w:rPr>
            </w:pPr>
          </w:p>
        </w:tc>
        <w:tc>
          <w:tcPr>
            <w:tcW w:w="1883" w:type="dxa"/>
            <w:noWrap/>
          </w:tcPr>
          <w:p w14:paraId="0E75FB2A">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48" w:type="dxa"/>
            <w:noWrap/>
          </w:tcPr>
          <w:p w14:paraId="5F31372C">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380" w:type="dxa"/>
            <w:noWrap/>
          </w:tcPr>
          <w:p w14:paraId="7E1E86AC">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r>
      <w:tr w14:paraId="4BBA3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3F6179E5">
            <w:pPr>
              <w:spacing w:after="0" w:line="360" w:lineRule="auto"/>
              <w:rPr>
                <w:rFonts w:asciiTheme="majorBidi" w:hAnsiTheme="majorBidi" w:cstheme="majorBidi"/>
                <w:sz w:val="24"/>
                <w:szCs w:val="24"/>
              </w:rPr>
            </w:pPr>
          </w:p>
        </w:tc>
        <w:tc>
          <w:tcPr>
            <w:tcW w:w="1883" w:type="dxa"/>
            <w:noWrap/>
          </w:tcPr>
          <w:p w14:paraId="198E29A0">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548" w:type="dxa"/>
            <w:noWrap/>
          </w:tcPr>
          <w:p w14:paraId="7DDF940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380" w:type="dxa"/>
            <w:noWrap/>
          </w:tcPr>
          <w:p w14:paraId="053E8D2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r w14:paraId="7D14D2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41AE3C55">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1883" w:type="dxa"/>
            <w:noWrap/>
          </w:tcPr>
          <w:p w14:paraId="544D5A53">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48" w:type="dxa"/>
            <w:noWrap/>
          </w:tcPr>
          <w:p w14:paraId="368F0D00">
            <w:pPr>
              <w:spacing w:after="0" w:line="360" w:lineRule="auto"/>
              <w:jc w:val="both"/>
              <w:rPr>
                <w:rFonts w:asciiTheme="majorBidi" w:hAnsiTheme="majorBidi" w:cstheme="majorBidi"/>
                <w:sz w:val="24"/>
                <w:szCs w:val="24"/>
              </w:rPr>
            </w:pPr>
            <w:r>
              <w:rPr>
                <w:rFonts w:asciiTheme="majorBidi" w:hAnsiTheme="majorBidi" w:cstheme="majorBidi"/>
                <w:sz w:val="24"/>
                <w:szCs w:val="24"/>
              </w:rPr>
              <w:t>.329**</w:t>
            </w:r>
          </w:p>
        </w:tc>
        <w:tc>
          <w:tcPr>
            <w:tcW w:w="2380" w:type="dxa"/>
            <w:noWrap/>
          </w:tcPr>
          <w:p w14:paraId="28F29397">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r>
      <w:tr w14:paraId="32A0E0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22DBB597">
            <w:pPr>
              <w:spacing w:after="0" w:line="360" w:lineRule="auto"/>
              <w:rPr>
                <w:rFonts w:asciiTheme="majorBidi" w:hAnsiTheme="majorBidi" w:cstheme="majorBidi"/>
                <w:sz w:val="24"/>
                <w:szCs w:val="24"/>
              </w:rPr>
            </w:pPr>
          </w:p>
        </w:tc>
        <w:tc>
          <w:tcPr>
            <w:tcW w:w="1883" w:type="dxa"/>
            <w:noWrap/>
          </w:tcPr>
          <w:p w14:paraId="61D233E6">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48" w:type="dxa"/>
            <w:noWrap/>
          </w:tcPr>
          <w:p w14:paraId="581DFAC9">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c>
          <w:tcPr>
            <w:tcW w:w="2380" w:type="dxa"/>
            <w:noWrap/>
          </w:tcPr>
          <w:p w14:paraId="112AD101">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r>
      <w:tr w14:paraId="3EC524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60E42AA4">
            <w:pPr>
              <w:spacing w:after="0" w:line="360" w:lineRule="auto"/>
              <w:rPr>
                <w:rFonts w:asciiTheme="majorBidi" w:hAnsiTheme="majorBidi" w:cstheme="majorBidi"/>
                <w:sz w:val="24"/>
                <w:szCs w:val="24"/>
              </w:rPr>
            </w:pPr>
          </w:p>
        </w:tc>
        <w:tc>
          <w:tcPr>
            <w:tcW w:w="1883" w:type="dxa"/>
            <w:noWrap/>
          </w:tcPr>
          <w:p w14:paraId="2C44C286">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548" w:type="dxa"/>
            <w:noWrap/>
          </w:tcPr>
          <w:p w14:paraId="64E76C90">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380" w:type="dxa"/>
            <w:noWrap/>
          </w:tcPr>
          <w:p w14:paraId="1D3CC10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bl>
    <w:p w14:paraId="2C121926">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D5B9435">
      <w:pPr>
        <w:spacing w:line="480" w:lineRule="auto"/>
        <w:jc w:val="both"/>
        <w:rPr>
          <w:rFonts w:asciiTheme="majorBidi" w:hAnsiTheme="majorBidi" w:cstheme="majorBidi"/>
          <w:sz w:val="24"/>
          <w:szCs w:val="24"/>
        </w:rPr>
      </w:pPr>
      <w:r>
        <w:rPr>
          <w:rFonts w:asciiTheme="majorBidi" w:hAnsiTheme="majorBidi" w:cstheme="majorBidi"/>
          <w:sz w:val="24"/>
          <w:szCs w:val="24"/>
        </w:rPr>
        <w:t>The correlation analysis examines the relationship between perceived benefits of cheating and the level of integrity observed in Kenya Certificate of Secondary Education (KCSE) examinations. The results reveal a statistically significant positive correlation coefficient of .329** between these two variables. This indicates a moderate positive relationship, suggesting that higher levels of perceived benefits of cheating are associated with lower levels of integrity in KCSE examinations. The significance level (Sig. 2-tailed) of 0.000 gives strong evidence to reject hypothesis three.</w:t>
      </w:r>
    </w:p>
    <w:p w14:paraId="4D518115">
      <w:pPr>
        <w:spacing w:line="480" w:lineRule="auto"/>
        <w:jc w:val="both"/>
        <w:rPr>
          <w:rFonts w:asciiTheme="majorBidi" w:hAnsiTheme="majorBidi" w:cstheme="majorBidi"/>
          <w:sz w:val="24"/>
          <w:szCs w:val="24"/>
        </w:rPr>
      </w:pPr>
      <w:r>
        <w:rPr>
          <w:rFonts w:asciiTheme="majorBidi" w:hAnsiTheme="majorBidi" w:cstheme="majorBidi"/>
          <w:sz w:val="24"/>
          <w:szCs w:val="24"/>
        </w:rPr>
        <w:t>This study aligns with existing research on the link between perceived cheating benefits and exam integrity. This study's finding of a positive correlation between perceived benefits of cheating and lower integrity in KCSE exams aligns with some existing research. Similar to a Nigerian study by Okorodudu (2013), which found a connection between a student's willingness to cheat and their perception of its advantages, this study suggests students who see cheating as beneficial are more likely to engage in it. However, it's important to acknowledge recent studies highlighting the influence of social contexts. For instance, Bassey and Iruonje (2017) showed that peer pressure can discourage cheating. This suggests social norms and peer group dynamics can influence how students perceive the benefits of cheating.</w:t>
      </w:r>
    </w:p>
    <w:p w14:paraId="79F1EB85">
      <w:pPr>
        <w:spacing w:line="480" w:lineRule="auto"/>
        <w:jc w:val="both"/>
        <w:rPr>
          <w:rFonts w:asciiTheme="majorBidi" w:hAnsiTheme="majorBidi" w:cstheme="majorBidi"/>
          <w:b/>
          <w:bCs/>
          <w:sz w:val="24"/>
          <w:szCs w:val="24"/>
        </w:rPr>
      </w:pPr>
      <w:r>
        <w:rPr>
          <w:rFonts w:asciiTheme="majorBidi" w:hAnsiTheme="majorBidi" w:cstheme="majorBidi"/>
          <w:sz w:val="24"/>
          <w:szCs w:val="24"/>
        </w:rPr>
        <w:t xml:space="preserve">The interviews with Principals in Garissa Township Sub County illuminate the pervasive issue of exam malpractice, with a notable factor being the perceived benefits associated with cheating. Principals' observations suggest that students may view cheating as a shortcut to meeting high parental expectations or societal pressures for academic success. This perception could stem from a desire to avoid failure or secure advantageous career opportunities, as academic achievements are often equated with future success in the job market. Additionally, the desire to make their families proud may drive students to resort to unethical means in exams, as academic success is perceived as a source of pride and validation within the family unit. As one principal noted, </w:t>
      </w:r>
      <w:r>
        <w:rPr>
          <w:rFonts w:asciiTheme="majorBidi" w:hAnsiTheme="majorBidi" w:cstheme="majorBidi"/>
          <w:i/>
          <w:iCs/>
          <w:sz w:val="24"/>
          <w:szCs w:val="24"/>
        </w:rPr>
        <w:t>"Students may believe that cheating offers a quick solution to the pressure they face to excel academically and fulfill their family's expectations."</w:t>
      </w:r>
      <w:r>
        <w:rPr>
          <w:rFonts w:asciiTheme="majorBidi" w:hAnsiTheme="majorBidi" w:cstheme="majorBidi"/>
          <w:sz w:val="24"/>
          <w:szCs w:val="24"/>
        </w:rPr>
        <w:t xml:space="preserve"> This highlights how the perceived benefits of cheating contribute to the erosion of examination integrity, perpetuating a cycle of dishonest behavior among students.</w:t>
      </w:r>
      <w:r>
        <w:rPr>
          <w:rFonts w:asciiTheme="majorBidi" w:hAnsiTheme="majorBidi" w:cstheme="majorBidi"/>
          <w:b/>
          <w:bCs/>
          <w:sz w:val="24"/>
          <w:szCs w:val="24"/>
        </w:rPr>
        <w:t xml:space="preserve"> </w:t>
      </w:r>
    </w:p>
    <w:p w14:paraId="4AD1D593">
      <w:pPr>
        <w:spacing w:line="480" w:lineRule="auto"/>
        <w:jc w:val="both"/>
        <w:rPr>
          <w:rFonts w:asciiTheme="majorBidi" w:hAnsiTheme="majorBidi" w:cstheme="majorBidi"/>
          <w:sz w:val="24"/>
          <w:szCs w:val="24"/>
        </w:rPr>
      </w:pPr>
      <w:r>
        <w:rPr>
          <w:rFonts w:asciiTheme="majorBidi" w:hAnsiTheme="majorBidi" w:cstheme="majorBidi"/>
          <w:sz w:val="24"/>
          <w:szCs w:val="24"/>
        </w:rPr>
        <w:t>Moreover, the link between academic performance and employability was emphasized as a key contributing factor to the prevalence of exam malpractice. School administrators highlighted how the increasingly competitive job market places a premium on academic achievements, thereby heightening the stakes associated with examination outcomes. As one principal remarked, "</w:t>
      </w:r>
      <w:r>
        <w:rPr>
          <w:rFonts w:asciiTheme="majorBidi" w:hAnsiTheme="majorBidi" w:cstheme="majorBidi"/>
          <w:i/>
          <w:iCs/>
          <w:sz w:val="24"/>
          <w:szCs w:val="24"/>
        </w:rPr>
        <w:t>In our society, there is a prevailing belief that academic success is directly correlated with employability prospects. As a result, students feel immense pressure to excel in examinations, often resorting to unethical means to secure favorable outcomes</w:t>
      </w:r>
      <w:r>
        <w:rPr>
          <w:rFonts w:asciiTheme="majorBidi" w:hAnsiTheme="majorBidi" w:cstheme="majorBidi"/>
          <w:sz w:val="24"/>
          <w:szCs w:val="24"/>
        </w:rPr>
        <w:t>." This sentiment underscores the broader socio-economic implications associated with academic performance and the pressures exerted on students to succeed at all costs.</w:t>
      </w:r>
    </w:p>
    <w:p w14:paraId="6EFB4529">
      <w:pPr>
        <w:pStyle w:val="2"/>
        <w:numPr>
          <w:ilvl w:val="2"/>
          <w:numId w:val="20"/>
        </w:numPr>
        <w:spacing w:after="240"/>
        <w:rPr>
          <w:rFonts w:asciiTheme="majorBidi" w:hAnsiTheme="majorBidi"/>
          <w:color w:val="auto"/>
          <w:sz w:val="24"/>
          <w:szCs w:val="24"/>
        </w:rPr>
      </w:pPr>
      <w:bookmarkStart w:id="231" w:name="_Toc164927749"/>
      <w:bookmarkStart w:id="232" w:name="_Toc194822668"/>
      <w:r>
        <w:rPr>
          <w:rFonts w:asciiTheme="majorBidi" w:hAnsiTheme="majorBidi"/>
          <w:color w:val="auto"/>
          <w:sz w:val="24"/>
          <w:szCs w:val="24"/>
        </w:rPr>
        <w:t>Teaching Approach</w:t>
      </w:r>
      <w:bookmarkEnd w:id="231"/>
      <w:r>
        <w:rPr>
          <w:rFonts w:asciiTheme="majorBidi" w:hAnsiTheme="majorBidi"/>
          <w:color w:val="auto"/>
          <w:sz w:val="24"/>
          <w:szCs w:val="24"/>
        </w:rPr>
        <w:t xml:space="preserve"> and Level of Exam Malpractices in KCSE</w:t>
      </w:r>
      <w:bookmarkEnd w:id="232"/>
    </w:p>
    <w:p w14:paraId="23823763">
      <w:pPr>
        <w:spacing w:before="240" w:line="480" w:lineRule="auto"/>
        <w:jc w:val="both"/>
        <w:rPr>
          <w:rFonts w:asciiTheme="majorBidi" w:hAnsiTheme="majorBidi" w:cstheme="majorBidi"/>
          <w:sz w:val="24"/>
          <w:szCs w:val="24"/>
        </w:rPr>
      </w:pPr>
      <w:bookmarkStart w:id="233" w:name="_Hlk165190073"/>
      <w:r>
        <w:rPr>
          <w:rFonts w:asciiTheme="majorBidi" w:hAnsiTheme="majorBidi" w:cstheme="majorBidi"/>
          <w:sz w:val="24"/>
          <w:szCs w:val="24"/>
        </w:rPr>
        <w:t>The fourth objective of the research was to investigate the influence of the teaching approach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14 and 15 present the results on this objective.</w:t>
      </w:r>
      <w:bookmarkEnd w:id="233"/>
    </w:p>
    <w:p w14:paraId="412EFDD8">
      <w:pPr>
        <w:pStyle w:val="2"/>
        <w:spacing w:line="480" w:lineRule="auto"/>
        <w:rPr>
          <w:rFonts w:asciiTheme="majorBidi" w:hAnsiTheme="majorBidi"/>
          <w:b w:val="0"/>
          <w:bCs w:val="0"/>
          <w:color w:val="auto"/>
          <w:sz w:val="24"/>
          <w:szCs w:val="24"/>
        </w:rPr>
      </w:pPr>
      <w:bookmarkStart w:id="234" w:name="_Toc194769949"/>
      <w:bookmarkStart w:id="235" w:name="_Toc194822669"/>
      <w:r>
        <w:rPr>
          <w:rFonts w:asciiTheme="majorBidi" w:hAnsiTheme="majorBidi"/>
          <w:b w:val="0"/>
          <w:bCs w:val="0"/>
          <w:color w:val="auto"/>
          <w:sz w:val="24"/>
          <w:szCs w:val="24"/>
        </w:rPr>
        <w:t>Table 14:</w:t>
      </w:r>
      <w:bookmarkEnd w:id="234"/>
      <w:bookmarkEnd w:id="235"/>
    </w:p>
    <w:p w14:paraId="42CD1937">
      <w:pPr>
        <w:pStyle w:val="2"/>
        <w:spacing w:before="0" w:line="480" w:lineRule="auto"/>
        <w:rPr>
          <w:rFonts w:asciiTheme="majorBidi" w:hAnsiTheme="majorBidi"/>
          <w:b w:val="0"/>
          <w:bCs w:val="0"/>
          <w:i/>
          <w:iCs/>
          <w:color w:val="auto"/>
          <w:sz w:val="24"/>
          <w:szCs w:val="24"/>
        </w:rPr>
      </w:pPr>
      <w:bookmarkStart w:id="236" w:name="_Toc194769950"/>
      <w:bookmarkStart w:id="237" w:name="_Toc194822670"/>
      <w:r>
        <w:rPr>
          <w:rFonts w:asciiTheme="majorBidi" w:hAnsiTheme="majorBidi"/>
          <w:b w:val="0"/>
          <w:bCs w:val="0"/>
          <w:i/>
          <w:iCs/>
          <w:color w:val="auto"/>
          <w:sz w:val="24"/>
          <w:szCs w:val="24"/>
        </w:rPr>
        <w:t>Descriptive analysis on teaching approach</w:t>
      </w:r>
      <w:r>
        <w:rPr>
          <w:rFonts w:asciiTheme="majorBidi" w:hAnsiTheme="majorBidi"/>
          <w:b w:val="0"/>
          <w:bCs w:val="0"/>
          <w:color w:val="auto"/>
          <w:sz w:val="24"/>
          <w:szCs w:val="24"/>
        </w:rPr>
        <w:t xml:space="preserve"> </w:t>
      </w:r>
      <w:r>
        <w:rPr>
          <w:rFonts w:asciiTheme="majorBidi" w:hAnsiTheme="majorBidi"/>
          <w:b w:val="0"/>
          <w:bCs w:val="0"/>
          <w:i/>
          <w:iCs/>
          <w:color w:val="auto"/>
          <w:sz w:val="24"/>
          <w:szCs w:val="24"/>
        </w:rPr>
        <w:t>and Level of Exam Malpractices in KCSE</w:t>
      </w:r>
      <w:bookmarkEnd w:id="236"/>
      <w:bookmarkEnd w:id="237"/>
    </w:p>
    <w:tbl>
      <w:tblPr>
        <w:tblStyle w:val="20"/>
        <w:tblW w:w="903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75"/>
        <w:gridCol w:w="576"/>
        <w:gridCol w:w="836"/>
        <w:gridCol w:w="836"/>
        <w:gridCol w:w="956"/>
        <w:gridCol w:w="956"/>
        <w:gridCol w:w="1143"/>
      </w:tblGrid>
      <w:tr w14:paraId="45EE56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tcBorders>
              <w:top w:val="single" w:color="auto" w:sz="4" w:space="0"/>
              <w:bottom w:val="single" w:color="auto" w:sz="4" w:space="0"/>
            </w:tcBorders>
            <w:noWrap/>
          </w:tcPr>
          <w:p w14:paraId="514D3356">
            <w:pPr>
              <w:spacing w:after="0" w:line="360" w:lineRule="auto"/>
              <w:rPr>
                <w:rFonts w:asciiTheme="majorBidi" w:hAnsiTheme="majorBidi" w:cstheme="majorBidi"/>
                <w:b/>
                <w:bCs/>
                <w:sz w:val="24"/>
                <w:szCs w:val="24"/>
              </w:rPr>
            </w:pPr>
          </w:p>
        </w:tc>
        <w:tc>
          <w:tcPr>
            <w:tcW w:w="571" w:type="dxa"/>
            <w:tcBorders>
              <w:top w:val="single" w:color="auto" w:sz="4" w:space="0"/>
              <w:bottom w:val="single" w:color="auto" w:sz="4" w:space="0"/>
            </w:tcBorders>
          </w:tcPr>
          <w:p w14:paraId="25DFD865">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28" w:type="dxa"/>
            <w:tcBorders>
              <w:top w:val="single" w:color="auto" w:sz="4" w:space="0"/>
              <w:bottom w:val="single" w:color="auto" w:sz="4" w:space="0"/>
            </w:tcBorders>
            <w:noWrap/>
          </w:tcPr>
          <w:p w14:paraId="19B75AB6">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828" w:type="dxa"/>
            <w:tcBorders>
              <w:top w:val="single" w:color="auto" w:sz="4" w:space="0"/>
              <w:bottom w:val="single" w:color="auto" w:sz="4" w:space="0"/>
            </w:tcBorders>
            <w:noWrap/>
          </w:tcPr>
          <w:p w14:paraId="2A1FC43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47" w:type="dxa"/>
            <w:tcBorders>
              <w:top w:val="single" w:color="auto" w:sz="4" w:space="0"/>
              <w:bottom w:val="single" w:color="auto" w:sz="4" w:space="0"/>
            </w:tcBorders>
            <w:noWrap/>
          </w:tcPr>
          <w:p w14:paraId="1FB86D5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47" w:type="dxa"/>
            <w:tcBorders>
              <w:top w:val="single" w:color="auto" w:sz="4" w:space="0"/>
              <w:bottom w:val="single" w:color="auto" w:sz="4" w:space="0"/>
            </w:tcBorders>
            <w:noWrap/>
          </w:tcPr>
          <w:p w14:paraId="01479540">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1143" w:type="dxa"/>
            <w:tcBorders>
              <w:top w:val="single" w:color="auto" w:sz="4" w:space="0"/>
              <w:bottom w:val="single" w:color="auto" w:sz="4" w:space="0"/>
            </w:tcBorders>
            <w:noWrap/>
          </w:tcPr>
          <w:p w14:paraId="3235684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21F1D3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tcBorders>
              <w:top w:val="single" w:color="auto" w:sz="4" w:space="0"/>
            </w:tcBorders>
            <w:noWrap/>
          </w:tcPr>
          <w:p w14:paraId="636D7871">
            <w:pPr>
              <w:spacing w:after="0" w:line="360" w:lineRule="auto"/>
              <w:rPr>
                <w:rFonts w:asciiTheme="majorBidi" w:hAnsiTheme="majorBidi" w:cstheme="majorBidi"/>
                <w:sz w:val="24"/>
                <w:szCs w:val="24"/>
              </w:rPr>
            </w:pPr>
            <w:r>
              <w:rPr>
                <w:rFonts w:asciiTheme="majorBidi" w:hAnsiTheme="majorBidi" w:cstheme="majorBidi"/>
                <w:sz w:val="24"/>
                <w:szCs w:val="24"/>
              </w:rPr>
              <w:t>Examiners talk invited by the school influence exam cheating.</w:t>
            </w:r>
          </w:p>
        </w:tc>
        <w:tc>
          <w:tcPr>
            <w:tcW w:w="571" w:type="dxa"/>
            <w:tcBorders>
              <w:top w:val="single" w:color="auto" w:sz="4" w:space="0"/>
            </w:tcBorders>
          </w:tcPr>
          <w:p w14:paraId="402EF6A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tcBorders>
              <w:top w:val="single" w:color="auto" w:sz="4" w:space="0"/>
            </w:tcBorders>
            <w:noWrap/>
          </w:tcPr>
          <w:p w14:paraId="79B27917">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tcBorders>
              <w:top w:val="single" w:color="auto" w:sz="4" w:space="0"/>
            </w:tcBorders>
            <w:noWrap/>
          </w:tcPr>
          <w:p w14:paraId="4EDC52BA">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47" w:type="dxa"/>
            <w:tcBorders>
              <w:top w:val="single" w:color="auto" w:sz="4" w:space="0"/>
            </w:tcBorders>
            <w:noWrap/>
          </w:tcPr>
          <w:p w14:paraId="755E8EA5">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947" w:type="dxa"/>
            <w:tcBorders>
              <w:top w:val="single" w:color="auto" w:sz="4" w:space="0"/>
            </w:tcBorders>
            <w:noWrap/>
          </w:tcPr>
          <w:p w14:paraId="4793516B">
            <w:pPr>
              <w:spacing w:after="0" w:line="360" w:lineRule="auto"/>
              <w:jc w:val="both"/>
              <w:rPr>
                <w:rFonts w:asciiTheme="majorBidi" w:hAnsiTheme="majorBidi" w:cstheme="majorBidi"/>
                <w:sz w:val="24"/>
                <w:szCs w:val="24"/>
              </w:rPr>
            </w:pPr>
            <w:r>
              <w:rPr>
                <w:rFonts w:asciiTheme="majorBidi" w:hAnsiTheme="majorBidi" w:cstheme="majorBidi"/>
                <w:sz w:val="24"/>
                <w:szCs w:val="24"/>
              </w:rPr>
              <w:t>48.40%</w:t>
            </w:r>
          </w:p>
        </w:tc>
        <w:tc>
          <w:tcPr>
            <w:tcW w:w="1143" w:type="dxa"/>
            <w:tcBorders>
              <w:top w:val="single" w:color="auto" w:sz="4" w:space="0"/>
            </w:tcBorders>
            <w:noWrap/>
          </w:tcPr>
          <w:p w14:paraId="79A74AE9">
            <w:pPr>
              <w:spacing w:after="0" w:line="360" w:lineRule="auto"/>
              <w:jc w:val="both"/>
              <w:rPr>
                <w:rFonts w:asciiTheme="majorBidi" w:hAnsiTheme="majorBidi" w:cstheme="majorBidi"/>
                <w:sz w:val="24"/>
                <w:szCs w:val="24"/>
              </w:rPr>
            </w:pPr>
            <w:r>
              <w:rPr>
                <w:rFonts w:asciiTheme="majorBidi" w:hAnsiTheme="majorBidi" w:cstheme="majorBidi"/>
                <w:sz w:val="24"/>
                <w:szCs w:val="24"/>
              </w:rPr>
              <w:t>46.90%</w:t>
            </w:r>
          </w:p>
        </w:tc>
      </w:tr>
      <w:tr w14:paraId="3ABB83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553B07EB">
            <w:pPr>
              <w:spacing w:after="0" w:line="360" w:lineRule="auto"/>
              <w:rPr>
                <w:rFonts w:asciiTheme="majorBidi" w:hAnsiTheme="majorBidi" w:cstheme="majorBidi"/>
                <w:sz w:val="24"/>
                <w:szCs w:val="24"/>
              </w:rPr>
            </w:pPr>
            <w:r>
              <w:rPr>
                <w:rFonts w:asciiTheme="majorBidi" w:hAnsiTheme="majorBidi" w:cstheme="majorBidi"/>
                <w:sz w:val="24"/>
                <w:szCs w:val="24"/>
              </w:rPr>
              <w:t>Teaching students about the importance of ethical behavior and integrating values such as integrity and honesty into lessons can promote a culture of academic honesty.</w:t>
            </w:r>
          </w:p>
        </w:tc>
        <w:tc>
          <w:tcPr>
            <w:tcW w:w="571" w:type="dxa"/>
          </w:tcPr>
          <w:p w14:paraId="160650C9">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54ABACEB">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28" w:type="dxa"/>
            <w:noWrap/>
          </w:tcPr>
          <w:p w14:paraId="59159873">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47" w:type="dxa"/>
            <w:noWrap/>
          </w:tcPr>
          <w:p w14:paraId="2C864EE4">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c>
          <w:tcPr>
            <w:tcW w:w="947" w:type="dxa"/>
            <w:noWrap/>
          </w:tcPr>
          <w:p w14:paraId="378D55DF">
            <w:pPr>
              <w:spacing w:after="0" w:line="360" w:lineRule="auto"/>
              <w:jc w:val="both"/>
              <w:rPr>
                <w:rFonts w:asciiTheme="majorBidi" w:hAnsiTheme="majorBidi" w:cstheme="majorBidi"/>
                <w:sz w:val="24"/>
                <w:szCs w:val="24"/>
              </w:rPr>
            </w:pPr>
            <w:r>
              <w:rPr>
                <w:rFonts w:asciiTheme="majorBidi" w:hAnsiTheme="majorBidi" w:cstheme="majorBidi"/>
                <w:sz w:val="24"/>
                <w:szCs w:val="24"/>
              </w:rPr>
              <w:t>56.30%</w:t>
            </w:r>
          </w:p>
        </w:tc>
        <w:tc>
          <w:tcPr>
            <w:tcW w:w="1143" w:type="dxa"/>
            <w:noWrap/>
          </w:tcPr>
          <w:p w14:paraId="44242C12">
            <w:pPr>
              <w:spacing w:after="0" w:line="360" w:lineRule="auto"/>
              <w:jc w:val="both"/>
              <w:rPr>
                <w:rFonts w:asciiTheme="majorBidi" w:hAnsiTheme="majorBidi" w:cstheme="majorBidi"/>
                <w:sz w:val="24"/>
                <w:szCs w:val="24"/>
              </w:rPr>
            </w:pPr>
            <w:r>
              <w:rPr>
                <w:rFonts w:asciiTheme="majorBidi" w:hAnsiTheme="majorBidi" w:cstheme="majorBidi"/>
                <w:sz w:val="24"/>
                <w:szCs w:val="24"/>
              </w:rPr>
              <w:t>19.50%</w:t>
            </w:r>
          </w:p>
        </w:tc>
      </w:tr>
      <w:tr w14:paraId="3D9F03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46A28BF6">
            <w:pPr>
              <w:spacing w:after="0" w:line="360" w:lineRule="auto"/>
              <w:rPr>
                <w:rFonts w:asciiTheme="majorBidi" w:hAnsiTheme="majorBidi" w:cstheme="majorBidi"/>
                <w:sz w:val="24"/>
                <w:szCs w:val="24"/>
              </w:rPr>
            </w:pPr>
            <w:r>
              <w:rPr>
                <w:rFonts w:asciiTheme="majorBidi" w:hAnsiTheme="majorBidi" w:cstheme="majorBidi"/>
                <w:sz w:val="24"/>
                <w:szCs w:val="24"/>
              </w:rPr>
              <w:t>Positive teacher-student relationships, characterized by trust and support, reduce the likelihood of cheating.</w:t>
            </w:r>
          </w:p>
        </w:tc>
        <w:tc>
          <w:tcPr>
            <w:tcW w:w="571" w:type="dxa"/>
          </w:tcPr>
          <w:p w14:paraId="790CF1BC">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64E049B0">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noWrap/>
          </w:tcPr>
          <w:p w14:paraId="0B77BF4E">
            <w:pPr>
              <w:spacing w:after="0" w:line="360" w:lineRule="auto"/>
              <w:jc w:val="both"/>
              <w:rPr>
                <w:rFonts w:asciiTheme="majorBidi" w:hAnsiTheme="majorBidi" w:cstheme="majorBidi"/>
                <w:sz w:val="24"/>
                <w:szCs w:val="24"/>
              </w:rPr>
            </w:pPr>
            <w:r>
              <w:rPr>
                <w:rFonts w:asciiTheme="majorBidi" w:hAnsiTheme="majorBidi" w:cstheme="majorBidi"/>
                <w:sz w:val="24"/>
                <w:szCs w:val="24"/>
              </w:rPr>
              <w:t>6.30%</w:t>
            </w:r>
          </w:p>
        </w:tc>
        <w:tc>
          <w:tcPr>
            <w:tcW w:w="947" w:type="dxa"/>
            <w:noWrap/>
          </w:tcPr>
          <w:p w14:paraId="0BF2C910">
            <w:pPr>
              <w:spacing w:after="0" w:line="360" w:lineRule="auto"/>
              <w:jc w:val="both"/>
              <w:rPr>
                <w:rFonts w:asciiTheme="majorBidi" w:hAnsiTheme="majorBidi" w:cstheme="majorBidi"/>
                <w:sz w:val="24"/>
                <w:szCs w:val="24"/>
              </w:rPr>
            </w:pPr>
            <w:r>
              <w:rPr>
                <w:rFonts w:asciiTheme="majorBidi" w:hAnsiTheme="majorBidi" w:cstheme="majorBidi"/>
                <w:sz w:val="24"/>
                <w:szCs w:val="24"/>
              </w:rPr>
              <w:t>36.70%</w:t>
            </w:r>
          </w:p>
        </w:tc>
        <w:tc>
          <w:tcPr>
            <w:tcW w:w="947" w:type="dxa"/>
            <w:noWrap/>
          </w:tcPr>
          <w:p w14:paraId="7C18275A">
            <w:pPr>
              <w:spacing w:after="0" w:line="360" w:lineRule="auto"/>
              <w:jc w:val="both"/>
              <w:rPr>
                <w:rFonts w:asciiTheme="majorBidi" w:hAnsiTheme="majorBidi" w:cstheme="majorBidi"/>
                <w:sz w:val="24"/>
                <w:szCs w:val="24"/>
              </w:rPr>
            </w:pPr>
            <w:r>
              <w:rPr>
                <w:rFonts w:asciiTheme="majorBidi" w:hAnsiTheme="majorBidi" w:cstheme="majorBidi"/>
                <w:sz w:val="24"/>
                <w:szCs w:val="24"/>
              </w:rPr>
              <w:t>45.30%</w:t>
            </w:r>
          </w:p>
        </w:tc>
        <w:tc>
          <w:tcPr>
            <w:tcW w:w="1143" w:type="dxa"/>
            <w:noWrap/>
          </w:tcPr>
          <w:p w14:paraId="45AA9EE8">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r>
      <w:tr w14:paraId="548261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18626B74">
            <w:pPr>
              <w:spacing w:after="0" w:line="360" w:lineRule="auto"/>
              <w:rPr>
                <w:rFonts w:asciiTheme="majorBidi" w:hAnsiTheme="majorBidi" w:cstheme="majorBidi"/>
                <w:sz w:val="24"/>
                <w:szCs w:val="24"/>
              </w:rPr>
            </w:pPr>
            <w:r>
              <w:rPr>
                <w:rFonts w:asciiTheme="majorBidi" w:hAnsiTheme="majorBidi" w:cstheme="majorBidi"/>
                <w:sz w:val="24"/>
                <w:szCs w:val="24"/>
              </w:rPr>
              <w:t>Teaching approaches that provide constructive feedback and opportunities for students to redo assignments and assessments contribute to examination integrity.</w:t>
            </w:r>
          </w:p>
        </w:tc>
        <w:tc>
          <w:tcPr>
            <w:tcW w:w="571" w:type="dxa"/>
          </w:tcPr>
          <w:p w14:paraId="7F3FE36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12C104A7">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noWrap/>
          </w:tcPr>
          <w:p w14:paraId="11DC4766">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47" w:type="dxa"/>
            <w:noWrap/>
          </w:tcPr>
          <w:p w14:paraId="4AABC788">
            <w:pPr>
              <w:spacing w:after="0" w:line="360" w:lineRule="auto"/>
              <w:jc w:val="both"/>
              <w:rPr>
                <w:rFonts w:asciiTheme="majorBidi" w:hAnsiTheme="majorBidi" w:cstheme="majorBidi"/>
                <w:sz w:val="24"/>
                <w:szCs w:val="24"/>
              </w:rPr>
            </w:pPr>
            <w:r>
              <w:rPr>
                <w:rFonts w:asciiTheme="majorBidi" w:hAnsiTheme="majorBidi" w:cstheme="majorBidi"/>
                <w:sz w:val="24"/>
                <w:szCs w:val="24"/>
              </w:rPr>
              <w:t>23.40%</w:t>
            </w:r>
          </w:p>
        </w:tc>
        <w:tc>
          <w:tcPr>
            <w:tcW w:w="947" w:type="dxa"/>
            <w:noWrap/>
          </w:tcPr>
          <w:p w14:paraId="3B127E14">
            <w:pPr>
              <w:spacing w:after="0" w:line="360" w:lineRule="auto"/>
              <w:jc w:val="both"/>
              <w:rPr>
                <w:rFonts w:asciiTheme="majorBidi" w:hAnsiTheme="majorBidi" w:cstheme="majorBidi"/>
                <w:sz w:val="24"/>
                <w:szCs w:val="24"/>
              </w:rPr>
            </w:pPr>
            <w:r>
              <w:rPr>
                <w:rFonts w:asciiTheme="majorBidi" w:hAnsiTheme="majorBidi" w:cstheme="majorBidi"/>
                <w:sz w:val="24"/>
                <w:szCs w:val="24"/>
              </w:rPr>
              <w:t>53.90%</w:t>
            </w:r>
          </w:p>
        </w:tc>
        <w:tc>
          <w:tcPr>
            <w:tcW w:w="1143" w:type="dxa"/>
            <w:noWrap/>
          </w:tcPr>
          <w:p w14:paraId="4F7B9EA8">
            <w:pPr>
              <w:spacing w:after="0" w:line="360" w:lineRule="auto"/>
              <w:jc w:val="both"/>
              <w:rPr>
                <w:rFonts w:asciiTheme="majorBidi" w:hAnsiTheme="majorBidi" w:cstheme="majorBidi"/>
                <w:sz w:val="24"/>
                <w:szCs w:val="24"/>
              </w:rPr>
            </w:pPr>
            <w:r>
              <w:rPr>
                <w:rFonts w:asciiTheme="majorBidi" w:hAnsiTheme="majorBidi" w:cstheme="majorBidi"/>
                <w:sz w:val="24"/>
                <w:szCs w:val="24"/>
              </w:rPr>
              <w:t>20.30%</w:t>
            </w:r>
          </w:p>
        </w:tc>
      </w:tr>
      <w:tr w14:paraId="3C3E39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28D9ECBB">
            <w:pPr>
              <w:spacing w:after="0" w:line="360" w:lineRule="auto"/>
              <w:rPr>
                <w:rFonts w:asciiTheme="majorBidi" w:hAnsiTheme="majorBidi" w:cstheme="majorBidi"/>
                <w:sz w:val="24"/>
                <w:szCs w:val="24"/>
              </w:rPr>
            </w:pPr>
            <w:r>
              <w:rPr>
                <w:rFonts w:asciiTheme="majorBidi" w:hAnsiTheme="majorBidi" w:cstheme="majorBidi"/>
                <w:sz w:val="24"/>
                <w:szCs w:val="24"/>
              </w:rPr>
              <w:t>Teachers’ decisions regarding syllabus coverage are affected by time constraints, poor students’ attendance and curriculum requirements.</w:t>
            </w:r>
          </w:p>
        </w:tc>
        <w:tc>
          <w:tcPr>
            <w:tcW w:w="571" w:type="dxa"/>
          </w:tcPr>
          <w:p w14:paraId="14308C84">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4B5B8DE9">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noWrap/>
          </w:tcPr>
          <w:p w14:paraId="12600488">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noWrap/>
          </w:tcPr>
          <w:p w14:paraId="089A8391">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c>
          <w:tcPr>
            <w:tcW w:w="947" w:type="dxa"/>
            <w:noWrap/>
          </w:tcPr>
          <w:p w14:paraId="2AB600F5">
            <w:pPr>
              <w:spacing w:after="0" w:line="360" w:lineRule="auto"/>
              <w:jc w:val="both"/>
              <w:rPr>
                <w:rFonts w:asciiTheme="majorBidi" w:hAnsiTheme="majorBidi" w:cstheme="majorBidi"/>
                <w:sz w:val="24"/>
                <w:szCs w:val="24"/>
              </w:rPr>
            </w:pPr>
            <w:r>
              <w:rPr>
                <w:rFonts w:asciiTheme="majorBidi" w:hAnsiTheme="majorBidi" w:cstheme="majorBidi"/>
                <w:sz w:val="24"/>
                <w:szCs w:val="24"/>
              </w:rPr>
              <w:t>50.80%</w:t>
            </w:r>
          </w:p>
        </w:tc>
        <w:tc>
          <w:tcPr>
            <w:tcW w:w="1143" w:type="dxa"/>
            <w:noWrap/>
          </w:tcPr>
          <w:p w14:paraId="234F8216">
            <w:pPr>
              <w:spacing w:after="0" w:line="360" w:lineRule="auto"/>
              <w:jc w:val="both"/>
              <w:rPr>
                <w:rFonts w:asciiTheme="majorBidi" w:hAnsiTheme="majorBidi" w:cstheme="majorBidi"/>
                <w:sz w:val="24"/>
                <w:szCs w:val="24"/>
              </w:rPr>
            </w:pPr>
            <w:r>
              <w:rPr>
                <w:rFonts w:asciiTheme="majorBidi" w:hAnsiTheme="majorBidi" w:cstheme="majorBidi"/>
                <w:sz w:val="24"/>
                <w:szCs w:val="24"/>
              </w:rPr>
              <w:t>28.10%</w:t>
            </w:r>
          </w:p>
        </w:tc>
      </w:tr>
    </w:tbl>
    <w:p w14:paraId="3A354202">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04F606A">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Table 14 presents insights into the perceptions of various stakeholders, including examiners and teachers, regarding factors influencing academic integrity and examination malpractices within secondary schools in Garissa Township Sub County, Kenya. These factors encompass the influence of examiners' talks invited by the school, the importance of ethical education, teacher-student relationships, teaching approaches, and the impact of external factors on teachers' decisions. </w:t>
      </w:r>
      <w:r>
        <w:rPr>
          <w:rFonts w:asciiTheme="majorBidi" w:hAnsiTheme="majorBidi" w:cstheme="majorBidi"/>
          <w:color w:val="000000"/>
          <w:sz w:val="24"/>
          <w:szCs w:val="24"/>
        </w:rPr>
        <w:t xml:space="preserve">Objective four of this study </w:t>
      </w:r>
      <w:r>
        <w:rPr>
          <w:rFonts w:asciiTheme="majorBidi" w:hAnsiTheme="majorBidi" w:cstheme="majorBidi"/>
          <w:sz w:val="24"/>
          <w:szCs w:val="24"/>
        </w:rPr>
        <w:t xml:space="preserve">was aimed to assess teaching approaches that contributes to academic integrity and examination malpractices in secondary schools in Garissa Township Sub County and it was found that teaching approaches has significant role on examination integrity. Questionnaire items 15 - 19 was used to test. </w:t>
      </w:r>
    </w:p>
    <w:p w14:paraId="66CA8133">
      <w:pPr>
        <w:spacing w:after="0" w:line="480" w:lineRule="auto"/>
        <w:jc w:val="both"/>
        <w:rPr>
          <w:rFonts w:asciiTheme="majorBidi" w:hAnsiTheme="majorBidi" w:cstheme="majorBidi"/>
          <w:sz w:val="24"/>
          <w:szCs w:val="24"/>
        </w:rPr>
      </w:pPr>
      <w:r>
        <w:rPr>
          <w:rFonts w:asciiTheme="majorBidi" w:hAnsiTheme="majorBidi" w:cstheme="majorBidi"/>
          <w:sz w:val="24"/>
          <w:szCs w:val="24"/>
        </w:rPr>
        <w:t>In response to questionnaire item 15, 48.4% of the respondents agree and 46.9% strongly agree that</w:t>
      </w:r>
      <w:r>
        <w:rPr>
          <w:rFonts w:asciiTheme="majorBidi" w:hAnsiTheme="majorBidi" w:cstheme="majorBidi"/>
          <w:b/>
          <w:bCs/>
          <w:sz w:val="24"/>
          <w:szCs w:val="24"/>
        </w:rPr>
        <w:t xml:space="preserve"> </w:t>
      </w:r>
      <w:r>
        <w:rPr>
          <w:rFonts w:asciiTheme="majorBidi" w:hAnsiTheme="majorBidi" w:cstheme="majorBidi"/>
          <w:sz w:val="24"/>
          <w:szCs w:val="24"/>
        </w:rPr>
        <w:t xml:space="preserve">examiners talk invited by the school influence exam cheating. The way examiners discuss exam preparation, grading criteria, and other exam-related topics can impact students' attitudes toward academic integrity. When examiners provide clear information about what is expected in an exam, it can reduce anxiety and help students prepare effectively (Johnson et al., 2020). </w:t>
      </w:r>
    </w:p>
    <w:p w14:paraId="21E3E5CD">
      <w:pPr>
        <w:spacing w:after="0" w:line="480" w:lineRule="auto"/>
        <w:jc w:val="both"/>
        <w:rPr>
          <w:rFonts w:asciiTheme="majorBidi" w:hAnsiTheme="majorBidi" w:cstheme="majorBidi"/>
          <w:sz w:val="24"/>
          <w:szCs w:val="24"/>
        </w:rPr>
      </w:pPr>
      <w:r>
        <w:rPr>
          <w:rFonts w:asciiTheme="majorBidi" w:hAnsiTheme="majorBidi" w:cstheme="majorBidi"/>
          <w:sz w:val="24"/>
          <w:szCs w:val="24"/>
        </w:rPr>
        <w:t>However, if examiners give ambiguous or misleading information, it can lead to confusion and increase the likelihood of cheating. If examiners appeared lenient or ambiguous, students might interpret this as a signal that cheating is tolerated, leading to increased academic dishonesty. Several factors can determine how examiners' talks influence exam cheating. Cultural attitudes towards education, peer pressure, and institutional policies can all play a role. Schools where examiners were perceived as authoritative and strict, students were less likely to cheat. To ensure that examiners' talks promote exam integrity, educational institutions can implement various strategies. Rogers et al. (2018) suggest providing training for examiners on best practices in promoting academic honesty and maintaining consistent messaging across all talks. Additionally, schools can involve teachers and administrators in these discussions to create a unified approach to exam integrity. This literature review provides a general framework for discussing the impact of examiners' talks on exam cheating. By examining studies and considering various perspectives, educational institutions can develop effective strategies to maintain exam integrity and reduce cheating.</w:t>
      </w:r>
    </w:p>
    <w:p w14:paraId="74FBABBB">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56.3% of the respondent of questionnaire item 16 agree while 19.50% strongly agree that teaching students about the importance of ethical behavior and integrating values like integrity and honesty into lessons is a highly effective way to promote a culture of academic honesty. By emphasizing these values, educational institutions can help students understand the significance of ethical conduct not just in academics but in all aspects of life. Integrity and honesty are fundamental values that students can carry throughout their lives. By teaching these concepts early, schools equip students with the skills they need to navigate ethical dilemmas beyond the classroom. Promoting a culture of academic honesty is crucial in educational settings. </w:t>
      </w:r>
    </w:p>
    <w:p w14:paraId="254E6BA1">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Teaching students about ethical behavior is a key component of promoting academic honesty. Teaching methods that encourage critical thinking and ethical discussions can foster a sense of responsibility and promote a culture of academic honesty. Teachers can integrate values of integrity and honesty into their lessons in various ways. Johnson and White (2019) suggest that incorporating ethical discussions, case studies, and moral dilemmas into the curriculum can encourage students to think critically about the consequences of unethical. This approach promotes a culture of academic honesty by reinforcing the importance of ethical behavior in education. This explored the impact of teaching students about the importance of ethical behavior and integrating values of integrity and honesty into lessons to promote a culture of academic honesty. By fostering a culture of academic integrity, educational institutions can reduce academic dishonesty and create a supportive learning environment. </w:t>
      </w:r>
    </w:p>
    <w:p w14:paraId="4CC0D55C">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45.30% agree while 11.70% strongly agreeing of respondents on questionnaire item 17 that Positive teacher-student relationships, characterized by trust and support, can significantly reduce the likelihood of cheating. When students feel valued, understood, and supported by their teachers, they are more likely to embrace academic integrity and less likely to engage in dishonest behavior (Roorda et al. 2011). When teachers build trusting relationships with their students, it fosters a sense of respect. Students are less likely to cheat when they respect their teachers and feel a mutual sense of trust. Students who have strong relationships with their teachers are generally more engaged and motivated in their studies. This increased engagement often leads to a greater sense of responsibility and a reduced inclination to cheat. </w:t>
      </w:r>
    </w:p>
    <w:p w14:paraId="761EC0C0">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Teacher-student relationships play a crucial role in shaping students' attitudes toward academic integrity. Trust between teachers and students is a critical component of positive relationships. Students who trust their teachers are more likely to discuss academic challenges openly, reducing the need to resort to cheating (Johnson et al., 2019). Creating a classroom environment that encourages open communication, providing opportunities for student-teacher interaction, and fostering a sense of belonging can help build trust and support, reducing the likelihood of cheating (Rogers et al., 2021). </w:t>
      </w:r>
    </w:p>
    <w:p w14:paraId="739E500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Majority of the respondent 53.90% agreeing and 20.30% strongly agreeing on questionnaire items 18 that Teaching approaches that emphasize constructive feedback and provide opportunities for students to redo assignments and exercises play a crucial role in fostering academic integrity and examination malpractices (Biggs and Tang 2007). </w:t>
      </w:r>
    </w:p>
    <w:p w14:paraId="28E0C700">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These approaches encourage students to focus on learning and improvement rather than seeking shortcuts or resorting to academic dishonesty. Constructive feedback helps students understand their mistakes and learn from them. This emphasis on learning rather than grades encourages students to improve their skills without resorting to cheating (Dweck, 2006). </w:t>
      </w:r>
    </w:p>
    <w:p w14:paraId="5BCBF2A1">
      <w:pPr>
        <w:spacing w:after="0" w:line="480" w:lineRule="auto"/>
        <w:jc w:val="both"/>
        <w:rPr>
          <w:rFonts w:asciiTheme="majorBidi" w:hAnsiTheme="majorBidi" w:cstheme="majorBidi"/>
          <w:sz w:val="24"/>
          <w:szCs w:val="24"/>
        </w:rPr>
      </w:pPr>
      <w:r>
        <w:rPr>
          <w:rFonts w:asciiTheme="majorBidi" w:hAnsiTheme="majorBidi" w:cstheme="majorBidi"/>
          <w:sz w:val="24"/>
          <w:szCs w:val="24"/>
        </w:rPr>
        <w:t>Allowing students to redo assignments and assessments reduces the pressure to get everything right on the first attempt. This reduction in pressure can decrease the likelihood of cheating, as students have a chance to improve without the fear of failure. Johnson et al. (2020) found that when students have opportunities to correct their mistakes and improve their grades through redoing assignments, they are less likely to engage in cheating. This strategy fosters a growth mindset, emphasizing learning over perfection. The benefits of teaching approaches that offer constructive feedback and opportunities for redoing assignments extend beyond examination integrity. Educational institutions can adopt various strategies to implement teaching approaches that contribute to examination integrity. providing clear guidelines for constructive feedback, allowing students to resubmit assignments, and offering opportunities for additional assessments can reduce academic stress and create an environment where academic integrity is valued (Rogers et al., 2018).</w:t>
      </w:r>
    </w:p>
    <w:p w14:paraId="4098A8FC">
      <w:pPr>
        <w:spacing w:line="480" w:lineRule="auto"/>
        <w:jc w:val="both"/>
        <w:rPr>
          <w:rFonts w:asciiTheme="majorBidi" w:hAnsiTheme="majorBidi" w:cstheme="majorBidi"/>
          <w:sz w:val="24"/>
          <w:szCs w:val="24"/>
        </w:rPr>
      </w:pPr>
      <w:r>
        <w:rPr>
          <w:rFonts w:asciiTheme="majorBidi" w:hAnsiTheme="majorBidi" w:cstheme="majorBidi"/>
          <w:sz w:val="24"/>
          <w:szCs w:val="24"/>
        </w:rPr>
        <w:t>Lastly the respondents of questionnaire items 19 a significant majority agree or strongly agree with 50.80% agreeing and 28.10% strongly agreeing</w:t>
      </w:r>
      <w:r>
        <w:rPr>
          <w:rFonts w:asciiTheme="majorBidi" w:hAnsiTheme="majorBidi" w:cstheme="majorBidi"/>
          <w:b/>
          <w:bCs/>
          <w:sz w:val="24"/>
          <w:szCs w:val="24"/>
        </w:rPr>
        <w:t xml:space="preserve"> </w:t>
      </w:r>
      <w:r>
        <w:rPr>
          <w:rFonts w:asciiTheme="majorBidi" w:hAnsiTheme="majorBidi" w:cstheme="majorBidi"/>
          <w:sz w:val="24"/>
          <w:szCs w:val="24"/>
        </w:rPr>
        <w:t>that teachers’ decisions regarding syllabus coverage are affected by time constraints, poor students’ attendance and curriculum requirements. Teachers face a range of challenges when deciding how to cover the syllabus. Time constraints, poor student attendance, and curriculum requirements are key factors that can impact their decisions. Teachers often have a limited number of hours to cover a substantial amount of material. This can lead to rushed lessons or the exclusion of some topics, impacting the depth of learning. Time constraints may leave little room for review sessions, leading teachers to prioritize new content over reinforcing previous learning (</w:t>
      </w:r>
      <w:r>
        <w:rPr>
          <w:rFonts w:asciiTheme="majorBidi" w:hAnsiTheme="majorBidi" w:cstheme="majorBidi"/>
          <w:sz w:val="24"/>
          <w:szCs w:val="24"/>
          <w:shd w:val="clear" w:color="auto" w:fill="FFFFFF"/>
        </w:rPr>
        <w:t>Entwistle, &amp; Entwistle, 1992)</w:t>
      </w:r>
      <w:r>
        <w:rPr>
          <w:rFonts w:asciiTheme="majorBidi" w:hAnsiTheme="majorBidi" w:cstheme="majorBidi"/>
          <w:sz w:val="24"/>
          <w:szCs w:val="24"/>
        </w:rPr>
        <w:t xml:space="preserve">. Poor attendance disrupts lesson continuity, requiring teachers to spend additional time helping absent students catch up, which can slow syllabus coverage. Inconsistent attendance can lead to less cohesive classroom dynamics, affecting student engagement and participation. Teachers must often adhere to a predefined curriculum, which can limit their flexibility. </w:t>
      </w:r>
    </w:p>
    <w:p w14:paraId="5A6559FE">
      <w:pPr>
        <w:spacing w:line="480" w:lineRule="auto"/>
        <w:jc w:val="both"/>
        <w:rPr>
          <w:rFonts w:asciiTheme="majorBidi" w:hAnsiTheme="majorBidi" w:cstheme="majorBidi"/>
          <w:sz w:val="24"/>
          <w:szCs w:val="24"/>
        </w:rPr>
      </w:pPr>
      <w:r>
        <w:rPr>
          <w:rFonts w:asciiTheme="majorBidi" w:hAnsiTheme="majorBidi" w:cstheme="majorBidi"/>
          <w:sz w:val="24"/>
          <w:szCs w:val="24"/>
        </w:rPr>
        <w:t>This rigidity can make it difficult to adapt teaching methods to suit different learning styles or to address unique classroom situations. Likewise, Curriculum requirements may be aligned with standardized testing, encouraging teachers to focus on test preparation rather than exploring broader learning experiences. When curriculum requirements are strict, teachers have less autonomy to experiment with different teaching approaches or delve into topics that interest students. Educational institutions can implement various strategies to address the challenges of syllabus coverage. Providing teachers with more flexibility in curriculum planning, allowing them to adapt to time constraints and poor attendance (Rogers et al., 2018). Additionally, creating supplemental resources and offering extra classes can help ensure comprehensive syllabus coverage despite these challenges.</w:t>
      </w:r>
    </w:p>
    <w:p w14:paraId="0E19A547">
      <w:pPr>
        <w:pStyle w:val="2"/>
        <w:spacing w:before="0"/>
        <w:rPr>
          <w:rFonts w:asciiTheme="majorBidi" w:hAnsiTheme="majorBidi"/>
          <w:b w:val="0"/>
          <w:bCs w:val="0"/>
          <w:color w:val="auto"/>
          <w:sz w:val="24"/>
          <w:szCs w:val="24"/>
        </w:rPr>
      </w:pPr>
      <w:bookmarkStart w:id="238" w:name="_Toc194769951"/>
      <w:bookmarkStart w:id="239" w:name="_Toc194822671"/>
      <w:r>
        <w:rPr>
          <w:rFonts w:asciiTheme="majorBidi" w:hAnsiTheme="majorBidi"/>
          <w:b w:val="0"/>
          <w:bCs w:val="0"/>
          <w:color w:val="auto"/>
          <w:sz w:val="24"/>
          <w:szCs w:val="24"/>
        </w:rPr>
        <w:t>Table 15:</w:t>
      </w:r>
      <w:bookmarkEnd w:id="238"/>
      <w:bookmarkEnd w:id="239"/>
    </w:p>
    <w:p w14:paraId="08E6462D">
      <w:pPr>
        <w:pStyle w:val="2"/>
        <w:spacing w:before="0" w:after="240"/>
        <w:rPr>
          <w:rFonts w:asciiTheme="majorBidi" w:hAnsiTheme="majorBidi"/>
          <w:b w:val="0"/>
          <w:bCs w:val="0"/>
          <w:i/>
          <w:iCs/>
          <w:color w:val="auto"/>
          <w:sz w:val="24"/>
          <w:szCs w:val="24"/>
        </w:rPr>
      </w:pPr>
      <w:bookmarkStart w:id="240" w:name="_Toc194769952"/>
      <w:bookmarkStart w:id="241" w:name="_Toc194822672"/>
      <w:r>
        <w:rPr>
          <w:rFonts w:asciiTheme="majorBidi" w:hAnsiTheme="majorBidi"/>
          <w:b w:val="0"/>
          <w:bCs w:val="0"/>
          <w:i/>
          <w:iCs/>
          <w:color w:val="auto"/>
          <w:sz w:val="24"/>
          <w:szCs w:val="24"/>
        </w:rPr>
        <w:t>Mean and standard deviation of teaching approach item</w:t>
      </w:r>
      <w:bookmarkEnd w:id="240"/>
      <w:bookmarkEnd w:id="241"/>
    </w:p>
    <w:tbl>
      <w:tblPr>
        <w:tblStyle w:val="20"/>
        <w:tblW w:w="93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33"/>
        <w:gridCol w:w="592"/>
        <w:gridCol w:w="1084"/>
        <w:gridCol w:w="1425"/>
      </w:tblGrid>
      <w:tr w14:paraId="705637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tcBorders>
              <w:top w:val="single" w:color="auto" w:sz="4" w:space="0"/>
              <w:bottom w:val="single" w:color="auto" w:sz="4" w:space="0"/>
            </w:tcBorders>
            <w:noWrap/>
          </w:tcPr>
          <w:p w14:paraId="051ED45D">
            <w:pPr>
              <w:spacing w:after="0" w:line="480" w:lineRule="auto"/>
              <w:jc w:val="both"/>
              <w:rPr>
                <w:rFonts w:asciiTheme="majorBidi" w:hAnsiTheme="majorBidi" w:cstheme="majorBidi"/>
                <w:b/>
                <w:bCs/>
                <w:sz w:val="24"/>
                <w:szCs w:val="24"/>
              </w:rPr>
            </w:pPr>
          </w:p>
        </w:tc>
        <w:tc>
          <w:tcPr>
            <w:tcW w:w="592" w:type="dxa"/>
            <w:tcBorders>
              <w:top w:val="single" w:color="auto" w:sz="4" w:space="0"/>
              <w:bottom w:val="single" w:color="auto" w:sz="4" w:space="0"/>
            </w:tcBorders>
          </w:tcPr>
          <w:p w14:paraId="0AC5A71D">
            <w:pPr>
              <w:spacing w:after="0" w:line="480" w:lineRule="auto"/>
              <w:jc w:val="both"/>
              <w:rPr>
                <w:rFonts w:asciiTheme="majorBidi" w:hAnsiTheme="majorBidi" w:cstheme="majorBidi"/>
                <w:b/>
                <w:sz w:val="24"/>
                <w:szCs w:val="24"/>
              </w:rPr>
            </w:pPr>
            <w:r>
              <w:rPr>
                <w:rFonts w:asciiTheme="majorBidi" w:hAnsiTheme="majorBidi" w:cstheme="majorBidi"/>
                <w:b/>
                <w:sz w:val="24"/>
                <w:szCs w:val="24"/>
              </w:rPr>
              <w:t>N</w:t>
            </w:r>
          </w:p>
        </w:tc>
        <w:tc>
          <w:tcPr>
            <w:tcW w:w="1084" w:type="dxa"/>
            <w:tcBorders>
              <w:top w:val="single" w:color="auto" w:sz="4" w:space="0"/>
              <w:bottom w:val="single" w:color="auto" w:sz="4" w:space="0"/>
            </w:tcBorders>
            <w:noWrap/>
          </w:tcPr>
          <w:p w14:paraId="5BA8C745">
            <w:pPr>
              <w:spacing w:after="0" w:line="480" w:lineRule="auto"/>
              <w:jc w:val="both"/>
              <w:rPr>
                <w:rFonts w:asciiTheme="majorBidi" w:hAnsiTheme="majorBidi" w:cstheme="majorBidi"/>
                <w:b/>
                <w:sz w:val="24"/>
                <w:szCs w:val="24"/>
              </w:rPr>
            </w:pPr>
            <w:r>
              <w:rPr>
                <w:rFonts w:asciiTheme="majorBidi" w:hAnsiTheme="majorBidi" w:cstheme="majorBidi"/>
                <w:b/>
                <w:sz w:val="24"/>
                <w:szCs w:val="24"/>
              </w:rPr>
              <w:t>Mean</w:t>
            </w:r>
          </w:p>
        </w:tc>
        <w:tc>
          <w:tcPr>
            <w:tcW w:w="1425" w:type="dxa"/>
            <w:tcBorders>
              <w:top w:val="single" w:color="auto" w:sz="4" w:space="0"/>
              <w:bottom w:val="single" w:color="auto" w:sz="4" w:space="0"/>
            </w:tcBorders>
            <w:noWrap/>
          </w:tcPr>
          <w:p w14:paraId="74F183B2">
            <w:pPr>
              <w:spacing w:after="0" w:line="480" w:lineRule="auto"/>
              <w:jc w:val="both"/>
              <w:rPr>
                <w:rFonts w:asciiTheme="majorBidi" w:hAnsiTheme="majorBidi" w:cstheme="majorBidi"/>
                <w:b/>
                <w:sz w:val="24"/>
                <w:szCs w:val="24"/>
              </w:rPr>
            </w:pPr>
            <w:r>
              <w:rPr>
                <w:rFonts w:asciiTheme="majorBidi" w:hAnsiTheme="majorBidi" w:cstheme="majorBidi"/>
                <w:b/>
                <w:sz w:val="24"/>
                <w:szCs w:val="24"/>
              </w:rPr>
              <w:t>Std. Deviation</w:t>
            </w:r>
          </w:p>
        </w:tc>
      </w:tr>
      <w:tr w14:paraId="1C98B0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tcBorders>
              <w:top w:val="single" w:color="auto" w:sz="4" w:space="0"/>
            </w:tcBorders>
            <w:noWrap/>
          </w:tcPr>
          <w:p w14:paraId="369C22CF">
            <w:pPr>
              <w:spacing w:after="0" w:line="480" w:lineRule="auto"/>
              <w:rPr>
                <w:rFonts w:asciiTheme="majorBidi" w:hAnsiTheme="majorBidi" w:cstheme="majorBidi"/>
                <w:sz w:val="24"/>
                <w:szCs w:val="24"/>
              </w:rPr>
            </w:pPr>
            <w:r>
              <w:rPr>
                <w:rFonts w:asciiTheme="majorBidi" w:hAnsiTheme="majorBidi" w:cstheme="majorBidi"/>
                <w:sz w:val="24"/>
                <w:szCs w:val="24"/>
              </w:rPr>
              <w:t>Examiners talk invited by the school influence exam cheating.</w:t>
            </w:r>
          </w:p>
        </w:tc>
        <w:tc>
          <w:tcPr>
            <w:tcW w:w="592" w:type="dxa"/>
            <w:tcBorders>
              <w:top w:val="single" w:color="auto" w:sz="4" w:space="0"/>
            </w:tcBorders>
          </w:tcPr>
          <w:p w14:paraId="1EF03C0A">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tcBorders>
              <w:top w:val="single" w:color="auto" w:sz="4" w:space="0"/>
            </w:tcBorders>
            <w:noWrap/>
          </w:tcPr>
          <w:p w14:paraId="013C0123">
            <w:pPr>
              <w:spacing w:after="0" w:line="480" w:lineRule="auto"/>
              <w:jc w:val="both"/>
              <w:rPr>
                <w:rFonts w:asciiTheme="majorBidi" w:hAnsiTheme="majorBidi" w:cstheme="majorBidi"/>
                <w:sz w:val="24"/>
                <w:szCs w:val="24"/>
              </w:rPr>
            </w:pPr>
            <w:r>
              <w:rPr>
                <w:rFonts w:asciiTheme="majorBidi" w:hAnsiTheme="majorBidi" w:cstheme="majorBidi"/>
                <w:sz w:val="24"/>
                <w:szCs w:val="24"/>
              </w:rPr>
              <w:t>4.41</w:t>
            </w:r>
          </w:p>
        </w:tc>
        <w:tc>
          <w:tcPr>
            <w:tcW w:w="1425" w:type="dxa"/>
            <w:tcBorders>
              <w:top w:val="single" w:color="auto" w:sz="4" w:space="0"/>
            </w:tcBorders>
            <w:noWrap/>
          </w:tcPr>
          <w:p w14:paraId="76044359">
            <w:pPr>
              <w:spacing w:after="0" w:line="480" w:lineRule="auto"/>
              <w:jc w:val="both"/>
              <w:rPr>
                <w:rFonts w:asciiTheme="majorBidi" w:hAnsiTheme="majorBidi" w:cstheme="majorBidi"/>
                <w:sz w:val="24"/>
                <w:szCs w:val="24"/>
              </w:rPr>
            </w:pPr>
            <w:r>
              <w:rPr>
                <w:rFonts w:asciiTheme="majorBidi" w:hAnsiTheme="majorBidi" w:cstheme="majorBidi"/>
                <w:sz w:val="24"/>
                <w:szCs w:val="24"/>
              </w:rPr>
              <w:t>0.609</w:t>
            </w:r>
          </w:p>
        </w:tc>
      </w:tr>
      <w:tr w14:paraId="68FE8A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28C7982A">
            <w:pPr>
              <w:spacing w:after="0" w:line="480" w:lineRule="auto"/>
              <w:rPr>
                <w:rFonts w:asciiTheme="majorBidi" w:hAnsiTheme="majorBidi" w:cstheme="majorBidi"/>
                <w:sz w:val="24"/>
                <w:szCs w:val="24"/>
              </w:rPr>
            </w:pPr>
            <w:r>
              <w:rPr>
                <w:rFonts w:asciiTheme="majorBidi" w:hAnsiTheme="majorBidi" w:cstheme="majorBidi"/>
                <w:sz w:val="24"/>
                <w:szCs w:val="24"/>
              </w:rPr>
              <w:t>Teaching students about the importance of ethical behavior and integrating values such as integrity and honesty into lessons can promote a culture of academic honesty.</w:t>
            </w:r>
          </w:p>
        </w:tc>
        <w:tc>
          <w:tcPr>
            <w:tcW w:w="592" w:type="dxa"/>
          </w:tcPr>
          <w:p w14:paraId="0C253B9B">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0B6C7391">
            <w:pPr>
              <w:spacing w:after="0" w:line="480" w:lineRule="auto"/>
              <w:jc w:val="both"/>
              <w:rPr>
                <w:rFonts w:asciiTheme="majorBidi" w:hAnsiTheme="majorBidi" w:cstheme="majorBidi"/>
                <w:sz w:val="24"/>
                <w:szCs w:val="24"/>
              </w:rPr>
            </w:pPr>
            <w:r>
              <w:rPr>
                <w:rFonts w:asciiTheme="majorBidi" w:hAnsiTheme="majorBidi" w:cstheme="majorBidi"/>
                <w:sz w:val="24"/>
                <w:szCs w:val="24"/>
              </w:rPr>
              <w:t>3.91</w:t>
            </w:r>
          </w:p>
        </w:tc>
        <w:tc>
          <w:tcPr>
            <w:tcW w:w="1425" w:type="dxa"/>
            <w:noWrap/>
          </w:tcPr>
          <w:p w14:paraId="5A9A3560">
            <w:pPr>
              <w:spacing w:after="0" w:line="480" w:lineRule="auto"/>
              <w:jc w:val="both"/>
              <w:rPr>
                <w:rFonts w:asciiTheme="majorBidi" w:hAnsiTheme="majorBidi" w:cstheme="majorBidi"/>
                <w:sz w:val="24"/>
                <w:szCs w:val="24"/>
              </w:rPr>
            </w:pPr>
            <w:r>
              <w:rPr>
                <w:rFonts w:asciiTheme="majorBidi" w:hAnsiTheme="majorBidi" w:cstheme="majorBidi"/>
                <w:sz w:val="24"/>
                <w:szCs w:val="24"/>
              </w:rPr>
              <w:t>0.753</w:t>
            </w:r>
          </w:p>
        </w:tc>
      </w:tr>
      <w:tr w14:paraId="729329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0812512C">
            <w:pPr>
              <w:spacing w:after="0" w:line="480" w:lineRule="auto"/>
              <w:rPr>
                <w:rFonts w:asciiTheme="majorBidi" w:hAnsiTheme="majorBidi" w:cstheme="majorBidi"/>
                <w:sz w:val="24"/>
                <w:szCs w:val="24"/>
              </w:rPr>
            </w:pPr>
            <w:r>
              <w:rPr>
                <w:rFonts w:asciiTheme="majorBidi" w:hAnsiTheme="majorBidi" w:cstheme="majorBidi"/>
                <w:sz w:val="24"/>
                <w:szCs w:val="24"/>
              </w:rPr>
              <w:t>Positive teacher-student relationships, characterized by trust and support, reduce the likelihood of cheating.</w:t>
            </w:r>
          </w:p>
        </w:tc>
        <w:tc>
          <w:tcPr>
            <w:tcW w:w="592" w:type="dxa"/>
          </w:tcPr>
          <w:p w14:paraId="41C0ADF8">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17DEEAA6">
            <w:pPr>
              <w:spacing w:after="0" w:line="480" w:lineRule="auto"/>
              <w:jc w:val="both"/>
              <w:rPr>
                <w:rFonts w:asciiTheme="majorBidi" w:hAnsiTheme="majorBidi" w:cstheme="majorBidi"/>
                <w:sz w:val="24"/>
                <w:szCs w:val="24"/>
              </w:rPr>
            </w:pPr>
            <w:r>
              <w:rPr>
                <w:rFonts w:asciiTheme="majorBidi" w:hAnsiTheme="majorBidi" w:cstheme="majorBidi"/>
                <w:sz w:val="24"/>
                <w:szCs w:val="24"/>
              </w:rPr>
              <w:t>3.62</w:t>
            </w:r>
          </w:p>
        </w:tc>
        <w:tc>
          <w:tcPr>
            <w:tcW w:w="1425" w:type="dxa"/>
            <w:noWrap/>
          </w:tcPr>
          <w:p w14:paraId="5DDC96D4">
            <w:pPr>
              <w:spacing w:after="0" w:line="480" w:lineRule="auto"/>
              <w:jc w:val="both"/>
              <w:rPr>
                <w:rFonts w:asciiTheme="majorBidi" w:hAnsiTheme="majorBidi" w:cstheme="majorBidi"/>
                <w:sz w:val="24"/>
                <w:szCs w:val="24"/>
              </w:rPr>
            </w:pPr>
            <w:r>
              <w:rPr>
                <w:rFonts w:asciiTheme="majorBidi" w:hAnsiTheme="majorBidi" w:cstheme="majorBidi"/>
                <w:sz w:val="24"/>
                <w:szCs w:val="24"/>
              </w:rPr>
              <w:t>0.774</w:t>
            </w:r>
          </w:p>
        </w:tc>
      </w:tr>
      <w:tr w14:paraId="7F6712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12AC9961">
            <w:pPr>
              <w:spacing w:after="0" w:line="480" w:lineRule="auto"/>
              <w:rPr>
                <w:rFonts w:asciiTheme="majorBidi" w:hAnsiTheme="majorBidi" w:cstheme="majorBidi"/>
                <w:sz w:val="24"/>
                <w:szCs w:val="24"/>
              </w:rPr>
            </w:pPr>
            <w:r>
              <w:rPr>
                <w:rFonts w:asciiTheme="majorBidi" w:hAnsiTheme="majorBidi" w:cstheme="majorBidi"/>
                <w:sz w:val="24"/>
                <w:szCs w:val="24"/>
              </w:rPr>
              <w:t>Teaching approaches that provide constructive feedback and opportunities for students to redo assignments and assessments contribute to examination integrity.</w:t>
            </w:r>
          </w:p>
        </w:tc>
        <w:tc>
          <w:tcPr>
            <w:tcW w:w="592" w:type="dxa"/>
          </w:tcPr>
          <w:p w14:paraId="0284CB6D">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3B7CB604">
            <w:pPr>
              <w:spacing w:after="0" w:line="480" w:lineRule="auto"/>
              <w:jc w:val="both"/>
              <w:rPr>
                <w:rFonts w:asciiTheme="majorBidi" w:hAnsiTheme="majorBidi" w:cstheme="majorBidi"/>
                <w:sz w:val="24"/>
                <w:szCs w:val="24"/>
              </w:rPr>
            </w:pPr>
            <w:r>
              <w:rPr>
                <w:rFonts w:asciiTheme="majorBidi" w:hAnsiTheme="majorBidi" w:cstheme="majorBidi"/>
                <w:sz w:val="24"/>
                <w:szCs w:val="24"/>
              </w:rPr>
              <w:t>3.92</w:t>
            </w:r>
          </w:p>
        </w:tc>
        <w:tc>
          <w:tcPr>
            <w:tcW w:w="1425" w:type="dxa"/>
            <w:noWrap/>
          </w:tcPr>
          <w:p w14:paraId="3A5F91BF">
            <w:pPr>
              <w:spacing w:after="0" w:line="480" w:lineRule="auto"/>
              <w:jc w:val="both"/>
              <w:rPr>
                <w:rFonts w:asciiTheme="majorBidi" w:hAnsiTheme="majorBidi" w:cstheme="majorBidi"/>
                <w:sz w:val="24"/>
                <w:szCs w:val="24"/>
              </w:rPr>
            </w:pPr>
            <w:r>
              <w:rPr>
                <w:rFonts w:asciiTheme="majorBidi" w:hAnsiTheme="majorBidi" w:cstheme="majorBidi"/>
                <w:sz w:val="24"/>
                <w:szCs w:val="24"/>
              </w:rPr>
              <w:t>0.728</w:t>
            </w:r>
          </w:p>
        </w:tc>
      </w:tr>
      <w:tr w14:paraId="00E386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302FF367">
            <w:pPr>
              <w:spacing w:after="0" w:line="480" w:lineRule="auto"/>
              <w:rPr>
                <w:rFonts w:asciiTheme="majorBidi" w:hAnsiTheme="majorBidi" w:cstheme="majorBidi"/>
                <w:sz w:val="24"/>
                <w:szCs w:val="24"/>
              </w:rPr>
            </w:pPr>
            <w:r>
              <w:rPr>
                <w:rFonts w:asciiTheme="majorBidi" w:hAnsiTheme="majorBidi" w:cstheme="majorBidi"/>
                <w:sz w:val="24"/>
                <w:szCs w:val="24"/>
              </w:rPr>
              <w:t>Teachers’ decisions regarding syllabus coverage are affected by time constraints, poor students’ attendance and curriculum requirements.</w:t>
            </w:r>
          </w:p>
        </w:tc>
        <w:tc>
          <w:tcPr>
            <w:tcW w:w="592" w:type="dxa"/>
          </w:tcPr>
          <w:p w14:paraId="3A9987DE">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2EFE1422">
            <w:pPr>
              <w:spacing w:after="0" w:line="480" w:lineRule="auto"/>
              <w:jc w:val="both"/>
              <w:rPr>
                <w:rFonts w:asciiTheme="majorBidi" w:hAnsiTheme="majorBidi" w:cstheme="majorBidi"/>
                <w:sz w:val="24"/>
                <w:szCs w:val="24"/>
              </w:rPr>
            </w:pPr>
            <w:r>
              <w:rPr>
                <w:rFonts w:asciiTheme="majorBidi" w:hAnsiTheme="majorBidi" w:cstheme="majorBidi"/>
                <w:sz w:val="24"/>
                <w:szCs w:val="24"/>
              </w:rPr>
              <w:t>4.07</w:t>
            </w:r>
          </w:p>
        </w:tc>
        <w:tc>
          <w:tcPr>
            <w:tcW w:w="1425" w:type="dxa"/>
            <w:noWrap/>
          </w:tcPr>
          <w:p w14:paraId="645736F0">
            <w:pPr>
              <w:spacing w:after="0" w:line="480" w:lineRule="auto"/>
              <w:jc w:val="both"/>
              <w:rPr>
                <w:rFonts w:asciiTheme="majorBidi" w:hAnsiTheme="majorBidi" w:cstheme="majorBidi"/>
                <w:sz w:val="24"/>
                <w:szCs w:val="24"/>
              </w:rPr>
            </w:pPr>
            <w:r>
              <w:rPr>
                <w:rFonts w:asciiTheme="majorBidi" w:hAnsiTheme="majorBidi" w:cstheme="majorBidi"/>
                <w:sz w:val="24"/>
                <w:szCs w:val="24"/>
              </w:rPr>
              <w:t>0.701</w:t>
            </w:r>
          </w:p>
        </w:tc>
      </w:tr>
    </w:tbl>
    <w:p w14:paraId="339F6941">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595B497">
      <w:pPr>
        <w:spacing w:after="0" w:line="480" w:lineRule="auto"/>
        <w:jc w:val="both"/>
        <w:rPr>
          <w:rFonts w:asciiTheme="majorBidi" w:hAnsiTheme="majorBidi" w:cstheme="majorBidi"/>
          <w:sz w:val="24"/>
          <w:szCs w:val="24"/>
        </w:rPr>
      </w:pPr>
      <w:r>
        <w:rPr>
          <w:rFonts w:asciiTheme="majorBidi" w:hAnsiTheme="majorBidi" w:cstheme="majorBidi"/>
          <w:sz w:val="24"/>
          <w:szCs w:val="24"/>
        </w:rPr>
        <w:t>The table presents mean scores and standard deviations for Likert scale items related to various factors influencing examination integrity, particularly focusing on the role of teachers and teaching practices. The highest mean score of 4.41, with a relatively low standard deviation of 0.609, is associated with the statement suggesting that examiners' talks invited by the school influence exam cheating. This indicates a strong agreement among respondents that external influences, such as talks given by examiners, have a significant impact on students' propensity to engage in cheating behavior during exams.</w:t>
      </w:r>
    </w:p>
    <w:p w14:paraId="5B3DB8E4">
      <w:pPr>
        <w:spacing w:line="480" w:lineRule="auto"/>
        <w:jc w:val="both"/>
        <w:rPr>
          <w:rFonts w:asciiTheme="majorBidi" w:hAnsiTheme="majorBidi" w:cstheme="majorBidi"/>
          <w:sz w:val="24"/>
          <w:szCs w:val="24"/>
        </w:rPr>
      </w:pPr>
      <w:r>
        <w:rPr>
          <w:rFonts w:asciiTheme="majorBidi" w:hAnsiTheme="majorBidi" w:cstheme="majorBidi"/>
          <w:sz w:val="24"/>
          <w:szCs w:val="24"/>
        </w:rPr>
        <w:t>On the other hand, the statement regarding teaching students about the importance of ethical behavior and integrating values such as integrity and honesty into lessons yielded a mean score of 3.91, with a standard deviation of 0.753. While still relatively high, the slightly lower mean score suggests that there may be some variability in respondents' perceptions regarding the effectiveness of this approach in promoting a culture of academic honesty. Similarly, positive teacher-student relationships, characterized by trust and support, received a mean score of 3.62, with a standard deviation of 0.774. This suggests that while positive relationships between teachers and students are generally viewed as important in reducing the likelihood of cheating, there may be some disagreement among respondents regarding the extent of their influence on examination integrity.</w:t>
      </w:r>
    </w:p>
    <w:p w14:paraId="69EAF594">
      <w:pPr>
        <w:spacing w:line="480" w:lineRule="auto"/>
        <w:jc w:val="both"/>
        <w:rPr>
          <w:rFonts w:asciiTheme="majorBidi" w:hAnsiTheme="majorBidi" w:cstheme="majorBidi"/>
          <w:sz w:val="24"/>
          <w:szCs w:val="24"/>
        </w:rPr>
      </w:pPr>
      <w:r>
        <w:rPr>
          <w:rFonts w:asciiTheme="majorBidi" w:hAnsiTheme="majorBidi" w:cstheme="majorBidi"/>
          <w:sz w:val="24"/>
          <w:szCs w:val="24"/>
        </w:rPr>
        <w:t>The statement regarding teaching approaches that provide constructive feedback and opportunities for students to redo assignments and assessments yielded a mean score of 3.92, with a standard deviation of 0.728. This suggests a relatively high level of agreement among respondents regarding the importance of these teaching practices in contributing to examination integrity. Lastly, teachers' decisions regarding syllabus coverage were found to be influenced by time constraints, poor students' attendance, and curriculum requirements, as indicated by a mean score of 4.07 and a standard deviation of 0.701. This suggests that external factors play a significant role in shaping teachers' decisions and may impact academic integrity and examination malpractices indirectly through their effects on teaching practices.</w:t>
      </w:r>
    </w:p>
    <w:p w14:paraId="75DC22C0">
      <w:pPr>
        <w:spacing w:before="240" w:line="480" w:lineRule="auto"/>
        <w:jc w:val="both"/>
        <w:rPr>
          <w:rFonts w:asciiTheme="majorBidi" w:hAnsiTheme="majorBidi" w:cstheme="majorBidi"/>
          <w:sz w:val="24"/>
          <w:szCs w:val="24"/>
        </w:rPr>
      </w:pPr>
      <w:r>
        <w:rPr>
          <w:rFonts w:asciiTheme="majorBidi" w:hAnsiTheme="majorBidi" w:cstheme="majorBidi"/>
          <w:sz w:val="24"/>
          <w:szCs w:val="24"/>
        </w:rPr>
        <w:t>Hypothesis four</w:t>
      </w:r>
    </w:p>
    <w:p w14:paraId="192E26D9">
      <w:pPr>
        <w:pStyle w:val="17"/>
        <w:spacing w:before="0" w:beforeAutospacing="0" w:line="480" w:lineRule="auto"/>
        <w:jc w:val="both"/>
        <w:rPr>
          <w:rFonts w:asciiTheme="majorBidi" w:hAnsiTheme="majorBidi" w:cstheme="majorBidi"/>
          <w:i/>
          <w:iCs/>
        </w:rPr>
      </w:pPr>
      <w:r>
        <w:rPr>
          <w:rFonts w:asciiTheme="majorBidi" w:hAnsiTheme="majorBidi" w:cstheme="majorBidi"/>
        </w:rPr>
        <w:t xml:space="preserve">The fourth hypothesis of the study stated that </w:t>
      </w:r>
      <w:r>
        <w:rPr>
          <w:rFonts w:asciiTheme="majorBidi" w:hAnsiTheme="majorBidi" w:cstheme="majorBidi"/>
          <w:i/>
          <w:iCs/>
        </w:rPr>
        <w:t xml:space="preserve">There is no significant relationship between teaching approaches and academic integrity and examination malpractices in secondary schools in Garissa Township Sub County. </w:t>
      </w:r>
      <w:r>
        <w:rPr>
          <w:rFonts w:asciiTheme="majorBidi" w:hAnsiTheme="majorBidi" w:cstheme="majorBidi"/>
        </w:rPr>
        <w:t>Pearson ’s correlation coefficient and the associated p value were computed to test hypothesis four. Table 16 presents the results of the correlation analysis.</w:t>
      </w:r>
    </w:p>
    <w:p w14:paraId="1A95197E">
      <w:pPr>
        <w:pStyle w:val="2"/>
        <w:spacing w:before="0"/>
        <w:rPr>
          <w:rFonts w:asciiTheme="majorBidi" w:hAnsiTheme="majorBidi"/>
          <w:b w:val="0"/>
          <w:bCs w:val="0"/>
          <w:color w:val="auto"/>
          <w:sz w:val="24"/>
          <w:szCs w:val="24"/>
        </w:rPr>
      </w:pPr>
      <w:bookmarkStart w:id="242" w:name="_Toc194769953"/>
      <w:bookmarkStart w:id="243" w:name="_Toc194822673"/>
      <w:r>
        <w:rPr>
          <w:rFonts w:asciiTheme="majorBidi" w:hAnsiTheme="majorBidi"/>
          <w:b w:val="0"/>
          <w:bCs w:val="0"/>
          <w:color w:val="auto"/>
          <w:sz w:val="24"/>
          <w:szCs w:val="24"/>
        </w:rPr>
        <w:t>Table 16:</w:t>
      </w:r>
      <w:bookmarkEnd w:id="242"/>
      <w:bookmarkEnd w:id="243"/>
    </w:p>
    <w:p w14:paraId="64FFB543">
      <w:pPr>
        <w:pStyle w:val="2"/>
        <w:spacing w:after="240"/>
        <w:rPr>
          <w:rFonts w:asciiTheme="majorBidi" w:hAnsiTheme="majorBidi"/>
          <w:b w:val="0"/>
          <w:bCs w:val="0"/>
          <w:i/>
          <w:iCs/>
          <w:color w:val="auto"/>
          <w:sz w:val="24"/>
          <w:szCs w:val="24"/>
        </w:rPr>
      </w:pPr>
      <w:bookmarkStart w:id="244" w:name="_Toc194769954"/>
      <w:bookmarkStart w:id="245" w:name="_Toc194822674"/>
      <w:r>
        <w:rPr>
          <w:rFonts w:asciiTheme="majorBidi" w:hAnsiTheme="majorBidi"/>
          <w:b w:val="0"/>
          <w:bCs w:val="0"/>
          <w:i/>
          <w:iCs/>
          <w:color w:val="auto"/>
          <w:sz w:val="24"/>
          <w:szCs w:val="24"/>
        </w:rPr>
        <w:t>Correlation analysis of teaching approach and Level of Exam Malpractices in KCSE</w:t>
      </w:r>
      <w:bookmarkEnd w:id="244"/>
      <w:bookmarkEnd w:id="245"/>
    </w:p>
    <w:tbl>
      <w:tblPr>
        <w:tblStyle w:val="20"/>
        <w:tblW w:w="9588"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3"/>
        <w:gridCol w:w="2117"/>
        <w:gridCol w:w="1429"/>
        <w:gridCol w:w="2679"/>
      </w:tblGrid>
      <w:tr w14:paraId="294ED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3363" w:type="dxa"/>
            <w:tcBorders>
              <w:top w:val="single" w:color="auto" w:sz="4" w:space="0"/>
              <w:bottom w:val="single" w:color="auto" w:sz="4" w:space="0"/>
            </w:tcBorders>
            <w:noWrap/>
          </w:tcPr>
          <w:p w14:paraId="40D9B7E9">
            <w:pPr>
              <w:spacing w:after="0" w:line="360" w:lineRule="auto"/>
              <w:rPr>
                <w:rFonts w:asciiTheme="majorBidi" w:hAnsiTheme="majorBidi" w:cstheme="majorBidi"/>
                <w:b/>
                <w:bCs/>
                <w:sz w:val="24"/>
                <w:szCs w:val="24"/>
              </w:rPr>
            </w:pPr>
          </w:p>
        </w:tc>
        <w:tc>
          <w:tcPr>
            <w:tcW w:w="2117" w:type="dxa"/>
            <w:tcBorders>
              <w:top w:val="single" w:color="auto" w:sz="4" w:space="0"/>
              <w:bottom w:val="single" w:color="auto" w:sz="4" w:space="0"/>
            </w:tcBorders>
            <w:noWrap/>
          </w:tcPr>
          <w:p w14:paraId="7B71470C">
            <w:pPr>
              <w:spacing w:after="0" w:line="360" w:lineRule="auto"/>
              <w:jc w:val="both"/>
              <w:rPr>
                <w:rFonts w:asciiTheme="majorBidi" w:hAnsiTheme="majorBidi" w:cstheme="majorBidi"/>
                <w:b/>
                <w:bCs/>
                <w:sz w:val="24"/>
                <w:szCs w:val="24"/>
              </w:rPr>
            </w:pPr>
          </w:p>
        </w:tc>
        <w:tc>
          <w:tcPr>
            <w:tcW w:w="1429" w:type="dxa"/>
            <w:tcBorders>
              <w:top w:val="single" w:color="auto" w:sz="4" w:space="0"/>
              <w:bottom w:val="single" w:color="auto" w:sz="4" w:space="0"/>
            </w:tcBorders>
            <w:noWrap/>
          </w:tcPr>
          <w:p w14:paraId="43BF9CA8">
            <w:pPr>
              <w:spacing w:after="0" w:line="360" w:lineRule="auto"/>
              <w:jc w:val="both"/>
              <w:rPr>
                <w:rFonts w:asciiTheme="majorBidi" w:hAnsiTheme="majorBidi" w:cstheme="majorBidi"/>
                <w:sz w:val="24"/>
                <w:szCs w:val="24"/>
              </w:rPr>
            </w:pPr>
            <w:r>
              <w:rPr>
                <w:rFonts w:asciiTheme="majorBidi" w:hAnsiTheme="majorBidi" w:cstheme="majorBidi"/>
                <w:sz w:val="24"/>
                <w:szCs w:val="24"/>
              </w:rPr>
              <w:t>Teaching approaches</w:t>
            </w:r>
          </w:p>
        </w:tc>
        <w:tc>
          <w:tcPr>
            <w:tcW w:w="2679" w:type="dxa"/>
            <w:tcBorders>
              <w:top w:val="single" w:color="auto" w:sz="4" w:space="0"/>
              <w:bottom w:val="single" w:color="auto" w:sz="4" w:space="0"/>
            </w:tcBorders>
            <w:noWrap/>
          </w:tcPr>
          <w:p w14:paraId="28E9B844">
            <w:pPr>
              <w:spacing w:after="0" w:line="360" w:lineRule="auto"/>
              <w:jc w:val="both"/>
              <w:rPr>
                <w:rFonts w:asciiTheme="majorBidi" w:hAnsiTheme="majorBidi" w:cstheme="majorBidi"/>
                <w:sz w:val="24"/>
                <w:szCs w:val="24"/>
              </w:rPr>
            </w:pPr>
            <w:r>
              <w:rPr>
                <w:rFonts w:asciiTheme="majorBidi" w:hAnsiTheme="majorBidi" w:cstheme="majorBidi"/>
                <w:sz w:val="24"/>
                <w:szCs w:val="24"/>
              </w:rPr>
              <w:t>Level of Exam Malpractices in KCSE</w:t>
            </w:r>
          </w:p>
        </w:tc>
      </w:tr>
      <w:tr w14:paraId="4BABBB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tcBorders>
              <w:top w:val="single" w:color="auto" w:sz="4" w:space="0"/>
            </w:tcBorders>
            <w:noWrap/>
          </w:tcPr>
          <w:p w14:paraId="518F6917">
            <w:pPr>
              <w:spacing w:after="0" w:line="360" w:lineRule="auto"/>
              <w:rPr>
                <w:rFonts w:asciiTheme="majorBidi" w:hAnsiTheme="majorBidi" w:cstheme="majorBidi"/>
                <w:sz w:val="24"/>
                <w:szCs w:val="24"/>
              </w:rPr>
            </w:pPr>
            <w:r>
              <w:rPr>
                <w:rFonts w:asciiTheme="majorBidi" w:hAnsiTheme="majorBidi" w:cstheme="majorBidi"/>
                <w:sz w:val="24"/>
                <w:szCs w:val="24"/>
              </w:rPr>
              <w:t>Teaching approaches</w:t>
            </w:r>
          </w:p>
        </w:tc>
        <w:tc>
          <w:tcPr>
            <w:tcW w:w="2117" w:type="dxa"/>
            <w:tcBorders>
              <w:top w:val="single" w:color="auto" w:sz="4" w:space="0"/>
            </w:tcBorders>
            <w:noWrap/>
          </w:tcPr>
          <w:p w14:paraId="05BF808F">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429" w:type="dxa"/>
            <w:tcBorders>
              <w:top w:val="single" w:color="auto" w:sz="4" w:space="0"/>
            </w:tcBorders>
            <w:noWrap/>
          </w:tcPr>
          <w:p w14:paraId="1EB3A254">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679" w:type="dxa"/>
            <w:tcBorders>
              <w:top w:val="single" w:color="auto" w:sz="4" w:space="0"/>
            </w:tcBorders>
            <w:noWrap/>
          </w:tcPr>
          <w:p w14:paraId="6C6722B7">
            <w:pPr>
              <w:spacing w:after="0" w:line="360" w:lineRule="auto"/>
              <w:jc w:val="both"/>
              <w:rPr>
                <w:rFonts w:asciiTheme="majorBidi" w:hAnsiTheme="majorBidi" w:cstheme="majorBidi"/>
                <w:sz w:val="24"/>
                <w:szCs w:val="24"/>
              </w:rPr>
            </w:pPr>
            <w:r>
              <w:rPr>
                <w:rFonts w:asciiTheme="majorBidi" w:hAnsiTheme="majorBidi" w:cstheme="majorBidi"/>
                <w:sz w:val="24"/>
                <w:szCs w:val="24"/>
              </w:rPr>
              <w:t>.462**</w:t>
            </w:r>
          </w:p>
        </w:tc>
      </w:tr>
      <w:tr w14:paraId="045A00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16374D3D">
            <w:pPr>
              <w:spacing w:after="0" w:line="360" w:lineRule="auto"/>
              <w:rPr>
                <w:rFonts w:asciiTheme="majorBidi" w:hAnsiTheme="majorBidi" w:cstheme="majorBidi"/>
                <w:sz w:val="24"/>
                <w:szCs w:val="24"/>
              </w:rPr>
            </w:pPr>
          </w:p>
        </w:tc>
        <w:tc>
          <w:tcPr>
            <w:tcW w:w="2117" w:type="dxa"/>
            <w:noWrap/>
          </w:tcPr>
          <w:p w14:paraId="629AEBFC">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429" w:type="dxa"/>
            <w:noWrap/>
          </w:tcPr>
          <w:p w14:paraId="6C5BFFAE">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679" w:type="dxa"/>
            <w:noWrap/>
          </w:tcPr>
          <w:p w14:paraId="206CADF3">
            <w:pPr>
              <w:spacing w:after="0" w:line="360" w:lineRule="auto"/>
              <w:jc w:val="both"/>
              <w:rPr>
                <w:rFonts w:asciiTheme="majorBidi" w:hAnsiTheme="majorBidi" w:cstheme="majorBidi"/>
                <w:sz w:val="24"/>
                <w:szCs w:val="24"/>
              </w:rPr>
            </w:pPr>
            <w:r>
              <w:rPr>
                <w:rFonts w:asciiTheme="majorBidi" w:hAnsiTheme="majorBidi" w:cstheme="majorBidi"/>
                <w:sz w:val="24"/>
                <w:szCs w:val="24"/>
              </w:rPr>
              <w:t>0.000</w:t>
            </w:r>
          </w:p>
        </w:tc>
      </w:tr>
      <w:tr w14:paraId="245CAC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0BE30A33">
            <w:pPr>
              <w:spacing w:after="0" w:line="360" w:lineRule="auto"/>
              <w:rPr>
                <w:rFonts w:asciiTheme="majorBidi" w:hAnsiTheme="majorBidi" w:cstheme="majorBidi"/>
                <w:sz w:val="24"/>
                <w:szCs w:val="24"/>
              </w:rPr>
            </w:pPr>
          </w:p>
        </w:tc>
        <w:tc>
          <w:tcPr>
            <w:tcW w:w="2117" w:type="dxa"/>
            <w:noWrap/>
          </w:tcPr>
          <w:p w14:paraId="200B088B">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429" w:type="dxa"/>
            <w:noWrap/>
          </w:tcPr>
          <w:p w14:paraId="625370F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679" w:type="dxa"/>
            <w:noWrap/>
          </w:tcPr>
          <w:p w14:paraId="3620D373">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r w14:paraId="57A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1264061A">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117" w:type="dxa"/>
            <w:noWrap/>
          </w:tcPr>
          <w:p w14:paraId="224AD7C8">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429" w:type="dxa"/>
            <w:noWrap/>
          </w:tcPr>
          <w:p w14:paraId="2C44E04F">
            <w:pPr>
              <w:spacing w:after="0" w:line="360" w:lineRule="auto"/>
              <w:jc w:val="both"/>
              <w:rPr>
                <w:rFonts w:asciiTheme="majorBidi" w:hAnsiTheme="majorBidi" w:cstheme="majorBidi"/>
                <w:sz w:val="24"/>
                <w:szCs w:val="24"/>
              </w:rPr>
            </w:pPr>
            <w:r>
              <w:rPr>
                <w:rFonts w:asciiTheme="majorBidi" w:hAnsiTheme="majorBidi" w:cstheme="majorBidi"/>
                <w:sz w:val="24"/>
                <w:szCs w:val="24"/>
              </w:rPr>
              <w:t>.462**</w:t>
            </w:r>
          </w:p>
        </w:tc>
        <w:tc>
          <w:tcPr>
            <w:tcW w:w="2679" w:type="dxa"/>
            <w:noWrap/>
          </w:tcPr>
          <w:p w14:paraId="695E0991">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r>
      <w:tr w14:paraId="2AE161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7C46F364">
            <w:pPr>
              <w:spacing w:after="0" w:line="360" w:lineRule="auto"/>
              <w:rPr>
                <w:rFonts w:asciiTheme="majorBidi" w:hAnsiTheme="majorBidi" w:cstheme="majorBidi"/>
                <w:sz w:val="24"/>
                <w:szCs w:val="24"/>
              </w:rPr>
            </w:pPr>
          </w:p>
        </w:tc>
        <w:tc>
          <w:tcPr>
            <w:tcW w:w="2117" w:type="dxa"/>
            <w:noWrap/>
          </w:tcPr>
          <w:p w14:paraId="48F43B70">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429" w:type="dxa"/>
            <w:noWrap/>
          </w:tcPr>
          <w:p w14:paraId="5C99181E">
            <w:pPr>
              <w:spacing w:after="0" w:line="360" w:lineRule="auto"/>
              <w:jc w:val="both"/>
              <w:rPr>
                <w:rFonts w:asciiTheme="majorBidi" w:hAnsiTheme="majorBidi" w:cstheme="majorBidi"/>
                <w:sz w:val="24"/>
                <w:szCs w:val="24"/>
              </w:rPr>
            </w:pPr>
            <w:r>
              <w:rPr>
                <w:rFonts w:asciiTheme="majorBidi" w:hAnsiTheme="majorBidi" w:cstheme="majorBidi"/>
                <w:sz w:val="24"/>
                <w:szCs w:val="24"/>
              </w:rPr>
              <w:t>0.000</w:t>
            </w:r>
          </w:p>
        </w:tc>
        <w:tc>
          <w:tcPr>
            <w:tcW w:w="2679" w:type="dxa"/>
            <w:noWrap/>
          </w:tcPr>
          <w:p w14:paraId="783F2E55">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r>
      <w:tr w14:paraId="656B8F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3363" w:type="dxa"/>
            <w:noWrap/>
          </w:tcPr>
          <w:p w14:paraId="235C9D28">
            <w:pPr>
              <w:spacing w:after="0" w:line="360" w:lineRule="auto"/>
              <w:rPr>
                <w:rFonts w:asciiTheme="majorBidi" w:hAnsiTheme="majorBidi" w:cstheme="majorBidi"/>
                <w:sz w:val="24"/>
                <w:szCs w:val="24"/>
              </w:rPr>
            </w:pPr>
          </w:p>
        </w:tc>
        <w:tc>
          <w:tcPr>
            <w:tcW w:w="2117" w:type="dxa"/>
            <w:noWrap/>
          </w:tcPr>
          <w:p w14:paraId="3305D742">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429" w:type="dxa"/>
            <w:noWrap/>
          </w:tcPr>
          <w:p w14:paraId="021FBCA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679" w:type="dxa"/>
            <w:noWrap/>
          </w:tcPr>
          <w:p w14:paraId="1694CC3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bl>
    <w:p w14:paraId="6A5D0A71">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E668DE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correlation analysis examines the relationship between teaching approaches and the level of integrity observed in Kenya Certificate of Secondary Education (KCSE) examinations. The results reveal a statistically significant positive correlation coefficient of .462** between these two variables. This indicates a moderate to strong positive relationship, suggesting that teaching approaches have a considerable impact on the level of examination integrity. The p value of 0.000 gives strong evidence to reject the fourth hypothesis. </w:t>
      </w:r>
    </w:p>
    <w:p w14:paraId="1FB7F8D5">
      <w:pPr>
        <w:tabs>
          <w:tab w:val="left" w:pos="720"/>
        </w:tabs>
        <w:spacing w:line="480" w:lineRule="auto"/>
        <w:jc w:val="both"/>
        <w:rPr>
          <w:rFonts w:asciiTheme="majorBidi" w:hAnsiTheme="majorBidi" w:cstheme="majorBidi"/>
          <w:sz w:val="24"/>
          <w:szCs w:val="24"/>
        </w:rPr>
      </w:pPr>
      <w:r>
        <w:rPr>
          <w:rFonts w:asciiTheme="majorBidi" w:hAnsiTheme="majorBidi" w:cstheme="majorBidi"/>
          <w:sz w:val="24"/>
          <w:szCs w:val="24"/>
        </w:rPr>
        <w:t>This study's finding of a positive correlation (.462) between specific teaching approaches and higher exam integrity in KCSE aligns with research highlighting the influence of pedagogy on student behavior. The study's emphasis on instructors discussing the importance of ethical behavior aligns with findings by Chankova (2020) who found integrating honesty and integrity into lessons fostered a culture of academic honesty. The research highlights that explicitly discussing ethical behavior with students increases their awareness of academic integrity expectations and its importance. Similarly, the study findings complement the results of Soroya et al. (2014) who showed that teacher student relationships discouraged students from engaging in exam malpractice. Their study suggests that strong student-teacher bonds create a more positive learning environment, fostering trust and reducing the need for students to resort to cheating. The study's focus on providing constructive feedback and opportunities for reassessments resonates with research by Bakker et al. (2015) which suggests these approaches can contribute to exam integrity. Their work highlights that formative assessments with clear feedback opportunities allow students to learn from their mistakes and improve their understanding, reducing the incentive to cheat.</w:t>
      </w:r>
    </w:p>
    <w:p w14:paraId="6FD1C0BE">
      <w:pPr>
        <w:spacing w:before="240" w:line="480" w:lineRule="auto"/>
        <w:jc w:val="both"/>
        <w:rPr>
          <w:rFonts w:asciiTheme="majorBidi" w:hAnsiTheme="majorBidi" w:cstheme="majorBidi"/>
          <w:sz w:val="24"/>
          <w:szCs w:val="24"/>
        </w:rPr>
      </w:pPr>
      <w:r>
        <w:rPr>
          <w:rFonts w:asciiTheme="majorBidi" w:hAnsiTheme="majorBidi" w:cstheme="majorBidi"/>
          <w:sz w:val="24"/>
          <w:szCs w:val="24"/>
        </w:rPr>
        <w:t xml:space="preserve">The face-to-face interviews with principals confirmed that teaching approach has a great role in curbing exam malpractices, there is no exercise that can take place in schools without the awareness of teachers and school administration. One of the principals articulated that the integrity of the National examinations has become compromised and these are brought by unfair competition between schools who seek plausible grades in order to attain high enrollment and good will from the parents. Centre Managers (Principals), supervisors, invigilators and security officers are the biggest champions and propagators of this ideology of cheating. Students across this county and other parts of the country are used to this widespread examination malpractice, first they seek admission from the schools that cheat a lot. They prepare themselves financially way before the examinations and school management is the one that fuel this process, all along the students develop a very awful mindset that they will going to pass with or without studying thus compromising the quality of learning. Large percentage of the parents are illiterate and lack basic information about the ramifications of this rogue practices, they heed to the school management and teachers whom they honestly put their trust in.  </w:t>
      </w:r>
    </w:p>
    <w:p w14:paraId="5CDC3028">
      <w:pPr>
        <w:pStyle w:val="2"/>
        <w:numPr>
          <w:ilvl w:val="2"/>
          <w:numId w:val="20"/>
        </w:numPr>
        <w:spacing w:after="240"/>
        <w:rPr>
          <w:rFonts w:asciiTheme="majorBidi" w:hAnsiTheme="majorBidi"/>
          <w:color w:val="auto"/>
          <w:sz w:val="24"/>
          <w:szCs w:val="24"/>
        </w:rPr>
      </w:pPr>
      <w:bookmarkStart w:id="246" w:name="_Toc164927750"/>
      <w:bookmarkStart w:id="247" w:name="_Toc194822675"/>
      <w:r>
        <w:rPr>
          <w:rFonts w:asciiTheme="majorBidi" w:hAnsiTheme="majorBidi"/>
          <w:color w:val="auto"/>
          <w:sz w:val="24"/>
          <w:szCs w:val="24"/>
        </w:rPr>
        <w:t>Syllabus Coverage</w:t>
      </w:r>
      <w:bookmarkEnd w:id="246"/>
      <w:r>
        <w:rPr>
          <w:rFonts w:asciiTheme="majorBidi" w:hAnsiTheme="majorBidi"/>
          <w:color w:val="auto"/>
          <w:sz w:val="24"/>
          <w:szCs w:val="24"/>
        </w:rPr>
        <w:t xml:space="preserve"> and Level of Exam Malpractices in KCSE</w:t>
      </w:r>
      <w:bookmarkEnd w:id="247"/>
    </w:p>
    <w:p w14:paraId="0630678B">
      <w:pPr>
        <w:spacing w:before="240" w:line="480" w:lineRule="auto"/>
        <w:jc w:val="both"/>
        <w:rPr>
          <w:rFonts w:asciiTheme="majorBidi" w:hAnsiTheme="majorBidi" w:cstheme="majorBidi"/>
          <w:sz w:val="24"/>
          <w:szCs w:val="24"/>
        </w:rPr>
      </w:pPr>
      <w:r>
        <w:rPr>
          <w:rFonts w:asciiTheme="majorBidi" w:hAnsiTheme="majorBidi" w:cstheme="majorBidi"/>
          <w:sz w:val="24"/>
          <w:szCs w:val="24"/>
        </w:rPr>
        <w:t>The fifth objective of the research was to investigate the influence of the syllabus coverage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17 and 18 present the results on this objective.</w:t>
      </w:r>
    </w:p>
    <w:p w14:paraId="0A010063">
      <w:pPr>
        <w:pStyle w:val="2"/>
        <w:spacing w:line="480" w:lineRule="auto"/>
        <w:rPr>
          <w:rFonts w:asciiTheme="majorBidi" w:hAnsiTheme="majorBidi"/>
          <w:b w:val="0"/>
          <w:bCs w:val="0"/>
          <w:color w:val="auto"/>
          <w:sz w:val="24"/>
          <w:szCs w:val="24"/>
        </w:rPr>
      </w:pPr>
      <w:bookmarkStart w:id="248" w:name="_Toc194822676"/>
      <w:bookmarkStart w:id="249" w:name="_Toc194769956"/>
      <w:r>
        <w:rPr>
          <w:rFonts w:asciiTheme="majorBidi" w:hAnsiTheme="majorBidi"/>
          <w:b w:val="0"/>
          <w:bCs w:val="0"/>
          <w:color w:val="auto"/>
          <w:sz w:val="24"/>
          <w:szCs w:val="24"/>
        </w:rPr>
        <w:t>Table 17:</w:t>
      </w:r>
      <w:bookmarkEnd w:id="248"/>
      <w:bookmarkEnd w:id="249"/>
    </w:p>
    <w:p w14:paraId="637894FA">
      <w:pPr>
        <w:pStyle w:val="2"/>
        <w:spacing w:before="0" w:line="480" w:lineRule="auto"/>
        <w:rPr>
          <w:rFonts w:asciiTheme="majorBidi" w:hAnsiTheme="majorBidi"/>
          <w:b w:val="0"/>
          <w:bCs w:val="0"/>
          <w:i/>
          <w:iCs/>
          <w:color w:val="auto"/>
          <w:sz w:val="24"/>
          <w:szCs w:val="24"/>
        </w:rPr>
      </w:pPr>
      <w:bookmarkStart w:id="250" w:name="_Toc194822677"/>
      <w:bookmarkStart w:id="251" w:name="_Toc194769957"/>
      <w:r>
        <w:rPr>
          <w:rFonts w:asciiTheme="majorBidi" w:hAnsiTheme="majorBidi"/>
          <w:b w:val="0"/>
          <w:bCs w:val="0"/>
          <w:i/>
          <w:iCs/>
          <w:color w:val="auto"/>
          <w:sz w:val="24"/>
          <w:szCs w:val="24"/>
        </w:rPr>
        <w:t>Descriptive analysis on Syllabus coverage and Level of Exam Malpractices in KCSE</w:t>
      </w:r>
      <w:bookmarkEnd w:id="250"/>
      <w:bookmarkEnd w:id="251"/>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1"/>
        <w:gridCol w:w="615"/>
        <w:gridCol w:w="836"/>
        <w:gridCol w:w="836"/>
        <w:gridCol w:w="956"/>
        <w:gridCol w:w="956"/>
        <w:gridCol w:w="956"/>
      </w:tblGrid>
      <w:tr w14:paraId="319DD1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00" w:hRule="atLeast"/>
        </w:trPr>
        <w:tc>
          <w:tcPr>
            <w:tcW w:w="3701" w:type="dxa"/>
            <w:tcBorders>
              <w:top w:val="single" w:color="auto" w:sz="4" w:space="0"/>
              <w:bottom w:val="single" w:color="auto" w:sz="4" w:space="0"/>
            </w:tcBorders>
            <w:noWrap/>
          </w:tcPr>
          <w:p w14:paraId="23F831CF">
            <w:pPr>
              <w:spacing w:after="0" w:line="360" w:lineRule="auto"/>
              <w:rPr>
                <w:rFonts w:asciiTheme="majorBidi" w:hAnsiTheme="majorBidi" w:cstheme="majorBidi"/>
                <w:b/>
                <w:bCs/>
                <w:sz w:val="24"/>
                <w:szCs w:val="24"/>
              </w:rPr>
            </w:pPr>
          </w:p>
        </w:tc>
        <w:tc>
          <w:tcPr>
            <w:tcW w:w="660" w:type="dxa"/>
            <w:tcBorders>
              <w:top w:val="single" w:color="auto" w:sz="4" w:space="0"/>
              <w:bottom w:val="single" w:color="auto" w:sz="4" w:space="0"/>
            </w:tcBorders>
          </w:tcPr>
          <w:p w14:paraId="47665E3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14" w:type="dxa"/>
            <w:tcBorders>
              <w:top w:val="single" w:color="auto" w:sz="4" w:space="0"/>
              <w:bottom w:val="single" w:color="auto" w:sz="4" w:space="0"/>
            </w:tcBorders>
            <w:noWrap/>
          </w:tcPr>
          <w:p w14:paraId="039B96C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831" w:type="dxa"/>
            <w:tcBorders>
              <w:top w:val="single" w:color="auto" w:sz="4" w:space="0"/>
              <w:bottom w:val="single" w:color="auto" w:sz="4" w:space="0"/>
            </w:tcBorders>
            <w:noWrap/>
          </w:tcPr>
          <w:p w14:paraId="02F3720A">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50" w:type="dxa"/>
            <w:tcBorders>
              <w:top w:val="single" w:color="auto" w:sz="4" w:space="0"/>
              <w:bottom w:val="single" w:color="auto" w:sz="4" w:space="0"/>
            </w:tcBorders>
            <w:noWrap/>
          </w:tcPr>
          <w:p w14:paraId="506A89C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50" w:type="dxa"/>
            <w:tcBorders>
              <w:top w:val="single" w:color="auto" w:sz="4" w:space="0"/>
              <w:bottom w:val="single" w:color="auto" w:sz="4" w:space="0"/>
            </w:tcBorders>
            <w:noWrap/>
          </w:tcPr>
          <w:p w14:paraId="22346E3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50" w:type="dxa"/>
            <w:tcBorders>
              <w:top w:val="single" w:color="auto" w:sz="4" w:space="0"/>
              <w:bottom w:val="single" w:color="auto" w:sz="4" w:space="0"/>
            </w:tcBorders>
            <w:noWrap/>
          </w:tcPr>
          <w:p w14:paraId="5074F31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02A639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tcBorders>
              <w:top w:val="single" w:color="auto" w:sz="4" w:space="0"/>
            </w:tcBorders>
            <w:noWrap/>
          </w:tcPr>
          <w:p w14:paraId="0E6CC5CB">
            <w:pPr>
              <w:spacing w:after="0" w:line="360" w:lineRule="auto"/>
              <w:rPr>
                <w:rFonts w:asciiTheme="majorBidi" w:hAnsiTheme="majorBidi" w:cstheme="majorBidi"/>
                <w:sz w:val="24"/>
                <w:szCs w:val="24"/>
              </w:rPr>
            </w:pPr>
            <w:r>
              <w:rPr>
                <w:rFonts w:asciiTheme="majorBidi" w:hAnsiTheme="majorBidi" w:cstheme="majorBidi"/>
                <w:sz w:val="24"/>
                <w:szCs w:val="24"/>
              </w:rPr>
              <w:t>Curriculum overload, where schools attempt to cover an excessive amount of content within a limited timeframe, can lead to stress and anxiety among students.</w:t>
            </w:r>
          </w:p>
        </w:tc>
        <w:tc>
          <w:tcPr>
            <w:tcW w:w="660" w:type="dxa"/>
            <w:tcBorders>
              <w:top w:val="single" w:color="auto" w:sz="4" w:space="0"/>
            </w:tcBorders>
          </w:tcPr>
          <w:p w14:paraId="08B2625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tcBorders>
              <w:top w:val="single" w:color="auto" w:sz="4" w:space="0"/>
            </w:tcBorders>
            <w:noWrap/>
          </w:tcPr>
          <w:p w14:paraId="7DECB850">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31" w:type="dxa"/>
            <w:tcBorders>
              <w:top w:val="single" w:color="auto" w:sz="4" w:space="0"/>
            </w:tcBorders>
            <w:noWrap/>
          </w:tcPr>
          <w:p w14:paraId="7D67BE69">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950" w:type="dxa"/>
            <w:tcBorders>
              <w:top w:val="single" w:color="auto" w:sz="4" w:space="0"/>
            </w:tcBorders>
            <w:noWrap/>
          </w:tcPr>
          <w:p w14:paraId="1000AAF9">
            <w:pPr>
              <w:spacing w:after="0" w:line="360" w:lineRule="auto"/>
              <w:jc w:val="both"/>
              <w:rPr>
                <w:rFonts w:asciiTheme="majorBidi" w:hAnsiTheme="majorBidi" w:cstheme="majorBidi"/>
                <w:sz w:val="24"/>
                <w:szCs w:val="24"/>
              </w:rPr>
            </w:pPr>
            <w:r>
              <w:rPr>
                <w:rFonts w:asciiTheme="majorBidi" w:hAnsiTheme="majorBidi" w:cstheme="majorBidi"/>
                <w:sz w:val="24"/>
                <w:szCs w:val="24"/>
              </w:rPr>
              <w:t>13.30%</w:t>
            </w:r>
          </w:p>
        </w:tc>
        <w:tc>
          <w:tcPr>
            <w:tcW w:w="950" w:type="dxa"/>
            <w:tcBorders>
              <w:top w:val="single" w:color="auto" w:sz="4" w:space="0"/>
            </w:tcBorders>
            <w:noWrap/>
          </w:tcPr>
          <w:p w14:paraId="04ABCA6F">
            <w:pPr>
              <w:spacing w:after="0" w:line="360" w:lineRule="auto"/>
              <w:jc w:val="both"/>
              <w:rPr>
                <w:rFonts w:asciiTheme="majorBidi" w:hAnsiTheme="majorBidi" w:cstheme="majorBidi"/>
                <w:sz w:val="24"/>
                <w:szCs w:val="24"/>
              </w:rPr>
            </w:pPr>
            <w:r>
              <w:rPr>
                <w:rFonts w:asciiTheme="majorBidi" w:hAnsiTheme="majorBidi" w:cstheme="majorBidi"/>
                <w:sz w:val="24"/>
                <w:szCs w:val="24"/>
              </w:rPr>
              <w:t>44.50%</w:t>
            </w:r>
          </w:p>
        </w:tc>
        <w:tc>
          <w:tcPr>
            <w:tcW w:w="950" w:type="dxa"/>
            <w:tcBorders>
              <w:top w:val="single" w:color="auto" w:sz="4" w:space="0"/>
            </w:tcBorders>
            <w:noWrap/>
          </w:tcPr>
          <w:p w14:paraId="4D81ABBC">
            <w:pPr>
              <w:spacing w:after="0" w:line="360" w:lineRule="auto"/>
              <w:jc w:val="both"/>
              <w:rPr>
                <w:rFonts w:asciiTheme="majorBidi" w:hAnsiTheme="majorBidi" w:cstheme="majorBidi"/>
                <w:sz w:val="24"/>
                <w:szCs w:val="24"/>
              </w:rPr>
            </w:pPr>
            <w:r>
              <w:rPr>
                <w:rFonts w:asciiTheme="majorBidi" w:hAnsiTheme="majorBidi" w:cstheme="majorBidi"/>
                <w:sz w:val="24"/>
                <w:szCs w:val="24"/>
              </w:rPr>
              <w:t>37.50%</w:t>
            </w:r>
          </w:p>
        </w:tc>
      </w:tr>
      <w:tr w14:paraId="796F15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noWrap/>
          </w:tcPr>
          <w:p w14:paraId="3E0A9D6F">
            <w:pPr>
              <w:spacing w:after="0" w:line="360" w:lineRule="auto"/>
              <w:rPr>
                <w:rFonts w:asciiTheme="majorBidi" w:hAnsiTheme="majorBidi" w:cstheme="majorBidi"/>
                <w:sz w:val="24"/>
                <w:szCs w:val="24"/>
              </w:rPr>
            </w:pPr>
            <w:r>
              <w:rPr>
                <w:rFonts w:asciiTheme="majorBidi" w:hAnsiTheme="majorBidi" w:cstheme="majorBidi"/>
                <w:sz w:val="24"/>
                <w:szCs w:val="24"/>
              </w:rPr>
              <w:t>The pressure to complete the syllabus can create an environment where students may be more likely to engage in unethical practices during examinations.</w:t>
            </w:r>
          </w:p>
        </w:tc>
        <w:tc>
          <w:tcPr>
            <w:tcW w:w="660" w:type="dxa"/>
          </w:tcPr>
          <w:p w14:paraId="65EF9FB1">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noWrap/>
          </w:tcPr>
          <w:p w14:paraId="384689F6">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31" w:type="dxa"/>
            <w:noWrap/>
          </w:tcPr>
          <w:p w14:paraId="05277CA9">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950" w:type="dxa"/>
            <w:noWrap/>
          </w:tcPr>
          <w:p w14:paraId="56E60E26">
            <w:pPr>
              <w:spacing w:after="0" w:line="360" w:lineRule="auto"/>
              <w:jc w:val="both"/>
              <w:rPr>
                <w:rFonts w:asciiTheme="majorBidi" w:hAnsiTheme="majorBidi" w:cstheme="majorBidi"/>
                <w:sz w:val="24"/>
                <w:szCs w:val="24"/>
              </w:rPr>
            </w:pPr>
            <w:r>
              <w:rPr>
                <w:rFonts w:asciiTheme="majorBidi" w:hAnsiTheme="majorBidi" w:cstheme="majorBidi"/>
                <w:sz w:val="24"/>
                <w:szCs w:val="24"/>
              </w:rPr>
              <w:t>15.60%</w:t>
            </w:r>
          </w:p>
        </w:tc>
        <w:tc>
          <w:tcPr>
            <w:tcW w:w="950" w:type="dxa"/>
            <w:noWrap/>
          </w:tcPr>
          <w:p w14:paraId="52B9AED5">
            <w:pPr>
              <w:spacing w:after="0" w:line="360" w:lineRule="auto"/>
              <w:jc w:val="both"/>
              <w:rPr>
                <w:rFonts w:asciiTheme="majorBidi" w:hAnsiTheme="majorBidi" w:cstheme="majorBidi"/>
                <w:sz w:val="24"/>
                <w:szCs w:val="24"/>
              </w:rPr>
            </w:pPr>
            <w:r>
              <w:rPr>
                <w:rFonts w:asciiTheme="majorBidi" w:hAnsiTheme="majorBidi" w:cstheme="majorBidi"/>
                <w:sz w:val="24"/>
                <w:szCs w:val="24"/>
              </w:rPr>
              <w:t>56.30%</w:t>
            </w:r>
          </w:p>
        </w:tc>
        <w:tc>
          <w:tcPr>
            <w:tcW w:w="950" w:type="dxa"/>
            <w:noWrap/>
          </w:tcPr>
          <w:p w14:paraId="3874F1DA">
            <w:pPr>
              <w:spacing w:after="0" w:line="360" w:lineRule="auto"/>
              <w:jc w:val="both"/>
              <w:rPr>
                <w:rFonts w:asciiTheme="majorBidi" w:hAnsiTheme="majorBidi" w:cstheme="majorBidi"/>
                <w:sz w:val="24"/>
                <w:szCs w:val="24"/>
              </w:rPr>
            </w:pPr>
            <w:r>
              <w:rPr>
                <w:rFonts w:asciiTheme="majorBidi" w:hAnsiTheme="majorBidi" w:cstheme="majorBidi"/>
                <w:sz w:val="24"/>
                <w:szCs w:val="24"/>
              </w:rPr>
              <w:t>19.50%</w:t>
            </w:r>
          </w:p>
        </w:tc>
      </w:tr>
      <w:tr w14:paraId="5CAFCD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noWrap/>
          </w:tcPr>
          <w:p w14:paraId="358C6F83">
            <w:pPr>
              <w:spacing w:after="0" w:line="360" w:lineRule="auto"/>
              <w:rPr>
                <w:rFonts w:asciiTheme="majorBidi" w:hAnsiTheme="majorBidi" w:cstheme="majorBidi"/>
                <w:sz w:val="24"/>
                <w:szCs w:val="24"/>
              </w:rPr>
            </w:pPr>
            <w:r>
              <w:rPr>
                <w:rFonts w:asciiTheme="majorBidi" w:hAnsiTheme="majorBidi" w:cstheme="majorBidi"/>
                <w:sz w:val="24"/>
                <w:szCs w:val="24"/>
              </w:rPr>
              <w:t>Time constraints can result in rushed teaching and learning processes.</w:t>
            </w:r>
          </w:p>
        </w:tc>
        <w:tc>
          <w:tcPr>
            <w:tcW w:w="660" w:type="dxa"/>
          </w:tcPr>
          <w:p w14:paraId="67235FD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noWrap/>
          </w:tcPr>
          <w:p w14:paraId="679EBA59">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31" w:type="dxa"/>
            <w:noWrap/>
          </w:tcPr>
          <w:p w14:paraId="4F5FC64B">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50" w:type="dxa"/>
            <w:noWrap/>
          </w:tcPr>
          <w:p w14:paraId="2846FC8C">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c>
          <w:tcPr>
            <w:tcW w:w="950" w:type="dxa"/>
            <w:noWrap/>
          </w:tcPr>
          <w:p w14:paraId="46533D68">
            <w:pPr>
              <w:spacing w:after="0" w:line="360" w:lineRule="auto"/>
              <w:jc w:val="both"/>
              <w:rPr>
                <w:rFonts w:asciiTheme="majorBidi" w:hAnsiTheme="majorBidi" w:cstheme="majorBidi"/>
                <w:sz w:val="24"/>
                <w:szCs w:val="24"/>
              </w:rPr>
            </w:pPr>
            <w:r>
              <w:rPr>
                <w:rFonts w:asciiTheme="majorBidi" w:hAnsiTheme="majorBidi" w:cstheme="majorBidi"/>
                <w:sz w:val="24"/>
                <w:szCs w:val="24"/>
              </w:rPr>
              <w:t>54.70%</w:t>
            </w:r>
          </w:p>
        </w:tc>
        <w:tc>
          <w:tcPr>
            <w:tcW w:w="950" w:type="dxa"/>
            <w:noWrap/>
          </w:tcPr>
          <w:p w14:paraId="0267A19E">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r>
      <w:tr w14:paraId="686CDC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noWrap/>
          </w:tcPr>
          <w:p w14:paraId="5F7B6798">
            <w:pPr>
              <w:spacing w:after="0" w:line="360" w:lineRule="auto"/>
              <w:rPr>
                <w:rFonts w:asciiTheme="majorBidi" w:hAnsiTheme="majorBidi" w:cstheme="majorBidi"/>
                <w:sz w:val="24"/>
                <w:szCs w:val="24"/>
              </w:rPr>
            </w:pPr>
            <w:r>
              <w:rPr>
                <w:rFonts w:asciiTheme="majorBidi" w:hAnsiTheme="majorBidi" w:cstheme="majorBidi"/>
                <w:sz w:val="24"/>
                <w:szCs w:val="24"/>
              </w:rPr>
              <w:t>Students have a strong foundational knowledge of the subject while being exposed to a wide range of topics.</w:t>
            </w:r>
          </w:p>
        </w:tc>
        <w:tc>
          <w:tcPr>
            <w:tcW w:w="660" w:type="dxa"/>
          </w:tcPr>
          <w:p w14:paraId="2327434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noWrap/>
          </w:tcPr>
          <w:p w14:paraId="1C421E0B">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31" w:type="dxa"/>
            <w:noWrap/>
          </w:tcPr>
          <w:p w14:paraId="2F874E16">
            <w:pPr>
              <w:spacing w:after="0" w:line="360" w:lineRule="auto"/>
              <w:jc w:val="both"/>
              <w:rPr>
                <w:rFonts w:asciiTheme="majorBidi" w:hAnsiTheme="majorBidi" w:cstheme="majorBidi"/>
                <w:sz w:val="24"/>
                <w:szCs w:val="24"/>
              </w:rPr>
            </w:pPr>
            <w:r>
              <w:rPr>
                <w:rFonts w:asciiTheme="majorBidi" w:hAnsiTheme="majorBidi" w:cstheme="majorBidi"/>
                <w:sz w:val="24"/>
                <w:szCs w:val="24"/>
              </w:rPr>
              <w:t>3.10%</w:t>
            </w:r>
          </w:p>
        </w:tc>
        <w:tc>
          <w:tcPr>
            <w:tcW w:w="950" w:type="dxa"/>
            <w:noWrap/>
          </w:tcPr>
          <w:p w14:paraId="74CB5D68">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950" w:type="dxa"/>
            <w:noWrap/>
          </w:tcPr>
          <w:p w14:paraId="38CB608F">
            <w:pPr>
              <w:spacing w:after="0" w:line="360" w:lineRule="auto"/>
              <w:jc w:val="both"/>
              <w:rPr>
                <w:rFonts w:asciiTheme="majorBidi" w:hAnsiTheme="majorBidi" w:cstheme="majorBidi"/>
                <w:sz w:val="24"/>
                <w:szCs w:val="24"/>
              </w:rPr>
            </w:pPr>
            <w:r>
              <w:rPr>
                <w:rFonts w:asciiTheme="majorBidi" w:hAnsiTheme="majorBidi" w:cstheme="majorBidi"/>
                <w:sz w:val="24"/>
                <w:szCs w:val="24"/>
              </w:rPr>
              <w:t>64.10%</w:t>
            </w:r>
          </w:p>
        </w:tc>
        <w:tc>
          <w:tcPr>
            <w:tcW w:w="950" w:type="dxa"/>
            <w:noWrap/>
          </w:tcPr>
          <w:p w14:paraId="6D441880">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r>
    </w:tbl>
    <w:p w14:paraId="33518AEE">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2B9A03B">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presented table sheds light on various aspects related to syllabus coverage and its impact on students within secondary schools in Garissa Township Sub County, Kenya. These statements delve into the consequences of curriculum overload, the pressure to complete syllabus, time constraints, and students' foundational knowledge of subjects. </w:t>
      </w:r>
      <w:r>
        <w:rPr>
          <w:rFonts w:asciiTheme="majorBidi" w:hAnsiTheme="majorBidi" w:cstheme="majorBidi"/>
          <w:color w:val="000000"/>
          <w:sz w:val="24"/>
          <w:szCs w:val="24"/>
        </w:rPr>
        <w:t xml:space="preserve">Objective five of this study </w:t>
      </w:r>
      <w:r>
        <w:rPr>
          <w:rFonts w:asciiTheme="majorBidi" w:hAnsiTheme="majorBidi" w:cstheme="majorBidi"/>
          <w:sz w:val="24"/>
          <w:szCs w:val="24"/>
        </w:rPr>
        <w:t>was aimed to determine how syllabus coverage relates to academic integrity and examination malpractices in secondary schools in Garissa Township Sub County and it was found that there is positive relationship between syllabus coverage and to examination. Questionnaire items 20 - 23 was used to test.</w:t>
      </w:r>
      <w:r>
        <w:rPr>
          <w:rFonts w:asciiTheme="majorBidi" w:hAnsiTheme="majorBidi" w:cstheme="majorBidi"/>
          <w:b/>
          <w:bCs/>
          <w:sz w:val="24"/>
          <w:szCs w:val="24"/>
        </w:rPr>
        <w:t xml:space="preserve"> </w:t>
      </w:r>
    </w:p>
    <w:p w14:paraId="37EDC774">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Majority of respondents on questionnaire items 20 agree or strongly agree with 44.50% agreeing and 37.50% strongly agreeing that curriculum overload, a situation where schools attempt to cover an excessive amount of content within a limited time frame, can indeed lead to stress and anxiety among students. This overload can have significant impacts on students' mental health, academic performance, and overall well-being (Aristovnik et al., 2020). Schools often feel compelled to include a large amount of content in their curricula due to national education policies and standardized testing requirements. This can create a sense of urgency and lead to overcrowded lesson plans. Excessive curriculum content can significantly impact students' stress and anxiety levels. Students exposed to curriculum overload experienced higher levels of stress, reduced academic performance, and increased anxiety (Johnson et al., 2019). This stress can lead to negative outcomes such as burnout and a decline in overall well-being. </w:t>
      </w:r>
    </w:p>
    <w:p w14:paraId="332400E8">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Curriculum overload can also affect academic performance. When schools attempt to cover excessive content, students may struggle to keep up, resulting in lower retention rates and reduced comprehension. Rogers et al. (2021) suggest that schools should focus on essential content, allowing students to explore topics in depth rather than breadth. Additionally, providing support services such as counseling and stress management programs can help students cope with the demands of a rigorous curriculum.</w:t>
      </w:r>
    </w:p>
    <w:p w14:paraId="5F7DE903">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Likewise, significant proportion of respondents on questionnaire items 21 agree or strongly agree where 56.30% agree and 19.50% strongly agree that the pressure to complete the syllabus can create an environment where students may be more likely to engage in unethical practices during</w:t>
      </w:r>
      <w:r>
        <w:rPr>
          <w:rFonts w:asciiTheme="majorBidi" w:hAnsiTheme="majorBidi" w:cstheme="majorBidi"/>
          <w:b/>
          <w:bCs/>
        </w:rPr>
        <w:t xml:space="preserve"> </w:t>
      </w:r>
      <w:r>
        <w:rPr>
          <w:rFonts w:asciiTheme="majorBidi" w:hAnsiTheme="majorBidi" w:cstheme="majorBidi"/>
        </w:rPr>
        <w:t>examinations</w:t>
      </w:r>
      <w:r>
        <w:rPr>
          <w:rFonts w:asciiTheme="majorBidi" w:hAnsiTheme="majorBidi" w:cstheme="majorBidi"/>
          <w:b/>
          <w:bCs/>
        </w:rPr>
        <w:t>.</w:t>
      </w:r>
      <w:r>
        <w:rPr>
          <w:rFonts w:asciiTheme="majorBidi" w:hAnsiTheme="majorBidi" w:cstheme="majorBidi"/>
        </w:rPr>
        <w:t xml:space="preserve"> The pressure to complete the syllabus within a limited timeframe can contribute to an environment where students may be more likely to engage in unethical practices during examinations. This pressure can have several effects on both teachers and students, potentially leading to increased stress, reduced focus on deep learning, and an increased tendency for academic dishonesty</w:t>
      </w:r>
      <w:r>
        <w:rPr>
          <w:rFonts w:asciiTheme="majorBidi" w:hAnsiTheme="majorBidi" w:cstheme="majorBidi"/>
          <w:shd w:val="clear" w:color="auto" w:fill="FFFFFF"/>
        </w:rPr>
        <w:t xml:space="preserve"> (</w:t>
      </w:r>
      <w:r>
        <w:rPr>
          <w:rFonts w:asciiTheme="majorBidi" w:hAnsiTheme="majorBidi" w:cstheme="majorBidi"/>
        </w:rPr>
        <w:t xml:space="preserve">(Ndichu, 2013). The pressure to complete the syllabus within a limited timeframe can significantly impact exam integrity. The pressure to complete the syllabus often stems from educational mandates, standardized testing, and curriculum requirements. </w:t>
      </w:r>
    </w:p>
    <w:p w14:paraId="4691CE64">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The pressure to complete the syllabus can influence student behavior, leading to unethical practices during examinations. Students who experience high levels of academic stress due to syllabus completion deadlines are more likely to cheat during exams to avoid falling behind (Johnson et al., 2020). This correlation suggests that reducing this pressure can contribute to exam integrity. Several factors can exacerbate the pressure to complete the syllabus, increasing the likelihood of unethical practices during examinations. When teachers are rushed to cover the syllabus, they may not have time to address students' questions or reinforce academic integrity. </w:t>
      </w:r>
    </w:p>
    <w:p w14:paraId="2B3B6A15">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54.70% agree while 21.10% strongly agree of the respondents of questionnaire items 22 that, Time constraints in education can lead to rushed teaching and learning processes, which can have a range of negative effects on both teachers and students. The perception that there is no enough time to cover the syllabus thoroughly can contribute to academic dishonesty (JISC, 2019). Time constraints in education are often driven by curriculum requirements, standardized testing, and administrative pressures. Schools often have strict schedules to complete the syllabus within a given academic year, leading to compressed teaching timelines. This can cause teachers to rush through the material, impacting the quality of education. </w:t>
      </w:r>
    </w:p>
    <w:p w14:paraId="58563ED5">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Rushed teaching due to time constraints can negatively affect student learning. Johnson et al. (2020) found that when teachers are forced to cover large amounts of content in a limited timeframe, students may struggle to grasp key concepts, leading to reduced comprehension and retention. Smith and White (2021) observed that when teachers are rushed, they often resort to lecture-based teaching, reducing opportunities for interactive and hands-on learning. This can limit students' engagement and hinder their ability to apply knowledge in real-world scenarios. Educational institutions can adopt various strategies to address time constraints and reduce the negative impact on teaching and learning processes.</w:t>
      </w:r>
    </w:p>
    <w:p w14:paraId="7433387E">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Similarly, 64.10% of the respondent on questionnaire items 23 agree and 21.10% strongly agree that Students with a strong foundational knowledge of a subject, who are also exposed to a wide range of topics, are likely to exhibit several key traits and advantages. This approach to learning balances depth with breadth, fostering a comprehensive understanding of core concepts while encouraging curiosity and adaptability (</w:t>
      </w:r>
      <w:r>
        <w:rPr>
          <w:rFonts w:asciiTheme="majorBidi" w:hAnsiTheme="majorBidi" w:cstheme="majorBidi"/>
          <w:shd w:val="clear" w:color="auto" w:fill="FFFFFF"/>
        </w:rPr>
        <w:t>Mulongo,</w:t>
      </w:r>
      <w:r>
        <w:rPr>
          <w:rFonts w:asciiTheme="majorBidi" w:hAnsiTheme="majorBidi" w:cstheme="majorBidi"/>
        </w:rPr>
        <w:t xml:space="preserve"> 2020). Exposing students to a wide range of topics can broaden their horizons and foster critical thinking. Johnson et al. (2019) found that when students are introduced to diverse subjects, they develop a more comprehensive understanding of the world and can make connections between different fields of study. This approach encourages curiosity and lifelong learning.  Balancing depth and breadth in education can be challenging for schools and teachers. Curriculum constraints and standardized testing requirements can limit the flexibility to explore a wide range of topics while maintaining a strong foundational knowledge (Rogers &amp; White, 2020). This can lead to a focus on exam-oriented teaching, potentially reducing opportunities for creative and interdisciplinary learning. Educational institutions can implement various strategies to achieve a balanced curriculum that emphasizes both foundational knowledge and a wide range of topics. Providing teachers with curriculum flexibility and encouraging interdisciplinary approaches to teaching and additionally, incorporating project-based learning and experiential education can help students apply foundational knowledge across different subjects (Green &amp; Wilson, 2021). This examines how students can benefit from a strong foundational knowledge of core subjects while being exposed to a wide range of topics. It discusses the benefits, challenges, and strategies to achieve a balanced curriculum that promotes comprehensive learning and academic success. </w:t>
      </w:r>
    </w:p>
    <w:p w14:paraId="54799A33">
      <w:pPr>
        <w:pStyle w:val="2"/>
        <w:spacing w:before="0" w:line="480" w:lineRule="auto"/>
        <w:rPr>
          <w:rFonts w:asciiTheme="majorBidi" w:hAnsiTheme="majorBidi"/>
          <w:b w:val="0"/>
          <w:bCs w:val="0"/>
          <w:color w:val="auto"/>
          <w:sz w:val="24"/>
          <w:szCs w:val="24"/>
        </w:rPr>
      </w:pPr>
      <w:bookmarkStart w:id="252" w:name="_Toc194769958"/>
      <w:bookmarkStart w:id="253" w:name="_Toc194822678"/>
      <w:r>
        <w:rPr>
          <w:rFonts w:asciiTheme="majorBidi" w:hAnsiTheme="majorBidi"/>
          <w:b w:val="0"/>
          <w:bCs w:val="0"/>
          <w:color w:val="auto"/>
          <w:sz w:val="24"/>
          <w:szCs w:val="24"/>
        </w:rPr>
        <w:t>Table 18:</w:t>
      </w:r>
      <w:bookmarkEnd w:id="252"/>
      <w:bookmarkEnd w:id="253"/>
    </w:p>
    <w:p w14:paraId="581D807A">
      <w:pPr>
        <w:pStyle w:val="2"/>
        <w:spacing w:before="0" w:line="480" w:lineRule="auto"/>
        <w:rPr>
          <w:rFonts w:asciiTheme="majorBidi" w:hAnsiTheme="majorBidi"/>
          <w:b w:val="0"/>
          <w:bCs w:val="0"/>
          <w:i/>
          <w:iCs/>
          <w:color w:val="auto"/>
          <w:sz w:val="24"/>
          <w:szCs w:val="24"/>
        </w:rPr>
      </w:pPr>
      <w:bookmarkStart w:id="254" w:name="_Toc194769959"/>
      <w:bookmarkStart w:id="255" w:name="_Toc194822679"/>
      <w:r>
        <w:rPr>
          <w:rFonts w:asciiTheme="majorBidi" w:hAnsiTheme="majorBidi"/>
          <w:b w:val="0"/>
          <w:bCs w:val="0"/>
          <w:i/>
          <w:iCs/>
          <w:color w:val="auto"/>
          <w:sz w:val="24"/>
          <w:szCs w:val="24"/>
        </w:rPr>
        <w:t>Mean and standard deviation of syllabus coverage items</w:t>
      </w:r>
      <w:bookmarkEnd w:id="254"/>
      <w:bookmarkEnd w:id="255"/>
    </w:p>
    <w:tbl>
      <w:tblPr>
        <w:tblStyle w:val="20"/>
        <w:tblW w:w="9327"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66"/>
        <w:gridCol w:w="860"/>
        <w:gridCol w:w="1173"/>
        <w:gridCol w:w="1728"/>
      </w:tblGrid>
      <w:tr w14:paraId="1AE834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tcBorders>
              <w:top w:val="single" w:color="auto" w:sz="4" w:space="0"/>
              <w:bottom w:val="single" w:color="auto" w:sz="4" w:space="0"/>
            </w:tcBorders>
            <w:noWrap/>
          </w:tcPr>
          <w:p w14:paraId="7ED69C03">
            <w:pPr>
              <w:spacing w:after="0" w:line="360" w:lineRule="auto"/>
              <w:rPr>
                <w:rFonts w:asciiTheme="majorBidi" w:hAnsiTheme="majorBidi" w:cstheme="majorBidi"/>
                <w:b/>
                <w:bCs/>
                <w:sz w:val="24"/>
                <w:szCs w:val="24"/>
              </w:rPr>
            </w:pPr>
          </w:p>
        </w:tc>
        <w:tc>
          <w:tcPr>
            <w:tcW w:w="860" w:type="dxa"/>
            <w:tcBorders>
              <w:top w:val="single" w:color="auto" w:sz="4" w:space="0"/>
              <w:bottom w:val="single" w:color="auto" w:sz="4" w:space="0"/>
            </w:tcBorders>
          </w:tcPr>
          <w:p w14:paraId="0A2C1B2D">
            <w:pPr>
              <w:spacing w:after="0" w:line="360" w:lineRule="auto"/>
              <w:jc w:val="both"/>
              <w:rPr>
                <w:rFonts w:asciiTheme="majorBidi" w:hAnsiTheme="majorBidi" w:cstheme="majorBidi"/>
                <w:b/>
                <w:sz w:val="24"/>
                <w:szCs w:val="24"/>
              </w:rPr>
            </w:pPr>
            <w:r>
              <w:rPr>
                <w:rFonts w:asciiTheme="majorBidi" w:hAnsiTheme="majorBidi" w:cstheme="majorBidi"/>
                <w:b/>
                <w:sz w:val="24"/>
                <w:szCs w:val="24"/>
              </w:rPr>
              <w:t>N</w:t>
            </w:r>
          </w:p>
        </w:tc>
        <w:tc>
          <w:tcPr>
            <w:tcW w:w="1173" w:type="dxa"/>
            <w:tcBorders>
              <w:top w:val="single" w:color="auto" w:sz="4" w:space="0"/>
              <w:bottom w:val="single" w:color="auto" w:sz="4" w:space="0"/>
            </w:tcBorders>
            <w:noWrap/>
          </w:tcPr>
          <w:p w14:paraId="591B3908">
            <w:pPr>
              <w:spacing w:after="0" w:line="360" w:lineRule="auto"/>
              <w:jc w:val="both"/>
              <w:rPr>
                <w:rFonts w:asciiTheme="majorBidi" w:hAnsiTheme="majorBidi" w:cstheme="majorBidi"/>
                <w:b/>
                <w:sz w:val="24"/>
                <w:szCs w:val="24"/>
              </w:rPr>
            </w:pPr>
            <w:r>
              <w:rPr>
                <w:rFonts w:asciiTheme="majorBidi" w:hAnsiTheme="majorBidi" w:cstheme="majorBidi"/>
                <w:b/>
                <w:sz w:val="24"/>
                <w:szCs w:val="24"/>
              </w:rPr>
              <w:t>Mean</w:t>
            </w:r>
          </w:p>
        </w:tc>
        <w:tc>
          <w:tcPr>
            <w:tcW w:w="1728" w:type="dxa"/>
            <w:tcBorders>
              <w:top w:val="single" w:color="auto" w:sz="4" w:space="0"/>
              <w:bottom w:val="single" w:color="auto" w:sz="4" w:space="0"/>
            </w:tcBorders>
            <w:noWrap/>
          </w:tcPr>
          <w:p w14:paraId="0467BDC7">
            <w:pPr>
              <w:spacing w:after="0" w:line="360" w:lineRule="auto"/>
              <w:jc w:val="both"/>
              <w:rPr>
                <w:rFonts w:asciiTheme="majorBidi" w:hAnsiTheme="majorBidi" w:cstheme="majorBidi"/>
                <w:b/>
                <w:sz w:val="24"/>
                <w:szCs w:val="24"/>
              </w:rPr>
            </w:pPr>
            <w:r>
              <w:rPr>
                <w:rFonts w:asciiTheme="majorBidi" w:hAnsiTheme="majorBidi" w:cstheme="majorBidi"/>
                <w:b/>
                <w:sz w:val="24"/>
                <w:szCs w:val="24"/>
              </w:rPr>
              <w:t>Std. Deviation</w:t>
            </w:r>
          </w:p>
        </w:tc>
      </w:tr>
      <w:tr w14:paraId="48551B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tcBorders>
              <w:top w:val="single" w:color="auto" w:sz="4" w:space="0"/>
            </w:tcBorders>
            <w:noWrap/>
          </w:tcPr>
          <w:p w14:paraId="5942C2A2">
            <w:pPr>
              <w:spacing w:after="0" w:line="360" w:lineRule="auto"/>
              <w:rPr>
                <w:rFonts w:asciiTheme="majorBidi" w:hAnsiTheme="majorBidi" w:cstheme="majorBidi"/>
                <w:sz w:val="24"/>
                <w:szCs w:val="24"/>
              </w:rPr>
            </w:pPr>
            <w:r>
              <w:rPr>
                <w:rFonts w:asciiTheme="majorBidi" w:hAnsiTheme="majorBidi" w:cstheme="majorBidi"/>
                <w:sz w:val="24"/>
                <w:szCs w:val="24"/>
              </w:rPr>
              <w:t>Curriculum overload, where schools attempt to cover an excessive amount of content within a limited timeframe, can lead to stress and anxiety among students.</w:t>
            </w:r>
          </w:p>
        </w:tc>
        <w:tc>
          <w:tcPr>
            <w:tcW w:w="860" w:type="dxa"/>
            <w:tcBorders>
              <w:top w:val="single" w:color="auto" w:sz="4" w:space="0"/>
            </w:tcBorders>
          </w:tcPr>
          <w:p w14:paraId="7131A19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tcBorders>
              <w:top w:val="single" w:color="auto" w:sz="4" w:space="0"/>
            </w:tcBorders>
            <w:noWrap/>
          </w:tcPr>
          <w:p w14:paraId="1810BE14">
            <w:pPr>
              <w:spacing w:after="0" w:line="360" w:lineRule="auto"/>
              <w:jc w:val="both"/>
              <w:rPr>
                <w:rFonts w:asciiTheme="majorBidi" w:hAnsiTheme="majorBidi" w:cstheme="majorBidi"/>
                <w:sz w:val="24"/>
                <w:szCs w:val="24"/>
              </w:rPr>
            </w:pPr>
            <w:r>
              <w:rPr>
                <w:rFonts w:asciiTheme="majorBidi" w:hAnsiTheme="majorBidi" w:cstheme="majorBidi"/>
                <w:sz w:val="24"/>
                <w:szCs w:val="24"/>
              </w:rPr>
              <w:t>4.15</w:t>
            </w:r>
          </w:p>
        </w:tc>
        <w:tc>
          <w:tcPr>
            <w:tcW w:w="1728" w:type="dxa"/>
            <w:tcBorders>
              <w:top w:val="single" w:color="auto" w:sz="4" w:space="0"/>
            </w:tcBorders>
            <w:noWrap/>
          </w:tcPr>
          <w:p w14:paraId="5558BCF0">
            <w:pPr>
              <w:spacing w:after="0" w:line="360" w:lineRule="auto"/>
              <w:jc w:val="both"/>
              <w:rPr>
                <w:rFonts w:asciiTheme="majorBidi" w:hAnsiTheme="majorBidi" w:cstheme="majorBidi"/>
                <w:sz w:val="24"/>
                <w:szCs w:val="24"/>
              </w:rPr>
            </w:pPr>
            <w:r>
              <w:rPr>
                <w:rFonts w:asciiTheme="majorBidi" w:hAnsiTheme="majorBidi" w:cstheme="majorBidi"/>
                <w:sz w:val="24"/>
                <w:szCs w:val="24"/>
              </w:rPr>
              <w:t>0.824</w:t>
            </w:r>
          </w:p>
        </w:tc>
      </w:tr>
      <w:tr w14:paraId="66D77B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noWrap/>
          </w:tcPr>
          <w:p w14:paraId="040B09EF">
            <w:pPr>
              <w:spacing w:after="0" w:line="360" w:lineRule="auto"/>
              <w:rPr>
                <w:rFonts w:asciiTheme="majorBidi" w:hAnsiTheme="majorBidi" w:cstheme="majorBidi"/>
                <w:sz w:val="24"/>
                <w:szCs w:val="24"/>
              </w:rPr>
            </w:pPr>
            <w:r>
              <w:rPr>
                <w:rFonts w:asciiTheme="majorBidi" w:hAnsiTheme="majorBidi" w:cstheme="majorBidi"/>
                <w:sz w:val="24"/>
                <w:szCs w:val="24"/>
              </w:rPr>
              <w:t>The pressure to complete the syllabus can create an environment where students may be more likely to engage in unethical practices during examinations.</w:t>
            </w:r>
          </w:p>
        </w:tc>
        <w:tc>
          <w:tcPr>
            <w:tcW w:w="860" w:type="dxa"/>
          </w:tcPr>
          <w:p w14:paraId="3688D2AB">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noWrap/>
          </w:tcPr>
          <w:p w14:paraId="3A06B07B">
            <w:pPr>
              <w:spacing w:after="0" w:line="360" w:lineRule="auto"/>
              <w:jc w:val="both"/>
              <w:rPr>
                <w:rFonts w:asciiTheme="majorBidi" w:hAnsiTheme="majorBidi" w:cstheme="majorBidi"/>
                <w:sz w:val="24"/>
                <w:szCs w:val="24"/>
              </w:rPr>
            </w:pPr>
            <w:r>
              <w:rPr>
                <w:rFonts w:asciiTheme="majorBidi" w:hAnsiTheme="majorBidi" w:cstheme="majorBidi"/>
                <w:sz w:val="24"/>
                <w:szCs w:val="24"/>
              </w:rPr>
              <w:t>3.87</w:t>
            </w:r>
          </w:p>
        </w:tc>
        <w:tc>
          <w:tcPr>
            <w:tcW w:w="1728" w:type="dxa"/>
            <w:noWrap/>
          </w:tcPr>
          <w:p w14:paraId="2DAD27AA">
            <w:pPr>
              <w:spacing w:after="0" w:line="360" w:lineRule="auto"/>
              <w:jc w:val="both"/>
              <w:rPr>
                <w:rFonts w:asciiTheme="majorBidi" w:hAnsiTheme="majorBidi" w:cstheme="majorBidi"/>
                <w:sz w:val="24"/>
                <w:szCs w:val="24"/>
              </w:rPr>
            </w:pPr>
            <w:r>
              <w:rPr>
                <w:rFonts w:asciiTheme="majorBidi" w:hAnsiTheme="majorBidi" w:cstheme="majorBidi"/>
                <w:sz w:val="24"/>
                <w:szCs w:val="24"/>
              </w:rPr>
              <w:t>0.826</w:t>
            </w:r>
          </w:p>
        </w:tc>
      </w:tr>
      <w:tr w14:paraId="4651F4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noWrap/>
          </w:tcPr>
          <w:p w14:paraId="73A7CAAF">
            <w:pPr>
              <w:spacing w:after="0" w:line="360" w:lineRule="auto"/>
              <w:rPr>
                <w:rFonts w:asciiTheme="majorBidi" w:hAnsiTheme="majorBidi" w:cstheme="majorBidi"/>
                <w:sz w:val="24"/>
                <w:szCs w:val="24"/>
              </w:rPr>
            </w:pPr>
            <w:r>
              <w:rPr>
                <w:rFonts w:asciiTheme="majorBidi" w:hAnsiTheme="majorBidi" w:cstheme="majorBidi"/>
                <w:sz w:val="24"/>
                <w:szCs w:val="24"/>
              </w:rPr>
              <w:t>Time constraints can result in rushed teaching and learning processes.</w:t>
            </w:r>
          </w:p>
        </w:tc>
        <w:tc>
          <w:tcPr>
            <w:tcW w:w="860" w:type="dxa"/>
          </w:tcPr>
          <w:p w14:paraId="07178899">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noWrap/>
          </w:tcPr>
          <w:p w14:paraId="2CE01426">
            <w:pPr>
              <w:spacing w:after="0" w:line="360" w:lineRule="auto"/>
              <w:jc w:val="both"/>
              <w:rPr>
                <w:rFonts w:asciiTheme="majorBidi" w:hAnsiTheme="majorBidi" w:cstheme="majorBidi"/>
                <w:sz w:val="24"/>
                <w:szCs w:val="24"/>
              </w:rPr>
            </w:pPr>
            <w:r>
              <w:rPr>
                <w:rFonts w:asciiTheme="majorBidi" w:hAnsiTheme="majorBidi" w:cstheme="majorBidi"/>
                <w:sz w:val="24"/>
                <w:szCs w:val="24"/>
              </w:rPr>
              <w:t>3.93</w:t>
            </w:r>
          </w:p>
        </w:tc>
        <w:tc>
          <w:tcPr>
            <w:tcW w:w="1728" w:type="dxa"/>
            <w:noWrap/>
          </w:tcPr>
          <w:p w14:paraId="2B71C2FB">
            <w:pPr>
              <w:spacing w:after="0" w:line="360" w:lineRule="auto"/>
              <w:jc w:val="both"/>
              <w:rPr>
                <w:rFonts w:asciiTheme="majorBidi" w:hAnsiTheme="majorBidi" w:cstheme="majorBidi"/>
                <w:sz w:val="24"/>
                <w:szCs w:val="24"/>
              </w:rPr>
            </w:pPr>
            <w:r>
              <w:rPr>
                <w:rFonts w:asciiTheme="majorBidi" w:hAnsiTheme="majorBidi" w:cstheme="majorBidi"/>
                <w:sz w:val="24"/>
                <w:szCs w:val="24"/>
              </w:rPr>
              <w:t>0.765</w:t>
            </w:r>
          </w:p>
        </w:tc>
      </w:tr>
      <w:tr w14:paraId="7EAC85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noWrap/>
          </w:tcPr>
          <w:p w14:paraId="511C7EE7">
            <w:pPr>
              <w:spacing w:after="0" w:line="360" w:lineRule="auto"/>
              <w:rPr>
                <w:rFonts w:asciiTheme="majorBidi" w:hAnsiTheme="majorBidi" w:cstheme="majorBidi"/>
                <w:sz w:val="24"/>
                <w:szCs w:val="24"/>
              </w:rPr>
            </w:pPr>
            <w:r>
              <w:rPr>
                <w:rFonts w:asciiTheme="majorBidi" w:hAnsiTheme="majorBidi" w:cstheme="majorBidi"/>
                <w:sz w:val="24"/>
                <w:szCs w:val="24"/>
              </w:rPr>
              <w:t>Students have a strong foundational knowledge of the subject while being exposed to a wide range of topics.</w:t>
            </w:r>
          </w:p>
        </w:tc>
        <w:tc>
          <w:tcPr>
            <w:tcW w:w="860" w:type="dxa"/>
          </w:tcPr>
          <w:p w14:paraId="4D3D3F8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noWrap/>
          </w:tcPr>
          <w:p w14:paraId="41BC0A0B">
            <w:pPr>
              <w:spacing w:after="0" w:line="360" w:lineRule="auto"/>
              <w:jc w:val="both"/>
              <w:rPr>
                <w:rFonts w:asciiTheme="majorBidi" w:hAnsiTheme="majorBidi" w:cstheme="majorBidi"/>
                <w:sz w:val="24"/>
                <w:szCs w:val="24"/>
              </w:rPr>
            </w:pPr>
            <w:r>
              <w:rPr>
                <w:rFonts w:asciiTheme="majorBidi" w:hAnsiTheme="majorBidi" w:cstheme="majorBidi"/>
                <w:sz w:val="24"/>
                <w:szCs w:val="24"/>
              </w:rPr>
              <w:t>4.03</w:t>
            </w:r>
          </w:p>
        </w:tc>
        <w:tc>
          <w:tcPr>
            <w:tcW w:w="1728" w:type="dxa"/>
            <w:noWrap/>
          </w:tcPr>
          <w:p w14:paraId="65DA3191">
            <w:pPr>
              <w:spacing w:after="0" w:line="360" w:lineRule="auto"/>
              <w:jc w:val="both"/>
              <w:rPr>
                <w:rFonts w:asciiTheme="majorBidi" w:hAnsiTheme="majorBidi" w:cstheme="majorBidi"/>
                <w:sz w:val="24"/>
                <w:szCs w:val="24"/>
              </w:rPr>
            </w:pPr>
            <w:r>
              <w:rPr>
                <w:rFonts w:asciiTheme="majorBidi" w:hAnsiTheme="majorBidi" w:cstheme="majorBidi"/>
                <w:sz w:val="24"/>
                <w:szCs w:val="24"/>
              </w:rPr>
              <w:t>0.675</w:t>
            </w:r>
          </w:p>
        </w:tc>
      </w:tr>
    </w:tbl>
    <w:p w14:paraId="3B80F8F0">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30BA93C5">
      <w:pPr>
        <w:spacing w:after="0" w:line="480" w:lineRule="auto"/>
        <w:jc w:val="both"/>
        <w:rPr>
          <w:rFonts w:asciiTheme="majorBidi" w:hAnsiTheme="majorBidi" w:cstheme="majorBidi"/>
          <w:sz w:val="24"/>
          <w:szCs w:val="24"/>
        </w:rPr>
      </w:pPr>
      <w:r>
        <w:rPr>
          <w:rFonts w:asciiTheme="majorBidi" w:hAnsiTheme="majorBidi" w:cstheme="majorBidi"/>
          <w:sz w:val="24"/>
          <w:szCs w:val="24"/>
        </w:rPr>
        <w:t>Table 18 presents mean scores and standard deviations for Likert scale items related to various factors influencing examination integrity, particularly focusing on curriculum-related aspects. The statement regarding curriculum overload, where schools attempt to cover an excessive amount of content within a limited timeframe, received a high mean score of 4.15, with a standard deviation of 0.824. This suggests strong agreement among respondents that curriculum overload can lead to stress and anxiety among students, potentially impacting their ability to maintain integrity during examinations. Similarly, the pressure to complete the syllabus received a mean score of 3.87, with a standard deviation of 0.826. While slightly lower than the previous item, this indicates significant agreement among respondents that the pressure to cover the syllabus may create an environment conducive to unethical practices during examinations.</w:t>
      </w:r>
    </w:p>
    <w:p w14:paraId="00C3BC5F">
      <w:pPr>
        <w:spacing w:line="480" w:lineRule="auto"/>
        <w:jc w:val="both"/>
        <w:rPr>
          <w:rFonts w:asciiTheme="majorBidi" w:hAnsiTheme="majorBidi" w:cstheme="majorBidi"/>
          <w:sz w:val="24"/>
          <w:szCs w:val="24"/>
        </w:rPr>
      </w:pPr>
      <w:r>
        <w:rPr>
          <w:rFonts w:asciiTheme="majorBidi" w:hAnsiTheme="majorBidi" w:cstheme="majorBidi"/>
          <w:sz w:val="24"/>
          <w:szCs w:val="24"/>
        </w:rPr>
        <w:t>The statement regarding time constraints resulting in rushed teaching and learning processes yielded a mean score of 3.93, with a standard deviation of 0.765. This suggests that respondents generally agree that time constraints can impact the quality of teaching and learning, potentially affecting examination integrity. The statement suggesting that students have a strong foundational knowledge of the subject while being exposed to a wide range of topics received a mean score of 4.03, with a lower standard deviation of 0.675. This indicates relatively high agreement among respondents that students possess a strong foundational knowledge base, which may mitigate the negative effects of curriculum overload and time constraints on examination integrity.</w:t>
      </w:r>
    </w:p>
    <w:p w14:paraId="701E26C8">
      <w:pPr>
        <w:spacing w:after="0" w:line="480" w:lineRule="auto"/>
        <w:jc w:val="both"/>
        <w:rPr>
          <w:rFonts w:asciiTheme="majorBidi" w:hAnsiTheme="majorBidi" w:cstheme="majorBidi"/>
          <w:bCs/>
          <w:sz w:val="24"/>
          <w:szCs w:val="24"/>
        </w:rPr>
      </w:pPr>
      <w:r>
        <w:rPr>
          <w:rFonts w:asciiTheme="majorBidi" w:hAnsiTheme="majorBidi" w:cstheme="majorBidi"/>
          <w:bCs/>
          <w:sz w:val="24"/>
          <w:szCs w:val="24"/>
        </w:rPr>
        <w:t>Hypothesis five</w:t>
      </w:r>
    </w:p>
    <w:p w14:paraId="4F89F21D">
      <w:pPr>
        <w:pStyle w:val="17"/>
        <w:spacing w:before="0" w:beforeAutospacing="0" w:line="480" w:lineRule="auto"/>
        <w:jc w:val="both"/>
        <w:rPr>
          <w:rFonts w:asciiTheme="majorBidi" w:hAnsiTheme="majorBidi" w:cstheme="majorBidi"/>
        </w:rPr>
      </w:pPr>
      <w:bookmarkStart w:id="256" w:name="_Hlk165190564"/>
      <w:r>
        <w:rPr>
          <w:rFonts w:asciiTheme="majorBidi" w:hAnsiTheme="majorBidi" w:cstheme="majorBidi"/>
        </w:rPr>
        <w:t xml:space="preserve">The fifth hypothesis of the study stated that </w:t>
      </w:r>
      <w:r>
        <w:rPr>
          <w:rFonts w:asciiTheme="majorBidi" w:hAnsiTheme="majorBidi" w:cstheme="majorBidi"/>
          <w:i/>
          <w:iCs/>
        </w:rPr>
        <w:t xml:space="preserve">There is no significant relationship between syllabus coverage and academic integrity and examination malpractices in secondary schools in Garissa Township Sub County. </w:t>
      </w:r>
      <w:r>
        <w:rPr>
          <w:rFonts w:asciiTheme="majorBidi" w:hAnsiTheme="majorBidi" w:cstheme="majorBidi"/>
        </w:rPr>
        <w:t>Pearson ’s correlation coefficient and the associated p value were computed to test hypothesis five. Table 19 presents the results of the correlation analysis.</w:t>
      </w:r>
      <w:bookmarkEnd w:id="256"/>
    </w:p>
    <w:p w14:paraId="7A1A1ADF">
      <w:pPr>
        <w:pStyle w:val="2"/>
        <w:rPr>
          <w:rFonts w:asciiTheme="majorBidi" w:hAnsiTheme="majorBidi"/>
          <w:b w:val="0"/>
          <w:bCs w:val="0"/>
          <w:color w:val="auto"/>
          <w:sz w:val="24"/>
          <w:szCs w:val="24"/>
        </w:rPr>
      </w:pPr>
      <w:bookmarkStart w:id="257" w:name="_Toc194769960"/>
      <w:bookmarkStart w:id="258" w:name="_Toc194822680"/>
      <w:r>
        <w:rPr>
          <w:rFonts w:asciiTheme="majorBidi" w:hAnsiTheme="majorBidi"/>
          <w:b w:val="0"/>
          <w:bCs w:val="0"/>
          <w:color w:val="auto"/>
          <w:sz w:val="24"/>
          <w:szCs w:val="24"/>
        </w:rPr>
        <w:t>Table 19:</w:t>
      </w:r>
      <w:bookmarkEnd w:id="257"/>
      <w:bookmarkEnd w:id="258"/>
    </w:p>
    <w:p w14:paraId="5685E322">
      <w:pPr>
        <w:pStyle w:val="2"/>
        <w:spacing w:after="240"/>
        <w:rPr>
          <w:rFonts w:asciiTheme="majorBidi" w:hAnsiTheme="majorBidi"/>
          <w:b w:val="0"/>
          <w:bCs w:val="0"/>
          <w:i/>
          <w:iCs/>
          <w:color w:val="auto"/>
          <w:sz w:val="24"/>
          <w:szCs w:val="24"/>
        </w:rPr>
      </w:pPr>
      <w:bookmarkStart w:id="259" w:name="_Toc194769961"/>
      <w:bookmarkStart w:id="260" w:name="_Toc194822681"/>
      <w:r>
        <w:rPr>
          <w:rFonts w:asciiTheme="majorBidi" w:hAnsiTheme="majorBidi"/>
          <w:b w:val="0"/>
          <w:bCs w:val="0"/>
          <w:i/>
          <w:iCs/>
          <w:color w:val="auto"/>
          <w:sz w:val="24"/>
          <w:szCs w:val="24"/>
        </w:rPr>
        <w:t>Correlation analysis of syllabus coverage and Level of Exam Malpractices in KCSE</w:t>
      </w:r>
      <w:bookmarkEnd w:id="259"/>
      <w:bookmarkEnd w:id="260"/>
    </w:p>
    <w:tbl>
      <w:tblPr>
        <w:tblStyle w:val="20"/>
        <w:tblW w:w="918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2"/>
        <w:gridCol w:w="2235"/>
        <w:gridCol w:w="1592"/>
        <w:gridCol w:w="2551"/>
      </w:tblGrid>
      <w:tr w14:paraId="7CF079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tcBorders>
              <w:top w:val="single" w:color="auto" w:sz="4" w:space="0"/>
              <w:bottom w:val="single" w:color="auto" w:sz="4" w:space="0"/>
            </w:tcBorders>
            <w:noWrap/>
          </w:tcPr>
          <w:p w14:paraId="69676E95">
            <w:pPr>
              <w:spacing w:after="0" w:line="360" w:lineRule="auto"/>
              <w:rPr>
                <w:rFonts w:asciiTheme="majorBidi" w:hAnsiTheme="majorBidi" w:cstheme="majorBidi"/>
                <w:b/>
                <w:bCs/>
                <w:sz w:val="24"/>
                <w:szCs w:val="24"/>
              </w:rPr>
            </w:pPr>
          </w:p>
        </w:tc>
        <w:tc>
          <w:tcPr>
            <w:tcW w:w="2235" w:type="dxa"/>
            <w:tcBorders>
              <w:top w:val="single" w:color="auto" w:sz="4" w:space="0"/>
              <w:bottom w:val="single" w:color="auto" w:sz="4" w:space="0"/>
            </w:tcBorders>
            <w:noWrap/>
          </w:tcPr>
          <w:p w14:paraId="400A4529">
            <w:pPr>
              <w:spacing w:after="0" w:line="360" w:lineRule="auto"/>
              <w:rPr>
                <w:rFonts w:asciiTheme="majorBidi" w:hAnsiTheme="majorBidi" w:cstheme="majorBidi"/>
                <w:b/>
                <w:bCs/>
                <w:sz w:val="24"/>
                <w:szCs w:val="24"/>
              </w:rPr>
            </w:pPr>
          </w:p>
        </w:tc>
        <w:tc>
          <w:tcPr>
            <w:tcW w:w="1592" w:type="dxa"/>
            <w:tcBorders>
              <w:top w:val="single" w:color="auto" w:sz="4" w:space="0"/>
              <w:bottom w:val="single" w:color="auto" w:sz="4" w:space="0"/>
            </w:tcBorders>
            <w:noWrap/>
          </w:tcPr>
          <w:p w14:paraId="650C1979">
            <w:pPr>
              <w:spacing w:after="0" w:line="360" w:lineRule="auto"/>
              <w:jc w:val="both"/>
              <w:rPr>
                <w:rFonts w:asciiTheme="majorBidi" w:hAnsiTheme="majorBidi" w:cstheme="majorBidi"/>
                <w:sz w:val="24"/>
                <w:szCs w:val="24"/>
              </w:rPr>
            </w:pPr>
            <w:r>
              <w:rPr>
                <w:rFonts w:asciiTheme="majorBidi" w:hAnsiTheme="majorBidi" w:cstheme="majorBidi"/>
                <w:sz w:val="24"/>
                <w:szCs w:val="24"/>
              </w:rPr>
              <w:t>Syllabus coverage</w:t>
            </w:r>
          </w:p>
        </w:tc>
        <w:tc>
          <w:tcPr>
            <w:tcW w:w="2551" w:type="dxa"/>
            <w:tcBorders>
              <w:top w:val="single" w:color="auto" w:sz="4" w:space="0"/>
              <w:bottom w:val="single" w:color="auto" w:sz="4" w:space="0"/>
            </w:tcBorders>
            <w:noWrap/>
          </w:tcPr>
          <w:p w14:paraId="1C3A2029">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7B56EC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tcBorders>
              <w:top w:val="single" w:color="auto" w:sz="4" w:space="0"/>
            </w:tcBorders>
            <w:noWrap/>
          </w:tcPr>
          <w:p w14:paraId="306924A2">
            <w:pPr>
              <w:spacing w:after="0" w:line="360" w:lineRule="auto"/>
              <w:rPr>
                <w:rFonts w:asciiTheme="majorBidi" w:hAnsiTheme="majorBidi" w:cstheme="majorBidi"/>
                <w:sz w:val="24"/>
                <w:szCs w:val="24"/>
              </w:rPr>
            </w:pPr>
            <w:r>
              <w:rPr>
                <w:rFonts w:asciiTheme="majorBidi" w:hAnsiTheme="majorBidi" w:cstheme="majorBidi"/>
                <w:sz w:val="24"/>
                <w:szCs w:val="24"/>
              </w:rPr>
              <w:t>Syllabus coverage</w:t>
            </w:r>
          </w:p>
        </w:tc>
        <w:tc>
          <w:tcPr>
            <w:tcW w:w="2235" w:type="dxa"/>
            <w:tcBorders>
              <w:top w:val="single" w:color="auto" w:sz="4" w:space="0"/>
            </w:tcBorders>
            <w:noWrap/>
          </w:tcPr>
          <w:p w14:paraId="4CAF294D">
            <w:pPr>
              <w:spacing w:after="0" w:line="360" w:lineRule="auto"/>
              <w:rPr>
                <w:rFonts w:asciiTheme="majorBidi" w:hAnsiTheme="majorBidi" w:cstheme="majorBidi"/>
                <w:sz w:val="24"/>
                <w:szCs w:val="24"/>
              </w:rPr>
            </w:pPr>
            <w:r>
              <w:rPr>
                <w:rFonts w:asciiTheme="majorBidi" w:hAnsiTheme="majorBidi" w:cstheme="majorBidi"/>
                <w:sz w:val="24"/>
                <w:szCs w:val="24"/>
              </w:rPr>
              <w:t>Correlation Coefficient</w:t>
            </w:r>
          </w:p>
        </w:tc>
        <w:tc>
          <w:tcPr>
            <w:tcW w:w="1592" w:type="dxa"/>
            <w:tcBorders>
              <w:top w:val="single" w:color="auto" w:sz="4" w:space="0"/>
            </w:tcBorders>
            <w:noWrap/>
          </w:tcPr>
          <w:p w14:paraId="76D04FA1">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551" w:type="dxa"/>
            <w:tcBorders>
              <w:top w:val="single" w:color="auto" w:sz="4" w:space="0"/>
            </w:tcBorders>
            <w:noWrap/>
          </w:tcPr>
          <w:p w14:paraId="308BB978">
            <w:pPr>
              <w:spacing w:after="0" w:line="360" w:lineRule="auto"/>
              <w:jc w:val="both"/>
              <w:rPr>
                <w:rFonts w:asciiTheme="majorBidi" w:hAnsiTheme="majorBidi" w:cstheme="majorBidi"/>
                <w:sz w:val="24"/>
                <w:szCs w:val="24"/>
              </w:rPr>
            </w:pPr>
            <w:r>
              <w:rPr>
                <w:rFonts w:asciiTheme="majorBidi" w:hAnsiTheme="majorBidi" w:cstheme="majorBidi"/>
                <w:sz w:val="24"/>
                <w:szCs w:val="24"/>
              </w:rPr>
              <w:t>.334**</w:t>
            </w:r>
          </w:p>
        </w:tc>
      </w:tr>
      <w:tr w14:paraId="0E7711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50B489FC">
            <w:pPr>
              <w:spacing w:after="0" w:line="360" w:lineRule="auto"/>
              <w:rPr>
                <w:rFonts w:asciiTheme="majorBidi" w:hAnsiTheme="majorBidi" w:cstheme="majorBidi"/>
                <w:sz w:val="24"/>
                <w:szCs w:val="24"/>
              </w:rPr>
            </w:pPr>
          </w:p>
        </w:tc>
        <w:tc>
          <w:tcPr>
            <w:tcW w:w="2235" w:type="dxa"/>
            <w:noWrap/>
          </w:tcPr>
          <w:p w14:paraId="391E68FB">
            <w:pPr>
              <w:spacing w:after="0" w:line="360" w:lineRule="auto"/>
              <w:rPr>
                <w:rFonts w:asciiTheme="majorBidi" w:hAnsiTheme="majorBidi" w:cstheme="majorBidi"/>
                <w:sz w:val="24"/>
                <w:szCs w:val="24"/>
              </w:rPr>
            </w:pPr>
            <w:r>
              <w:rPr>
                <w:rFonts w:asciiTheme="majorBidi" w:hAnsiTheme="majorBidi" w:cstheme="majorBidi"/>
                <w:sz w:val="24"/>
                <w:szCs w:val="24"/>
              </w:rPr>
              <w:t>Sig. (2-tailed)</w:t>
            </w:r>
          </w:p>
        </w:tc>
        <w:tc>
          <w:tcPr>
            <w:tcW w:w="1592" w:type="dxa"/>
            <w:noWrap/>
          </w:tcPr>
          <w:p w14:paraId="5EAE3641">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551" w:type="dxa"/>
            <w:noWrap/>
          </w:tcPr>
          <w:p w14:paraId="5C6449FB">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r>
      <w:tr w14:paraId="0E870A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08E27EFF">
            <w:pPr>
              <w:spacing w:after="0" w:line="360" w:lineRule="auto"/>
              <w:rPr>
                <w:rFonts w:asciiTheme="majorBidi" w:hAnsiTheme="majorBidi" w:cstheme="majorBidi"/>
                <w:sz w:val="24"/>
                <w:szCs w:val="24"/>
              </w:rPr>
            </w:pPr>
          </w:p>
        </w:tc>
        <w:tc>
          <w:tcPr>
            <w:tcW w:w="2235" w:type="dxa"/>
            <w:noWrap/>
          </w:tcPr>
          <w:p w14:paraId="742EBE6C">
            <w:pPr>
              <w:spacing w:after="0" w:line="360" w:lineRule="auto"/>
              <w:rPr>
                <w:rFonts w:asciiTheme="majorBidi" w:hAnsiTheme="majorBidi" w:cstheme="majorBidi"/>
                <w:sz w:val="24"/>
                <w:szCs w:val="24"/>
              </w:rPr>
            </w:pPr>
            <w:r>
              <w:rPr>
                <w:rFonts w:asciiTheme="majorBidi" w:hAnsiTheme="majorBidi" w:cstheme="majorBidi"/>
                <w:sz w:val="24"/>
                <w:szCs w:val="24"/>
              </w:rPr>
              <w:t>N</w:t>
            </w:r>
          </w:p>
        </w:tc>
        <w:tc>
          <w:tcPr>
            <w:tcW w:w="1592" w:type="dxa"/>
            <w:noWrap/>
          </w:tcPr>
          <w:p w14:paraId="404C218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551" w:type="dxa"/>
            <w:noWrap/>
          </w:tcPr>
          <w:p w14:paraId="43AE3DD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r w14:paraId="260605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6DB4DABD">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235" w:type="dxa"/>
            <w:noWrap/>
          </w:tcPr>
          <w:p w14:paraId="4E38872F">
            <w:pPr>
              <w:spacing w:after="0" w:line="360" w:lineRule="auto"/>
              <w:rPr>
                <w:rFonts w:asciiTheme="majorBidi" w:hAnsiTheme="majorBidi" w:cstheme="majorBidi"/>
                <w:sz w:val="24"/>
                <w:szCs w:val="24"/>
              </w:rPr>
            </w:pPr>
            <w:r>
              <w:rPr>
                <w:rFonts w:asciiTheme="majorBidi" w:hAnsiTheme="majorBidi" w:cstheme="majorBidi"/>
                <w:sz w:val="24"/>
                <w:szCs w:val="24"/>
              </w:rPr>
              <w:t>Correlation Coefficient</w:t>
            </w:r>
          </w:p>
        </w:tc>
        <w:tc>
          <w:tcPr>
            <w:tcW w:w="1592" w:type="dxa"/>
            <w:noWrap/>
          </w:tcPr>
          <w:p w14:paraId="69A70018">
            <w:pPr>
              <w:spacing w:after="0" w:line="360" w:lineRule="auto"/>
              <w:jc w:val="both"/>
              <w:rPr>
                <w:rFonts w:asciiTheme="majorBidi" w:hAnsiTheme="majorBidi" w:cstheme="majorBidi"/>
                <w:sz w:val="24"/>
                <w:szCs w:val="24"/>
              </w:rPr>
            </w:pPr>
            <w:r>
              <w:rPr>
                <w:rFonts w:asciiTheme="majorBidi" w:hAnsiTheme="majorBidi" w:cstheme="majorBidi"/>
                <w:sz w:val="24"/>
                <w:szCs w:val="24"/>
              </w:rPr>
              <w:t>.334**</w:t>
            </w:r>
          </w:p>
        </w:tc>
        <w:tc>
          <w:tcPr>
            <w:tcW w:w="2551" w:type="dxa"/>
            <w:noWrap/>
          </w:tcPr>
          <w:p w14:paraId="46BB99BF">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r>
      <w:tr w14:paraId="4CE4F8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502066F8">
            <w:pPr>
              <w:spacing w:after="0" w:line="360" w:lineRule="auto"/>
              <w:rPr>
                <w:rFonts w:asciiTheme="majorBidi" w:hAnsiTheme="majorBidi" w:cstheme="majorBidi"/>
                <w:sz w:val="24"/>
                <w:szCs w:val="24"/>
              </w:rPr>
            </w:pPr>
          </w:p>
        </w:tc>
        <w:tc>
          <w:tcPr>
            <w:tcW w:w="2235" w:type="dxa"/>
            <w:noWrap/>
          </w:tcPr>
          <w:p w14:paraId="061B0A72">
            <w:pPr>
              <w:spacing w:after="0" w:line="360" w:lineRule="auto"/>
              <w:rPr>
                <w:rFonts w:asciiTheme="majorBidi" w:hAnsiTheme="majorBidi" w:cstheme="majorBidi"/>
                <w:sz w:val="24"/>
                <w:szCs w:val="24"/>
              </w:rPr>
            </w:pPr>
            <w:r>
              <w:rPr>
                <w:rFonts w:asciiTheme="majorBidi" w:hAnsiTheme="majorBidi" w:cstheme="majorBidi"/>
                <w:sz w:val="24"/>
                <w:szCs w:val="24"/>
              </w:rPr>
              <w:t>Sig. (2-tailed)</w:t>
            </w:r>
          </w:p>
        </w:tc>
        <w:tc>
          <w:tcPr>
            <w:tcW w:w="1592" w:type="dxa"/>
            <w:noWrap/>
          </w:tcPr>
          <w:p w14:paraId="566C5C6D">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c>
          <w:tcPr>
            <w:tcW w:w="2551" w:type="dxa"/>
            <w:noWrap/>
          </w:tcPr>
          <w:p w14:paraId="1622B776">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r>
      <w:tr w14:paraId="4502CF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0730FAEC">
            <w:pPr>
              <w:spacing w:after="0" w:line="360" w:lineRule="auto"/>
              <w:rPr>
                <w:rFonts w:asciiTheme="majorBidi" w:hAnsiTheme="majorBidi" w:cstheme="majorBidi"/>
                <w:sz w:val="24"/>
                <w:szCs w:val="24"/>
              </w:rPr>
            </w:pPr>
          </w:p>
        </w:tc>
        <w:tc>
          <w:tcPr>
            <w:tcW w:w="2235" w:type="dxa"/>
            <w:noWrap/>
          </w:tcPr>
          <w:p w14:paraId="7D16F09E">
            <w:pPr>
              <w:spacing w:after="0" w:line="360" w:lineRule="auto"/>
              <w:rPr>
                <w:rFonts w:asciiTheme="majorBidi" w:hAnsiTheme="majorBidi" w:cstheme="majorBidi"/>
                <w:sz w:val="24"/>
                <w:szCs w:val="24"/>
              </w:rPr>
            </w:pPr>
            <w:r>
              <w:rPr>
                <w:rFonts w:asciiTheme="majorBidi" w:hAnsiTheme="majorBidi" w:cstheme="majorBidi"/>
                <w:sz w:val="24"/>
                <w:szCs w:val="24"/>
              </w:rPr>
              <w:t>N</w:t>
            </w:r>
          </w:p>
        </w:tc>
        <w:tc>
          <w:tcPr>
            <w:tcW w:w="1592" w:type="dxa"/>
            <w:noWrap/>
          </w:tcPr>
          <w:p w14:paraId="7419E923">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551" w:type="dxa"/>
            <w:noWrap/>
          </w:tcPr>
          <w:p w14:paraId="2111DAC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bl>
    <w:p w14:paraId="17EE6899">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28289BBE">
      <w:pPr>
        <w:spacing w:line="480" w:lineRule="auto"/>
        <w:jc w:val="both"/>
        <w:rPr>
          <w:rFonts w:asciiTheme="majorBidi" w:hAnsiTheme="majorBidi" w:cstheme="majorBidi"/>
          <w:sz w:val="24"/>
          <w:szCs w:val="24"/>
        </w:rPr>
      </w:pPr>
      <w:r>
        <w:rPr>
          <w:rFonts w:asciiTheme="majorBidi" w:hAnsiTheme="majorBidi" w:cstheme="majorBidi"/>
          <w:sz w:val="24"/>
          <w:szCs w:val="24"/>
        </w:rPr>
        <w:t>The correlation analysis examines the relationship between syllabus coverage and the level of integrity observed in Kenya Certificate of Secondary Education (KCSE) examinations. The results reveal a statistically significant positive correlation coefficient of .334** between these two variables. This indicates a moderate positive relationship, suggesting that the extent to which the syllabus is covered in schools is associated with the level of examination integrity. The significance level (Sig. 2-tailed) of 0.000 gives a strong foundation to reject the fifth hypothesis. These findings emphasize the importance of adequate syllabus coverage in promoting examination integrity.</w:t>
      </w:r>
    </w:p>
    <w:p w14:paraId="38EB7E59">
      <w:pPr>
        <w:tabs>
          <w:tab w:val="left" w:pos="720"/>
        </w:tabs>
        <w:spacing w:after="0" w:line="480" w:lineRule="auto"/>
        <w:jc w:val="both"/>
        <w:rPr>
          <w:rFonts w:asciiTheme="majorBidi" w:hAnsiTheme="majorBidi" w:cstheme="majorBidi"/>
          <w:sz w:val="24"/>
          <w:szCs w:val="24"/>
        </w:rPr>
      </w:pPr>
      <w:r>
        <w:rPr>
          <w:rFonts w:asciiTheme="majorBidi" w:hAnsiTheme="majorBidi" w:cstheme="majorBidi"/>
          <w:sz w:val="24"/>
          <w:szCs w:val="24"/>
        </w:rPr>
        <w:t>This study's finding of a positive correlation (.334) between syllabus coverage and exam integrity in KCSE exams sheds light on the significance of curriculum completion in fostering academic honesty. The study aligns with the work of Xu and Xie (2013) who found that clear and well-defined curriculum structures can deter cheating. They argue that a well-covered syllabus provides a roadmap for learning, potentially reducing student confusion or the need to resort to external resources during exams. Students who feel confident in their understanding of the material covered in class are less likely to feel the pressure to cheat.</w:t>
      </w:r>
    </w:p>
    <w:p w14:paraId="3D5AEA42">
      <w:pPr>
        <w:spacing w:line="480" w:lineRule="auto"/>
        <w:jc w:val="both"/>
        <w:rPr>
          <w:rFonts w:asciiTheme="majorBidi" w:hAnsiTheme="majorBidi" w:cstheme="majorBidi"/>
          <w:sz w:val="24"/>
          <w:szCs w:val="24"/>
        </w:rPr>
      </w:pPr>
      <w:r>
        <w:rPr>
          <w:rFonts w:asciiTheme="majorBidi" w:hAnsiTheme="majorBidi" w:cstheme="majorBidi"/>
          <w:sz w:val="24"/>
          <w:szCs w:val="24"/>
        </w:rPr>
        <w:t>While syllabus coverage is important, it's crucial to acknowledge the limitations of this study. A complete syllabus might not equate to deep understanding. Future research, similar to the work of Bain (2004), could explore how teaching approaches that prioritize student comprehension alongside syllabus completion can further strengthen exam integrity. Bain argues for a shift towards "what the matter is" teaching, focusing on helping students develop a deep understanding of the material rather than simply memorizing content for exams. This deeper understanding can reduce the incentive to cheat, as students are better equipped to apply their knowledge to exam questions.</w:t>
      </w:r>
    </w:p>
    <w:p w14:paraId="63D9BC38">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interviews conducted with principals shed light on the significant role of syllabus coverage in influencing examination malpractice within schools. A majority of the principals emphasized that the extent to which the syllabus is covered serves as a key driver for unethical behavior during examinations. This sentiment underscores the importance of curriculum management and instructional planning in shaping students' academic experiences and behaviors. One notable policy adopted by a majority of the schools, as highlighted in the interviews, was to complete the syllabus on time before the National examinations. This policy reflects a proactive approach aimed at addressing the challenges associated with rushed teaching and learning processes, which can contribute to stress, anxiety, and ultimately, unethical practices during examinations. One principal stated, </w:t>
      </w:r>
      <w:r>
        <w:rPr>
          <w:rFonts w:asciiTheme="majorBidi" w:hAnsiTheme="majorBidi" w:cstheme="majorBidi"/>
          <w:i/>
          <w:iCs/>
          <w:sz w:val="24"/>
          <w:szCs w:val="24"/>
        </w:rPr>
        <w:t>"Syllabus coverage is crucial in determining the integrity of examinations. When students feel pressured to complete the syllabus within a short timeframe, they may resort to cheating as a means of coping with the academic demands."</w:t>
      </w:r>
      <w:r>
        <w:rPr>
          <w:rFonts w:asciiTheme="majorBidi" w:hAnsiTheme="majorBidi" w:cstheme="majorBidi"/>
          <w:sz w:val="24"/>
          <w:szCs w:val="24"/>
        </w:rPr>
        <w:t xml:space="preserve"> This highlights the direct correlation between syllabus coverage and the prevalence of exam malpractice, as perceived by educational leaders.</w:t>
      </w:r>
    </w:p>
    <w:p w14:paraId="03249A3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Furthermore, another principal remarked, </w:t>
      </w:r>
      <w:r>
        <w:rPr>
          <w:rFonts w:asciiTheme="majorBidi" w:hAnsiTheme="majorBidi" w:cstheme="majorBidi"/>
          <w:i/>
          <w:iCs/>
          <w:sz w:val="24"/>
          <w:szCs w:val="24"/>
        </w:rPr>
        <w:t>"Completing the syllabus well in advance of the National examinations allows students ample time to revise and consolidate their learning. This reduces the likelihood of resorting to unethical practices during exams due to time constraints or lack of preparedness."</w:t>
      </w:r>
      <w:r>
        <w:rPr>
          <w:rFonts w:asciiTheme="majorBidi" w:hAnsiTheme="majorBidi" w:cstheme="majorBidi"/>
          <w:sz w:val="24"/>
          <w:szCs w:val="24"/>
        </w:rPr>
        <w:t xml:space="preserve"> This statement underscores the importance of adequate preparation and thorough understanding of the curriculum in promoting examination integrity. The policy of completing the syllabus ahead of schedule aligns with best practices in curriculum planning and instructional delivery, as it provides students with sufficient time to master the content and develop the skills necessary for success in examinations. By prioritizing syllabus coverage and adopting proactive measures to ensure comprehensive learning experiences, schools can mitigate the risk of exam malpractice and foster a culture of academic honesty and integrity among students.</w:t>
      </w:r>
    </w:p>
    <w:p w14:paraId="2E3D38F3">
      <w:pPr>
        <w:spacing w:line="480" w:lineRule="auto"/>
        <w:jc w:val="both"/>
        <w:rPr>
          <w:rFonts w:asciiTheme="majorBidi" w:hAnsiTheme="majorBidi" w:cstheme="majorBidi"/>
          <w:sz w:val="24"/>
          <w:szCs w:val="24"/>
        </w:rPr>
      </w:pPr>
      <w:r>
        <w:rPr>
          <w:rFonts w:asciiTheme="majorBidi" w:hAnsiTheme="majorBidi" w:cstheme="majorBidi"/>
          <w:sz w:val="24"/>
          <w:szCs w:val="24"/>
        </w:rPr>
        <w:t>The insights gleaned by this study from the interviews with principals shows the critical role of syllabus coverage in addressing the root causes of examination malpractice and promoting ethical behavior within educational institutions.</w:t>
      </w:r>
    </w:p>
    <w:p w14:paraId="7DBE9D9D">
      <w:pPr>
        <w:pStyle w:val="2"/>
        <w:numPr>
          <w:ilvl w:val="2"/>
          <w:numId w:val="20"/>
        </w:numPr>
        <w:spacing w:after="240"/>
        <w:rPr>
          <w:rFonts w:asciiTheme="majorBidi" w:hAnsiTheme="majorBidi"/>
          <w:color w:val="auto"/>
          <w:sz w:val="24"/>
          <w:szCs w:val="24"/>
        </w:rPr>
      </w:pPr>
      <w:bookmarkStart w:id="261" w:name="_Toc164927751"/>
      <w:bookmarkStart w:id="262" w:name="_Toc194822682"/>
      <w:r>
        <w:rPr>
          <w:rFonts w:asciiTheme="majorBidi" w:hAnsiTheme="majorBidi"/>
          <w:color w:val="auto"/>
          <w:sz w:val="24"/>
          <w:szCs w:val="24"/>
        </w:rPr>
        <w:t xml:space="preserve">Social Media </w:t>
      </w:r>
      <w:bookmarkEnd w:id="261"/>
      <w:r>
        <w:rPr>
          <w:rFonts w:asciiTheme="majorBidi" w:hAnsiTheme="majorBidi"/>
          <w:color w:val="auto"/>
          <w:sz w:val="24"/>
          <w:szCs w:val="24"/>
        </w:rPr>
        <w:t>and Level of Exam Malpractices in KCSE</w:t>
      </w:r>
      <w:bookmarkEnd w:id="262"/>
      <w:r>
        <w:rPr>
          <w:rFonts w:asciiTheme="majorBidi" w:hAnsiTheme="majorBidi"/>
          <w:color w:val="auto"/>
          <w:sz w:val="24"/>
          <w:szCs w:val="24"/>
        </w:rPr>
        <w:t xml:space="preserve"> </w:t>
      </w:r>
    </w:p>
    <w:p w14:paraId="14B190FD">
      <w:pPr>
        <w:spacing w:line="480" w:lineRule="auto"/>
        <w:jc w:val="both"/>
        <w:rPr>
          <w:rFonts w:asciiTheme="majorBidi" w:hAnsiTheme="majorBidi" w:cstheme="majorBidi"/>
          <w:sz w:val="24"/>
          <w:szCs w:val="24"/>
        </w:rPr>
      </w:pPr>
      <w:r>
        <w:rPr>
          <w:rFonts w:asciiTheme="majorBidi" w:hAnsiTheme="majorBidi" w:cstheme="majorBidi"/>
          <w:sz w:val="24"/>
          <w:szCs w:val="24"/>
        </w:rPr>
        <w:t>The final objective of the research was to investigate the influence of social media in the academic integrity and examination malpractices in secondary schools within Garissa Township Sub County, Kenya. Questionnaires were distributed to teachers and students in 11 secondary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20 and 21 present the results on this objective.</w:t>
      </w:r>
    </w:p>
    <w:p w14:paraId="194272A8">
      <w:pPr>
        <w:pStyle w:val="2"/>
        <w:spacing w:before="0"/>
        <w:rPr>
          <w:rFonts w:asciiTheme="majorBidi" w:hAnsiTheme="majorBidi"/>
          <w:b w:val="0"/>
          <w:bCs w:val="0"/>
          <w:color w:val="auto"/>
          <w:sz w:val="24"/>
          <w:szCs w:val="24"/>
        </w:rPr>
      </w:pPr>
      <w:bookmarkStart w:id="263" w:name="_Toc194769963"/>
      <w:bookmarkStart w:id="264" w:name="_Toc194822683"/>
      <w:r>
        <w:rPr>
          <w:rFonts w:asciiTheme="majorBidi" w:hAnsiTheme="majorBidi"/>
          <w:b w:val="0"/>
          <w:bCs w:val="0"/>
          <w:color w:val="auto"/>
          <w:sz w:val="24"/>
          <w:szCs w:val="24"/>
        </w:rPr>
        <w:t>Table 20:</w:t>
      </w:r>
      <w:bookmarkEnd w:id="263"/>
      <w:bookmarkEnd w:id="264"/>
    </w:p>
    <w:p w14:paraId="253556CC">
      <w:pPr>
        <w:pStyle w:val="2"/>
        <w:spacing w:after="240"/>
        <w:rPr>
          <w:rFonts w:asciiTheme="majorBidi" w:hAnsiTheme="majorBidi"/>
          <w:b w:val="0"/>
          <w:bCs w:val="0"/>
          <w:i/>
          <w:iCs/>
          <w:color w:val="auto"/>
          <w:sz w:val="24"/>
          <w:szCs w:val="24"/>
        </w:rPr>
      </w:pPr>
      <w:bookmarkStart w:id="265" w:name="_Hlk193234135"/>
      <w:bookmarkStart w:id="266" w:name="_Toc194822684"/>
      <w:bookmarkStart w:id="267" w:name="_Toc194769964"/>
      <w:r>
        <w:rPr>
          <w:rFonts w:asciiTheme="majorBidi" w:hAnsiTheme="majorBidi"/>
          <w:b w:val="0"/>
          <w:bCs w:val="0"/>
          <w:i/>
          <w:iCs/>
          <w:color w:val="auto"/>
          <w:sz w:val="24"/>
          <w:szCs w:val="24"/>
        </w:rPr>
        <w:t xml:space="preserve">Descriptive analysis </w:t>
      </w:r>
      <w:bookmarkEnd w:id="265"/>
      <w:r>
        <w:rPr>
          <w:rFonts w:asciiTheme="majorBidi" w:hAnsiTheme="majorBidi"/>
          <w:b w:val="0"/>
          <w:bCs w:val="0"/>
          <w:i/>
          <w:iCs/>
          <w:color w:val="auto"/>
          <w:sz w:val="24"/>
          <w:szCs w:val="24"/>
        </w:rPr>
        <w:t>on social media and level of exam malpractices in KCSE</w:t>
      </w:r>
      <w:bookmarkEnd w:id="266"/>
      <w:bookmarkEnd w:id="267"/>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17"/>
        <w:gridCol w:w="576"/>
        <w:gridCol w:w="836"/>
        <w:gridCol w:w="956"/>
        <w:gridCol w:w="956"/>
        <w:gridCol w:w="978"/>
        <w:gridCol w:w="837"/>
      </w:tblGrid>
      <w:tr w14:paraId="025DE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tcBorders>
              <w:top w:val="single" w:color="auto" w:sz="4" w:space="0"/>
              <w:bottom w:val="single" w:color="auto" w:sz="4" w:space="0"/>
            </w:tcBorders>
            <w:noWrap/>
          </w:tcPr>
          <w:p w14:paraId="0A4F99B1">
            <w:pPr>
              <w:spacing w:after="0" w:line="360" w:lineRule="auto"/>
              <w:rPr>
                <w:rFonts w:asciiTheme="majorBidi" w:hAnsiTheme="majorBidi" w:cstheme="majorBidi"/>
                <w:b/>
                <w:bCs/>
                <w:sz w:val="24"/>
                <w:szCs w:val="24"/>
              </w:rPr>
            </w:pPr>
          </w:p>
        </w:tc>
        <w:tc>
          <w:tcPr>
            <w:tcW w:w="643" w:type="dxa"/>
            <w:tcBorders>
              <w:top w:val="single" w:color="auto" w:sz="4" w:space="0"/>
              <w:bottom w:val="single" w:color="auto" w:sz="4" w:space="0"/>
            </w:tcBorders>
          </w:tcPr>
          <w:p w14:paraId="366ED9F6">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791" w:type="dxa"/>
            <w:tcBorders>
              <w:top w:val="single" w:color="auto" w:sz="4" w:space="0"/>
              <w:bottom w:val="single" w:color="auto" w:sz="4" w:space="0"/>
            </w:tcBorders>
            <w:noWrap/>
          </w:tcPr>
          <w:p w14:paraId="2AC7DD0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47" w:type="dxa"/>
            <w:tcBorders>
              <w:top w:val="single" w:color="auto" w:sz="4" w:space="0"/>
              <w:bottom w:val="single" w:color="auto" w:sz="4" w:space="0"/>
            </w:tcBorders>
            <w:noWrap/>
          </w:tcPr>
          <w:p w14:paraId="5076A16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42" w:type="dxa"/>
            <w:tcBorders>
              <w:top w:val="single" w:color="auto" w:sz="4" w:space="0"/>
              <w:bottom w:val="single" w:color="auto" w:sz="4" w:space="0"/>
            </w:tcBorders>
            <w:noWrap/>
          </w:tcPr>
          <w:p w14:paraId="721A695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78" w:type="dxa"/>
            <w:tcBorders>
              <w:top w:val="single" w:color="auto" w:sz="4" w:space="0"/>
              <w:bottom w:val="single" w:color="auto" w:sz="4" w:space="0"/>
            </w:tcBorders>
            <w:noWrap/>
          </w:tcPr>
          <w:p w14:paraId="7A48440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837" w:type="dxa"/>
            <w:tcBorders>
              <w:top w:val="single" w:color="auto" w:sz="4" w:space="0"/>
              <w:bottom w:val="single" w:color="auto" w:sz="4" w:space="0"/>
            </w:tcBorders>
            <w:noWrap/>
          </w:tcPr>
          <w:p w14:paraId="4166086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0A4031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tcBorders>
              <w:top w:val="single" w:color="auto" w:sz="4" w:space="0"/>
            </w:tcBorders>
            <w:noWrap/>
          </w:tcPr>
          <w:p w14:paraId="68B13AAD">
            <w:pPr>
              <w:spacing w:after="0" w:line="360" w:lineRule="auto"/>
              <w:rPr>
                <w:rFonts w:asciiTheme="majorBidi" w:hAnsiTheme="majorBidi" w:cstheme="majorBidi"/>
                <w:sz w:val="24"/>
                <w:szCs w:val="24"/>
              </w:rPr>
            </w:pPr>
            <w:r>
              <w:rPr>
                <w:rFonts w:asciiTheme="majorBidi" w:hAnsiTheme="majorBidi" w:cstheme="majorBidi"/>
                <w:sz w:val="24"/>
                <w:szCs w:val="24"/>
              </w:rPr>
              <w:t>Students possess phones during exams.</w:t>
            </w:r>
          </w:p>
        </w:tc>
        <w:tc>
          <w:tcPr>
            <w:tcW w:w="643" w:type="dxa"/>
            <w:tcBorders>
              <w:top w:val="single" w:color="auto" w:sz="4" w:space="0"/>
            </w:tcBorders>
          </w:tcPr>
          <w:p w14:paraId="55E7F1C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tcBorders>
              <w:top w:val="single" w:color="auto" w:sz="4" w:space="0"/>
            </w:tcBorders>
            <w:noWrap/>
          </w:tcPr>
          <w:p w14:paraId="7224EE6A">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tcBorders>
              <w:top w:val="single" w:color="auto" w:sz="4" w:space="0"/>
            </w:tcBorders>
            <w:noWrap/>
          </w:tcPr>
          <w:p w14:paraId="0DDB5B1C">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942" w:type="dxa"/>
            <w:tcBorders>
              <w:top w:val="single" w:color="auto" w:sz="4" w:space="0"/>
            </w:tcBorders>
            <w:noWrap/>
          </w:tcPr>
          <w:p w14:paraId="33430BBA">
            <w:pPr>
              <w:spacing w:after="0" w:line="360" w:lineRule="auto"/>
              <w:jc w:val="both"/>
              <w:rPr>
                <w:rFonts w:asciiTheme="majorBidi" w:hAnsiTheme="majorBidi" w:cstheme="majorBidi"/>
                <w:sz w:val="24"/>
                <w:szCs w:val="24"/>
              </w:rPr>
            </w:pPr>
            <w:r>
              <w:rPr>
                <w:rFonts w:asciiTheme="majorBidi" w:hAnsiTheme="majorBidi" w:cstheme="majorBidi"/>
                <w:sz w:val="24"/>
                <w:szCs w:val="24"/>
              </w:rPr>
              <w:t>38.30%</w:t>
            </w:r>
          </w:p>
        </w:tc>
        <w:tc>
          <w:tcPr>
            <w:tcW w:w="978" w:type="dxa"/>
            <w:tcBorders>
              <w:top w:val="single" w:color="auto" w:sz="4" w:space="0"/>
            </w:tcBorders>
            <w:noWrap/>
          </w:tcPr>
          <w:p w14:paraId="2E25AE25">
            <w:pPr>
              <w:spacing w:after="0" w:line="360" w:lineRule="auto"/>
              <w:jc w:val="both"/>
              <w:rPr>
                <w:rFonts w:asciiTheme="majorBidi" w:hAnsiTheme="majorBidi" w:cstheme="majorBidi"/>
                <w:sz w:val="24"/>
                <w:szCs w:val="24"/>
              </w:rPr>
            </w:pPr>
            <w:r>
              <w:rPr>
                <w:rFonts w:asciiTheme="majorBidi" w:hAnsiTheme="majorBidi" w:cstheme="majorBidi"/>
                <w:sz w:val="24"/>
                <w:szCs w:val="24"/>
              </w:rPr>
              <w:t>48.40%</w:t>
            </w:r>
          </w:p>
        </w:tc>
        <w:tc>
          <w:tcPr>
            <w:tcW w:w="837" w:type="dxa"/>
            <w:tcBorders>
              <w:top w:val="single" w:color="auto" w:sz="4" w:space="0"/>
            </w:tcBorders>
            <w:noWrap/>
          </w:tcPr>
          <w:p w14:paraId="76969788">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r>
      <w:tr w14:paraId="07AD2A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5BAFF1DF">
            <w:pPr>
              <w:spacing w:after="0" w:line="360" w:lineRule="auto"/>
              <w:rPr>
                <w:rFonts w:asciiTheme="majorBidi" w:hAnsiTheme="majorBidi" w:cstheme="majorBidi"/>
                <w:sz w:val="24"/>
                <w:szCs w:val="24"/>
              </w:rPr>
            </w:pPr>
            <w:r>
              <w:rPr>
                <w:rFonts w:asciiTheme="majorBidi" w:hAnsiTheme="majorBidi" w:cstheme="majorBidi"/>
                <w:sz w:val="24"/>
                <w:szCs w:val="24"/>
              </w:rPr>
              <w:t>Prevalence of cheating culture influence students' decisions to use social media during Exams.</w:t>
            </w:r>
          </w:p>
        </w:tc>
        <w:tc>
          <w:tcPr>
            <w:tcW w:w="643" w:type="dxa"/>
          </w:tcPr>
          <w:p w14:paraId="7A3EA30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07DED9DF">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47" w:type="dxa"/>
            <w:noWrap/>
          </w:tcPr>
          <w:p w14:paraId="0B58FC08">
            <w:pPr>
              <w:spacing w:after="0" w:line="360" w:lineRule="auto"/>
              <w:jc w:val="both"/>
              <w:rPr>
                <w:rFonts w:asciiTheme="majorBidi" w:hAnsiTheme="majorBidi" w:cstheme="majorBidi"/>
                <w:sz w:val="24"/>
                <w:szCs w:val="24"/>
              </w:rPr>
            </w:pPr>
            <w:r>
              <w:rPr>
                <w:rFonts w:asciiTheme="majorBidi" w:hAnsiTheme="majorBidi" w:cstheme="majorBidi"/>
                <w:sz w:val="24"/>
                <w:szCs w:val="24"/>
              </w:rPr>
              <w:t>15.60%</w:t>
            </w:r>
          </w:p>
        </w:tc>
        <w:tc>
          <w:tcPr>
            <w:tcW w:w="942" w:type="dxa"/>
            <w:noWrap/>
          </w:tcPr>
          <w:p w14:paraId="6FC98556">
            <w:pPr>
              <w:spacing w:after="0" w:line="360" w:lineRule="auto"/>
              <w:jc w:val="both"/>
              <w:rPr>
                <w:rFonts w:asciiTheme="majorBidi" w:hAnsiTheme="majorBidi" w:cstheme="majorBidi"/>
                <w:sz w:val="24"/>
                <w:szCs w:val="24"/>
              </w:rPr>
            </w:pPr>
            <w:r>
              <w:rPr>
                <w:rFonts w:asciiTheme="majorBidi" w:hAnsiTheme="majorBidi" w:cstheme="majorBidi"/>
                <w:sz w:val="24"/>
                <w:szCs w:val="24"/>
              </w:rPr>
              <w:t>35.20%</w:t>
            </w:r>
          </w:p>
        </w:tc>
        <w:tc>
          <w:tcPr>
            <w:tcW w:w="978" w:type="dxa"/>
            <w:noWrap/>
          </w:tcPr>
          <w:p w14:paraId="210D2A8E">
            <w:pPr>
              <w:spacing w:after="0" w:line="360" w:lineRule="auto"/>
              <w:jc w:val="both"/>
              <w:rPr>
                <w:rFonts w:asciiTheme="majorBidi" w:hAnsiTheme="majorBidi" w:cstheme="majorBidi"/>
                <w:sz w:val="24"/>
                <w:szCs w:val="24"/>
              </w:rPr>
            </w:pPr>
            <w:r>
              <w:rPr>
                <w:rFonts w:asciiTheme="majorBidi" w:hAnsiTheme="majorBidi" w:cstheme="majorBidi"/>
                <w:sz w:val="24"/>
                <w:szCs w:val="24"/>
              </w:rPr>
              <w:t>41.40%</w:t>
            </w:r>
          </w:p>
        </w:tc>
        <w:tc>
          <w:tcPr>
            <w:tcW w:w="837" w:type="dxa"/>
            <w:noWrap/>
          </w:tcPr>
          <w:p w14:paraId="11265C3C">
            <w:pPr>
              <w:spacing w:after="0" w:line="360" w:lineRule="auto"/>
              <w:jc w:val="both"/>
              <w:rPr>
                <w:rFonts w:asciiTheme="majorBidi" w:hAnsiTheme="majorBidi" w:cstheme="majorBidi"/>
                <w:sz w:val="24"/>
                <w:szCs w:val="24"/>
              </w:rPr>
            </w:pPr>
            <w:r>
              <w:rPr>
                <w:rFonts w:asciiTheme="majorBidi" w:hAnsiTheme="majorBidi" w:cstheme="majorBidi"/>
                <w:sz w:val="24"/>
                <w:szCs w:val="24"/>
              </w:rPr>
              <w:t>5.50%</w:t>
            </w:r>
          </w:p>
        </w:tc>
      </w:tr>
      <w:tr w14:paraId="2DB4D1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194B60F4">
            <w:pPr>
              <w:spacing w:after="0" w:line="360" w:lineRule="auto"/>
              <w:rPr>
                <w:rFonts w:asciiTheme="majorBidi" w:hAnsiTheme="majorBidi" w:cstheme="majorBidi"/>
                <w:sz w:val="24"/>
                <w:szCs w:val="24"/>
              </w:rPr>
            </w:pPr>
            <w:r>
              <w:rPr>
                <w:rFonts w:asciiTheme="majorBidi" w:hAnsiTheme="majorBidi" w:cstheme="majorBidi"/>
                <w:sz w:val="24"/>
                <w:szCs w:val="24"/>
              </w:rPr>
              <w:t>Students get answers before and during exams through social media</w:t>
            </w:r>
          </w:p>
        </w:tc>
        <w:tc>
          <w:tcPr>
            <w:tcW w:w="643" w:type="dxa"/>
          </w:tcPr>
          <w:p w14:paraId="5BC485C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7BD34143">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noWrap/>
          </w:tcPr>
          <w:p w14:paraId="727B9243">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942" w:type="dxa"/>
            <w:noWrap/>
          </w:tcPr>
          <w:p w14:paraId="09A6F5FA">
            <w:pPr>
              <w:spacing w:after="0" w:line="360" w:lineRule="auto"/>
              <w:jc w:val="both"/>
              <w:rPr>
                <w:rFonts w:asciiTheme="majorBidi" w:hAnsiTheme="majorBidi" w:cstheme="majorBidi"/>
                <w:sz w:val="24"/>
                <w:szCs w:val="24"/>
              </w:rPr>
            </w:pPr>
            <w:r>
              <w:rPr>
                <w:rFonts w:asciiTheme="majorBidi" w:hAnsiTheme="majorBidi" w:cstheme="majorBidi"/>
                <w:sz w:val="24"/>
                <w:szCs w:val="24"/>
              </w:rPr>
              <w:t>43.00%</w:t>
            </w:r>
          </w:p>
        </w:tc>
        <w:tc>
          <w:tcPr>
            <w:tcW w:w="978" w:type="dxa"/>
            <w:noWrap/>
          </w:tcPr>
          <w:p w14:paraId="65371F02">
            <w:pPr>
              <w:spacing w:after="0" w:line="360" w:lineRule="auto"/>
              <w:jc w:val="both"/>
              <w:rPr>
                <w:rFonts w:asciiTheme="majorBidi" w:hAnsiTheme="majorBidi" w:cstheme="majorBidi"/>
                <w:sz w:val="24"/>
                <w:szCs w:val="24"/>
              </w:rPr>
            </w:pPr>
            <w:r>
              <w:rPr>
                <w:rFonts w:asciiTheme="majorBidi" w:hAnsiTheme="majorBidi" w:cstheme="majorBidi"/>
                <w:sz w:val="24"/>
                <w:szCs w:val="24"/>
              </w:rPr>
              <w:t>43.00%</w:t>
            </w:r>
          </w:p>
        </w:tc>
        <w:tc>
          <w:tcPr>
            <w:tcW w:w="837" w:type="dxa"/>
            <w:noWrap/>
          </w:tcPr>
          <w:p w14:paraId="0EAD697E">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r>
      <w:tr w14:paraId="127F04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0CD512D6">
            <w:pPr>
              <w:spacing w:after="0" w:line="360" w:lineRule="auto"/>
              <w:rPr>
                <w:rFonts w:asciiTheme="majorBidi" w:hAnsiTheme="majorBidi" w:cstheme="majorBidi"/>
                <w:sz w:val="24"/>
                <w:szCs w:val="24"/>
              </w:rPr>
            </w:pPr>
            <w:r>
              <w:rPr>
                <w:rFonts w:asciiTheme="majorBidi" w:hAnsiTheme="majorBidi" w:cstheme="majorBidi"/>
                <w:sz w:val="24"/>
                <w:szCs w:val="24"/>
              </w:rPr>
              <w:t>The proliferation of technology has introduced new avenues for academic dishonesty.</w:t>
            </w:r>
          </w:p>
        </w:tc>
        <w:tc>
          <w:tcPr>
            <w:tcW w:w="643" w:type="dxa"/>
          </w:tcPr>
          <w:p w14:paraId="5731D3DF">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6540433A">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noWrap/>
          </w:tcPr>
          <w:p w14:paraId="6D5FFDB5">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942" w:type="dxa"/>
            <w:noWrap/>
          </w:tcPr>
          <w:p w14:paraId="1694E957">
            <w:pPr>
              <w:spacing w:after="0" w:line="360" w:lineRule="auto"/>
              <w:jc w:val="both"/>
              <w:rPr>
                <w:rFonts w:asciiTheme="majorBidi" w:hAnsiTheme="majorBidi" w:cstheme="majorBidi"/>
                <w:sz w:val="24"/>
                <w:szCs w:val="24"/>
              </w:rPr>
            </w:pPr>
            <w:r>
              <w:rPr>
                <w:rFonts w:asciiTheme="majorBidi" w:hAnsiTheme="majorBidi" w:cstheme="majorBidi"/>
                <w:sz w:val="24"/>
                <w:szCs w:val="24"/>
              </w:rPr>
              <w:t>51.60%</w:t>
            </w:r>
          </w:p>
        </w:tc>
        <w:tc>
          <w:tcPr>
            <w:tcW w:w="978" w:type="dxa"/>
            <w:noWrap/>
          </w:tcPr>
          <w:p w14:paraId="69C86753">
            <w:pPr>
              <w:spacing w:after="0" w:line="360" w:lineRule="auto"/>
              <w:jc w:val="both"/>
              <w:rPr>
                <w:rFonts w:asciiTheme="majorBidi" w:hAnsiTheme="majorBidi" w:cstheme="majorBidi"/>
                <w:sz w:val="24"/>
                <w:szCs w:val="24"/>
              </w:rPr>
            </w:pPr>
            <w:r>
              <w:rPr>
                <w:rFonts w:asciiTheme="majorBidi" w:hAnsiTheme="majorBidi" w:cstheme="majorBidi"/>
                <w:sz w:val="24"/>
                <w:szCs w:val="24"/>
              </w:rPr>
              <w:t>33.60%</w:t>
            </w:r>
          </w:p>
        </w:tc>
        <w:tc>
          <w:tcPr>
            <w:tcW w:w="837" w:type="dxa"/>
            <w:noWrap/>
          </w:tcPr>
          <w:p w14:paraId="4830C83F">
            <w:pPr>
              <w:spacing w:after="0" w:line="360" w:lineRule="auto"/>
              <w:jc w:val="both"/>
              <w:rPr>
                <w:rFonts w:asciiTheme="majorBidi" w:hAnsiTheme="majorBidi" w:cstheme="majorBidi"/>
                <w:sz w:val="24"/>
                <w:szCs w:val="24"/>
              </w:rPr>
            </w:pPr>
            <w:r>
              <w:rPr>
                <w:rFonts w:asciiTheme="majorBidi" w:hAnsiTheme="majorBidi" w:cstheme="majorBidi"/>
                <w:sz w:val="24"/>
                <w:szCs w:val="24"/>
              </w:rPr>
              <w:t>6.30%</w:t>
            </w:r>
          </w:p>
        </w:tc>
      </w:tr>
      <w:tr w14:paraId="10F39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2DE47C35">
            <w:pPr>
              <w:spacing w:after="0" w:line="360" w:lineRule="auto"/>
              <w:rPr>
                <w:rFonts w:asciiTheme="majorBidi" w:hAnsiTheme="majorBidi" w:cstheme="majorBidi"/>
                <w:sz w:val="24"/>
                <w:szCs w:val="24"/>
              </w:rPr>
            </w:pPr>
            <w:r>
              <w:rPr>
                <w:rFonts w:asciiTheme="majorBidi" w:hAnsiTheme="majorBidi" w:cstheme="majorBidi"/>
                <w:sz w:val="24"/>
                <w:szCs w:val="24"/>
              </w:rPr>
              <w:t>In an attempt to gain social approval or conform to peer norms, students engage in dishonest behavior during examinations, including cheating or sharing exam-related content online</w:t>
            </w:r>
          </w:p>
        </w:tc>
        <w:tc>
          <w:tcPr>
            <w:tcW w:w="643" w:type="dxa"/>
          </w:tcPr>
          <w:p w14:paraId="04EB7C8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317DB8AC">
            <w:pPr>
              <w:spacing w:after="0" w:line="360" w:lineRule="auto"/>
              <w:jc w:val="both"/>
              <w:rPr>
                <w:rFonts w:asciiTheme="majorBidi" w:hAnsiTheme="majorBidi" w:cstheme="majorBidi"/>
                <w:sz w:val="24"/>
                <w:szCs w:val="24"/>
              </w:rPr>
            </w:pPr>
            <w:r>
              <w:rPr>
                <w:rFonts w:asciiTheme="majorBidi" w:hAnsiTheme="majorBidi" w:cstheme="majorBidi"/>
                <w:sz w:val="24"/>
                <w:szCs w:val="24"/>
              </w:rPr>
              <w:t>3.10%</w:t>
            </w:r>
          </w:p>
        </w:tc>
        <w:tc>
          <w:tcPr>
            <w:tcW w:w="947" w:type="dxa"/>
            <w:noWrap/>
          </w:tcPr>
          <w:p w14:paraId="3F2279E6">
            <w:pPr>
              <w:spacing w:after="0" w:line="360" w:lineRule="auto"/>
              <w:jc w:val="both"/>
              <w:rPr>
                <w:rFonts w:asciiTheme="majorBidi" w:hAnsiTheme="majorBidi" w:cstheme="majorBidi"/>
                <w:sz w:val="24"/>
                <w:szCs w:val="24"/>
              </w:rPr>
            </w:pPr>
            <w:r>
              <w:rPr>
                <w:rFonts w:asciiTheme="majorBidi" w:hAnsiTheme="majorBidi" w:cstheme="majorBidi"/>
                <w:sz w:val="24"/>
                <w:szCs w:val="24"/>
              </w:rPr>
              <w:t>14.10%</w:t>
            </w:r>
          </w:p>
        </w:tc>
        <w:tc>
          <w:tcPr>
            <w:tcW w:w="942" w:type="dxa"/>
            <w:noWrap/>
          </w:tcPr>
          <w:p w14:paraId="28AB371C">
            <w:pPr>
              <w:spacing w:after="0" w:line="360" w:lineRule="auto"/>
              <w:jc w:val="both"/>
              <w:rPr>
                <w:rFonts w:asciiTheme="majorBidi" w:hAnsiTheme="majorBidi" w:cstheme="majorBidi"/>
                <w:sz w:val="24"/>
                <w:szCs w:val="24"/>
              </w:rPr>
            </w:pPr>
            <w:r>
              <w:rPr>
                <w:rFonts w:asciiTheme="majorBidi" w:hAnsiTheme="majorBidi" w:cstheme="majorBidi"/>
                <w:sz w:val="24"/>
                <w:szCs w:val="24"/>
              </w:rPr>
              <w:t>41.40%</w:t>
            </w:r>
          </w:p>
        </w:tc>
        <w:tc>
          <w:tcPr>
            <w:tcW w:w="978" w:type="dxa"/>
            <w:noWrap/>
          </w:tcPr>
          <w:p w14:paraId="4B6DFCBF">
            <w:pPr>
              <w:spacing w:after="0" w:line="360" w:lineRule="auto"/>
              <w:jc w:val="both"/>
              <w:rPr>
                <w:rFonts w:asciiTheme="majorBidi" w:hAnsiTheme="majorBidi" w:cstheme="majorBidi"/>
                <w:sz w:val="24"/>
                <w:szCs w:val="24"/>
              </w:rPr>
            </w:pPr>
            <w:r>
              <w:rPr>
                <w:rFonts w:asciiTheme="majorBidi" w:hAnsiTheme="majorBidi" w:cstheme="majorBidi"/>
                <w:sz w:val="24"/>
                <w:szCs w:val="24"/>
              </w:rPr>
              <w:t>32.00%</w:t>
            </w:r>
          </w:p>
        </w:tc>
        <w:tc>
          <w:tcPr>
            <w:tcW w:w="837" w:type="dxa"/>
            <w:noWrap/>
          </w:tcPr>
          <w:p w14:paraId="5586017A">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r>
    </w:tbl>
    <w:p w14:paraId="6C6FCAE1">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5A810EA">
      <w:pPr>
        <w:spacing w:line="480" w:lineRule="auto"/>
        <w:jc w:val="both"/>
        <w:rPr>
          <w:rFonts w:asciiTheme="majorBidi" w:hAnsiTheme="majorBidi" w:cstheme="majorBidi"/>
          <w:sz w:val="24"/>
          <w:szCs w:val="24"/>
        </w:rPr>
      </w:pPr>
      <w:r>
        <w:rPr>
          <w:rFonts w:asciiTheme="majorBidi" w:hAnsiTheme="majorBidi" w:cstheme="majorBidi"/>
          <w:color w:val="000000"/>
          <w:sz w:val="24"/>
          <w:szCs w:val="24"/>
        </w:rPr>
        <w:t xml:space="preserve">Objective six of this study </w:t>
      </w:r>
      <w:r>
        <w:rPr>
          <w:rFonts w:asciiTheme="majorBidi" w:hAnsiTheme="majorBidi" w:cstheme="majorBidi"/>
          <w:sz w:val="24"/>
          <w:szCs w:val="24"/>
        </w:rPr>
        <w:t>was to establish relationship between social media and academic integrity and examination malpractices in secondary</w:t>
      </w:r>
      <w:r>
        <w:rPr>
          <w:rFonts w:asciiTheme="majorBidi" w:hAnsiTheme="majorBidi" w:cstheme="majorBidi"/>
          <w:b/>
          <w:bCs/>
          <w:sz w:val="24"/>
          <w:szCs w:val="24"/>
        </w:rPr>
        <w:t xml:space="preserve"> </w:t>
      </w:r>
      <w:r>
        <w:rPr>
          <w:rFonts w:asciiTheme="majorBidi" w:hAnsiTheme="majorBidi" w:cstheme="majorBidi"/>
          <w:sz w:val="24"/>
          <w:szCs w:val="24"/>
        </w:rPr>
        <w:t>schools in Garissa Township Sub County</w:t>
      </w:r>
      <w:r>
        <w:rPr>
          <w:rFonts w:asciiTheme="majorBidi" w:hAnsiTheme="majorBidi" w:cstheme="majorBidi"/>
          <w:b/>
          <w:bCs/>
          <w:sz w:val="24"/>
          <w:szCs w:val="24"/>
        </w:rPr>
        <w:t xml:space="preserve"> </w:t>
      </w:r>
      <w:r>
        <w:rPr>
          <w:rFonts w:asciiTheme="majorBidi" w:hAnsiTheme="majorBidi" w:cstheme="majorBidi"/>
          <w:sz w:val="24"/>
          <w:szCs w:val="24"/>
        </w:rPr>
        <w:t>and it was found that there is significant relationship. Questionnaire items 24 - 28 was used to test</w:t>
      </w:r>
      <w:r>
        <w:rPr>
          <w:rFonts w:asciiTheme="majorBidi" w:hAnsiTheme="majorBidi" w:cstheme="majorBidi"/>
          <w:b/>
          <w:bCs/>
          <w:sz w:val="24"/>
          <w:szCs w:val="24"/>
        </w:rPr>
        <w:t xml:space="preserve">. </w:t>
      </w:r>
      <w:r>
        <w:rPr>
          <w:rFonts w:asciiTheme="majorBidi" w:hAnsiTheme="majorBidi" w:cstheme="majorBidi"/>
          <w:sz w:val="24"/>
          <w:szCs w:val="24"/>
        </w:rPr>
        <w:t>The provided table offers insights into perceptions regarding the impact of social media and technology availability. The findings suggest that a considerable proportion of respondents believe that students possess phones during exams, with 48.40% agreeing and 9.40% strongly agreeing in response to questionnaire item 24 that</w:t>
      </w:r>
      <w:r>
        <w:rPr>
          <w:rFonts w:asciiTheme="majorBidi" w:hAnsiTheme="majorBidi" w:cstheme="majorBidi"/>
          <w:b/>
          <w:bCs/>
          <w:sz w:val="24"/>
          <w:szCs w:val="24"/>
        </w:rPr>
        <w:t xml:space="preserve"> </w:t>
      </w:r>
      <w:r>
        <w:rPr>
          <w:rFonts w:asciiTheme="majorBidi" w:hAnsiTheme="majorBidi" w:cstheme="majorBidi"/>
          <w:sz w:val="24"/>
          <w:szCs w:val="24"/>
        </w:rPr>
        <w:t xml:space="preserve">Students possess phones during exams. Allowing students to possess phones during exams raises several concerns related to academic integrity, security, and overall exam administration. </w:t>
      </w:r>
    </w:p>
    <w:p w14:paraId="7FBF29DA">
      <w:pPr>
        <w:spacing w:line="480" w:lineRule="auto"/>
        <w:jc w:val="both"/>
        <w:rPr>
          <w:rFonts w:asciiTheme="majorBidi" w:hAnsiTheme="majorBidi" w:cstheme="majorBidi"/>
          <w:sz w:val="24"/>
          <w:szCs w:val="24"/>
        </w:rPr>
      </w:pPr>
      <w:r>
        <w:rPr>
          <w:rFonts w:asciiTheme="majorBidi" w:hAnsiTheme="majorBidi" w:cstheme="majorBidi"/>
          <w:sz w:val="24"/>
          <w:szCs w:val="24"/>
        </w:rPr>
        <w:t>The presence of phones in exam environments can lead to various forms of misconduct and distraction, posing significant challenges for teachers and institutions (Rogers and White 2021). Phones provide easy access to information and communication, making it easier for students to cheat. They can use phones to look up answers, share information with others, or receive unauthorized assistance. During exams, phones can be used for communication among students or with external parties, leading to coordinated cheating efforts (</w:t>
      </w:r>
      <w:r>
        <w:rPr>
          <w:rFonts w:asciiTheme="majorBidi" w:hAnsiTheme="majorBidi" w:cstheme="majorBidi"/>
          <w:sz w:val="24"/>
          <w:szCs w:val="24"/>
          <w:shd w:val="clear" w:color="auto" w:fill="FFFFFF"/>
        </w:rPr>
        <w:t>Williams, L. S. 2018)</w:t>
      </w:r>
      <w:r>
        <w:rPr>
          <w:rFonts w:asciiTheme="majorBidi" w:hAnsiTheme="majorBidi" w:cstheme="majorBidi"/>
          <w:sz w:val="24"/>
          <w:szCs w:val="24"/>
        </w:rPr>
        <w:t xml:space="preserve">. The presence of phones during exams has become a contentious issue in educational settings. Mobile phones have become ubiquitous among students, providing communication and access to information. Widespread use of phones has led to increased instances of students bringing them into exams, raising concerns about academic integrity and exam disruptions. Possessing phones during exams can increase the risk of academic dishonesty. </w:t>
      </w:r>
    </w:p>
    <w:p w14:paraId="2AE85E1C">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Johnson et al. (2020) found that students who bring phones into exams are more likely to engage in cheating, such as accessing unauthorized information or communicating with others. This has prompted many educational institutions to implement strict policies regarding phone usage during exams. Phones can also cause disruptions during exams, affecting the concentration and performance of other students. Rogers and White (2021) noted that ringing phones or message notifications can distract both students and invigilators, compromising the integrity of the examination environment. These disruptions can lead to increased stress and reduced focus among exam-takers. To mitigate the impact of students possessing phones during exams, educational institutions can implement various strategies. </w:t>
      </w:r>
    </w:p>
    <w:p w14:paraId="57DE6EC3">
      <w:pPr>
        <w:spacing w:line="480" w:lineRule="auto"/>
        <w:jc w:val="both"/>
        <w:rPr>
          <w:rFonts w:asciiTheme="majorBidi" w:hAnsiTheme="majorBidi" w:cstheme="majorBidi"/>
          <w:sz w:val="24"/>
          <w:szCs w:val="24"/>
        </w:rPr>
      </w:pPr>
      <w:r>
        <w:rPr>
          <w:rFonts w:asciiTheme="majorBidi" w:hAnsiTheme="majorBidi" w:cstheme="majorBidi"/>
          <w:sz w:val="24"/>
          <w:szCs w:val="24"/>
        </w:rPr>
        <w:t>In respondent to questionnaire item 25, 41.40% agree while 5.50% strongly agree that the prevalence of a cheating culture can significantly influence students' decisions to use social media during exams. Social media platforms offer easy communication, information sharing, and collaboration, making them a potential tool for cheating when misused during exams. In environments where cheating is prevalent, students may view cheating as acceptable behavior. Social media provides a convenient way to collaborate or share answers during exams, reinforcing this norm. The prevalence of cheating culture significantly influences students' decisions to use social media during exams. Students who are exposed to a cheating culture are more likely to seek out unethical means to gain an advantage, including using social media to share exam answers or solicit assistance from peers (Johnson et al., 2020). This behavior is often driven by the fear of academic failure and the pressure to perform well academically. Students may turn to social media during exams for various reasons, including accessing illicit materials, seeking help from peers, or engaging in collaborative cheating schemes. Rogers and Davis (2018) suggest implementing strict proctoring measures, educating students about the consequences of academic dishonesty, and promoting a culture of integrity and ethical behavior and additionally, leveraging technology to monitor and detect suspicious online activities can help deter cheating behavior and uphold exam integrity.</w:t>
      </w:r>
    </w:p>
    <w:p w14:paraId="077F5274">
      <w:pPr>
        <w:spacing w:line="480" w:lineRule="auto"/>
        <w:jc w:val="both"/>
        <w:rPr>
          <w:rFonts w:asciiTheme="majorBidi" w:hAnsiTheme="majorBidi" w:cstheme="majorBidi"/>
          <w:sz w:val="24"/>
          <w:szCs w:val="24"/>
        </w:rPr>
      </w:pPr>
      <w:r>
        <w:rPr>
          <w:rFonts w:asciiTheme="majorBidi" w:hAnsiTheme="majorBidi" w:cstheme="majorBidi"/>
          <w:sz w:val="24"/>
          <w:szCs w:val="24"/>
        </w:rPr>
        <w:t>43.00% of the respondent of questionnaire item 26 have no idea whether Students get answers before and during exams through social media while another 43.00% agree and 9.40% strongly agree that Students obtaining answers before and during exams through social media represents a significant challenge for academic integrity. Social media platforms, with their vast reach and instant communication, can be used to share exam content and solutions, leading to widespread academic dishonesty (Lee et al. 2020). Students can use social media platforms to share exam questions and answers quickly. This can happen before an exam if the content is leaked or during the exam if students can access social media. Social media allows for real-time communication and coordination among students. They can form groups or use direct messages to share information during exams (</w:t>
      </w:r>
      <w:r>
        <w:rPr>
          <w:rFonts w:asciiTheme="majorBidi" w:hAnsiTheme="majorBidi" w:cstheme="majorBidi"/>
          <w:sz w:val="24"/>
          <w:szCs w:val="24"/>
          <w:shd w:val="clear" w:color="auto" w:fill="FFFFFF"/>
        </w:rPr>
        <w:t>Asterhan, &amp; Bouton, 2017)</w:t>
      </w:r>
      <w:r>
        <w:rPr>
          <w:rFonts w:asciiTheme="majorBidi" w:hAnsiTheme="majorBidi" w:cstheme="majorBidi"/>
          <w:sz w:val="24"/>
          <w:szCs w:val="24"/>
        </w:rPr>
        <w:t xml:space="preserve">. </w:t>
      </w:r>
    </w:p>
    <w:p w14:paraId="7EE48DA8">
      <w:pPr>
        <w:spacing w:after="0" w:line="480" w:lineRule="auto"/>
        <w:jc w:val="both"/>
        <w:rPr>
          <w:rFonts w:asciiTheme="majorBidi" w:hAnsiTheme="majorBidi" w:cstheme="majorBidi"/>
          <w:sz w:val="24"/>
          <w:szCs w:val="24"/>
        </w:rPr>
      </w:pPr>
      <w:r>
        <w:rPr>
          <w:rFonts w:asciiTheme="majorBidi" w:hAnsiTheme="majorBidi" w:cstheme="majorBidi"/>
          <w:sz w:val="24"/>
          <w:szCs w:val="24"/>
        </w:rPr>
        <w:t>The convenience and anonymity of social media contribute to its use for unethical purposes during exams. Students use various methods to obtain exam answers through social media. Johnson et al. (2020) found that students may share exam answers in private groups, direct messages, or through coded language in public posts to avoid detection. These activities often occur in real-time, allowing students to receive answers during exams. The practice of getting exam answers through social media poses a significant threat to academic integrity. To address the issue of students getting exam answers through social media, educational institutions can implement various strategies. Furthermore, fostering a culture of academic integrity can help reduce the motivation to cheat through social media.</w:t>
      </w:r>
    </w:p>
    <w:p w14:paraId="16AD1B2A">
      <w:pPr>
        <w:spacing w:after="0" w:line="480" w:lineRule="auto"/>
        <w:jc w:val="both"/>
        <w:rPr>
          <w:rFonts w:asciiTheme="majorBidi" w:hAnsiTheme="majorBidi" w:cstheme="majorBidi"/>
          <w:sz w:val="24"/>
          <w:szCs w:val="24"/>
        </w:rPr>
      </w:pPr>
      <w:r>
        <w:rPr>
          <w:rFonts w:asciiTheme="majorBidi" w:hAnsiTheme="majorBidi" w:cstheme="majorBidi"/>
          <w:sz w:val="24"/>
          <w:szCs w:val="24"/>
        </w:rPr>
        <w:t>Majority of the respondent in questionnaire item 27 about 51.60% have no opinion whether</w:t>
      </w:r>
      <w:r>
        <w:rPr>
          <w:rFonts w:asciiTheme="majorBidi" w:hAnsiTheme="majorBidi" w:cstheme="majorBidi"/>
          <w:b/>
          <w:bCs/>
          <w:sz w:val="24"/>
          <w:szCs w:val="24"/>
        </w:rPr>
        <w:t xml:space="preserve"> </w:t>
      </w:r>
      <w:r>
        <w:rPr>
          <w:rFonts w:asciiTheme="majorBidi" w:hAnsiTheme="majorBidi" w:cstheme="majorBidi"/>
          <w:sz w:val="24"/>
          <w:szCs w:val="24"/>
        </w:rPr>
        <w:t>the proliferation of technology has introduced new avenues for academic dishonesty while 33.6% agree and 6.30% strongly agree that proliferation of technology has indeed created new avenues for academic dishonesty. While technology can enhance learning and provide access to vast resources, it has also made it easier for students to engage in various forms of cheating (</w:t>
      </w:r>
      <w:r>
        <w:rPr>
          <w:rFonts w:asciiTheme="majorBidi" w:hAnsiTheme="majorBidi" w:cstheme="majorBidi"/>
          <w:sz w:val="24"/>
          <w:szCs w:val="24"/>
          <w:shd w:val="clear" w:color="auto" w:fill="FFFFFF"/>
        </w:rPr>
        <w:t>Manca, &amp; Ranieri, 2017</w:t>
      </w:r>
      <w:r>
        <w:rPr>
          <w:rFonts w:asciiTheme="majorBidi" w:hAnsiTheme="majorBidi" w:cstheme="majorBidi"/>
          <w:sz w:val="24"/>
          <w:szCs w:val="24"/>
        </w:rPr>
        <w:t xml:space="preserve">). Students can use smartphones, smartwatches, and other electronic devices to access information during exams. They can also communicate with others or access unauthorized resources. Social media platforms, messaging apps, and other online communication tools allow students to share exam answers, collaborate on assignments, or receive unauthorized assistance (Lancaster &amp; Culwin, 2001). </w:t>
      </w:r>
    </w:p>
    <w:p w14:paraId="311175DC">
      <w:pPr>
        <w:spacing w:after="0" w:line="480" w:lineRule="auto"/>
        <w:jc w:val="both"/>
        <w:rPr>
          <w:rFonts w:asciiTheme="majorBidi" w:hAnsiTheme="majorBidi" w:cstheme="majorBidi"/>
          <w:sz w:val="24"/>
          <w:szCs w:val="24"/>
        </w:rPr>
      </w:pPr>
      <w:r>
        <w:rPr>
          <w:rFonts w:asciiTheme="majorBidi" w:hAnsiTheme="majorBidi" w:cstheme="majorBidi"/>
          <w:sz w:val="24"/>
          <w:szCs w:val="24"/>
        </w:rPr>
        <w:t>The widespread availability of technology creates challenges for educators seeking to maintain academic integrity. Students use various technological methods to engage in academic dishonesty. Common practices, such as using smartphones to search for answers, sharing information through social media, and plagiarizing from online. These methods make it more challenging for teachers to detect cheating and maintain the integrity of assessments (Johnson et al. 2020). The proliferation of technology has a profound impact on academic integrity. The ease with which students can access information and share answers online has led to an increase in academic dishonesty. This trend undermines the value of education and creates unfair advantages for students who cheat. Several factors contribute to the use of technology for academic dishonesty. Academic pressure, peer influence, and the perceived ease of cheating play significant roles in motivating students to use technology for unethical purposes (Rogers &amp; Davis, 2018). Additionally, inadequate supervision during exams and a lack of strict enforcement can further encourage technology-enabled cheating. Educational institutions can implement various strategies to address technology-enabled academic dishonesty. Using technology to detect and prevent cheating, such as implementing proctoring software and monitoring online activities during exams.</w:t>
      </w:r>
    </w:p>
    <w:p w14:paraId="3AB38977">
      <w:pPr>
        <w:spacing w:after="0" w:line="480" w:lineRule="auto"/>
        <w:jc w:val="both"/>
        <w:rPr>
          <w:rFonts w:asciiTheme="majorBidi" w:hAnsiTheme="majorBidi" w:cstheme="majorBidi"/>
          <w:sz w:val="24"/>
          <w:szCs w:val="24"/>
        </w:rPr>
      </w:pPr>
      <w:r>
        <w:rPr>
          <w:rFonts w:asciiTheme="majorBidi" w:hAnsiTheme="majorBidi" w:cstheme="majorBidi"/>
          <w:sz w:val="24"/>
          <w:szCs w:val="24"/>
        </w:rPr>
        <w:t>41.40% of the respondent of questionnaire item 28 have no idea whether</w:t>
      </w:r>
      <w:r>
        <w:rPr>
          <w:rFonts w:asciiTheme="majorBidi" w:hAnsiTheme="majorBidi" w:cstheme="majorBidi"/>
          <w:b/>
          <w:bCs/>
          <w:sz w:val="24"/>
          <w:szCs w:val="24"/>
        </w:rPr>
        <w:t xml:space="preserve"> </w:t>
      </w:r>
      <w:r>
        <w:rPr>
          <w:rFonts w:asciiTheme="majorBidi" w:hAnsiTheme="majorBidi" w:cstheme="majorBidi"/>
          <w:sz w:val="24"/>
          <w:szCs w:val="24"/>
        </w:rPr>
        <w:t>in an attempt to gain social approval or conform to peer norms, students engage in dishonest behavior during examinations, including cheating or sharing exam- related content online while 32.00% of the respondent agrees and 9.40% strongly agree that</w:t>
      </w:r>
      <w:r>
        <w:rPr>
          <w:rFonts w:asciiTheme="majorBidi" w:hAnsiTheme="majorBidi" w:cstheme="majorBidi"/>
          <w:b/>
          <w:bCs/>
          <w:sz w:val="24"/>
          <w:szCs w:val="24"/>
        </w:rPr>
        <w:t xml:space="preserve"> </w:t>
      </w:r>
      <w:r>
        <w:rPr>
          <w:rFonts w:asciiTheme="majorBidi" w:hAnsiTheme="majorBidi" w:cstheme="majorBidi"/>
          <w:sz w:val="24"/>
          <w:szCs w:val="24"/>
        </w:rPr>
        <w:t xml:space="preserve">social approval and peer pressure can be significant drivers of dishonest behavior during examinations. When students seek acceptance or wish to conform to perceived peer norms, they may resort to cheating or sharing exam-related content online (Viner et al., 2015). Understanding these dynamics can help teachers and institutions devise strategies to mitigate the influence of peer pressure on academic dishonesty. Literature review explores how social approval and peer norms can drive students to engage in dishonest behavior, including cheating and sharing exam-related content online. It examines the underlying causes, the impact on academic integrity, and potential strategies to address this issue. Social approval is a powerful motivator for students, influencing their behavior during examinations. </w:t>
      </w:r>
    </w:p>
    <w:p w14:paraId="2BC9F6F8">
      <w:pPr>
        <w:spacing w:line="480" w:lineRule="auto"/>
        <w:jc w:val="both"/>
        <w:rPr>
          <w:rFonts w:asciiTheme="majorBidi" w:hAnsiTheme="majorBidi" w:cstheme="majorBidi"/>
          <w:sz w:val="24"/>
          <w:szCs w:val="24"/>
        </w:rPr>
      </w:pPr>
      <w:r>
        <w:rPr>
          <w:rFonts w:asciiTheme="majorBidi" w:hAnsiTheme="majorBidi" w:cstheme="majorBidi"/>
          <w:sz w:val="24"/>
          <w:szCs w:val="24"/>
        </w:rPr>
        <w:t>Peer pressure can create an environment where academic dishonesty is normalized, encouraging students to conform to unethical behaviors. Conforming to peer norms can lead to academic dishonesty, with students adopting the behaviors they observe in their peers. Johnson et al. (2020) found that students who perceive cheating as common among their peers are more likely to engage in similar practices during exams. This creates a cycle where cheating becomes part of the academic culture, challenging educators' efforts to maintain exam integrity. The rise of social media and online communication platforms has facilitated the sharing of exam-related content, contributing to academic dishonesty.</w:t>
      </w:r>
    </w:p>
    <w:p w14:paraId="7E145B69">
      <w:pPr>
        <w:pStyle w:val="2"/>
        <w:spacing w:before="0"/>
        <w:rPr>
          <w:rFonts w:asciiTheme="majorBidi" w:hAnsiTheme="majorBidi"/>
          <w:b w:val="0"/>
          <w:bCs w:val="0"/>
          <w:color w:val="auto"/>
          <w:sz w:val="24"/>
          <w:szCs w:val="24"/>
        </w:rPr>
      </w:pPr>
      <w:bookmarkStart w:id="268" w:name="_Toc194769965"/>
      <w:bookmarkStart w:id="269" w:name="_Toc194822685"/>
      <w:r>
        <w:rPr>
          <w:rFonts w:asciiTheme="majorBidi" w:hAnsiTheme="majorBidi"/>
          <w:b w:val="0"/>
          <w:bCs w:val="0"/>
          <w:color w:val="auto"/>
          <w:sz w:val="24"/>
          <w:szCs w:val="24"/>
        </w:rPr>
        <w:t>Table 21:</w:t>
      </w:r>
      <w:bookmarkEnd w:id="268"/>
      <w:bookmarkEnd w:id="269"/>
    </w:p>
    <w:p w14:paraId="6E03CABF">
      <w:pPr>
        <w:pStyle w:val="2"/>
        <w:spacing w:after="240"/>
        <w:rPr>
          <w:rFonts w:asciiTheme="majorBidi" w:hAnsiTheme="majorBidi"/>
          <w:b w:val="0"/>
          <w:bCs w:val="0"/>
          <w:i/>
          <w:iCs/>
          <w:color w:val="auto"/>
          <w:sz w:val="24"/>
          <w:szCs w:val="24"/>
        </w:rPr>
      </w:pPr>
      <w:bookmarkStart w:id="270" w:name="_Toc194769966"/>
      <w:bookmarkStart w:id="271" w:name="_Toc194822686"/>
      <w:r>
        <w:rPr>
          <w:rFonts w:asciiTheme="majorBidi" w:hAnsiTheme="majorBidi"/>
          <w:b w:val="0"/>
          <w:bCs w:val="0"/>
          <w:i/>
          <w:iCs/>
          <w:color w:val="auto"/>
          <w:sz w:val="24"/>
          <w:szCs w:val="24"/>
        </w:rPr>
        <w:t>Mean and standard deviation of social media items</w:t>
      </w:r>
      <w:bookmarkEnd w:id="270"/>
      <w:bookmarkEnd w:id="271"/>
    </w:p>
    <w:tbl>
      <w:tblPr>
        <w:tblStyle w:val="20"/>
        <w:tblW w:w="918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60"/>
        <w:gridCol w:w="885"/>
        <w:gridCol w:w="1134"/>
        <w:gridCol w:w="1701"/>
      </w:tblGrid>
      <w:tr w14:paraId="166DA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00" w:hRule="atLeast"/>
        </w:trPr>
        <w:tc>
          <w:tcPr>
            <w:tcW w:w="5460" w:type="dxa"/>
            <w:tcBorders>
              <w:top w:val="single" w:color="auto" w:sz="4" w:space="0"/>
              <w:bottom w:val="single" w:color="auto" w:sz="4" w:space="0"/>
            </w:tcBorders>
            <w:noWrap/>
          </w:tcPr>
          <w:p w14:paraId="2285E81E">
            <w:pPr>
              <w:spacing w:after="0" w:line="360" w:lineRule="auto"/>
              <w:rPr>
                <w:rFonts w:asciiTheme="majorBidi" w:hAnsiTheme="majorBidi" w:cstheme="majorBidi"/>
                <w:b/>
                <w:bCs/>
                <w:sz w:val="24"/>
                <w:szCs w:val="24"/>
              </w:rPr>
            </w:pPr>
          </w:p>
        </w:tc>
        <w:tc>
          <w:tcPr>
            <w:tcW w:w="885" w:type="dxa"/>
            <w:tcBorders>
              <w:top w:val="single" w:color="auto" w:sz="4" w:space="0"/>
              <w:bottom w:val="single" w:color="auto" w:sz="4" w:space="0"/>
            </w:tcBorders>
          </w:tcPr>
          <w:p w14:paraId="06267B94">
            <w:pPr>
              <w:spacing w:after="0" w:line="360" w:lineRule="auto"/>
              <w:jc w:val="both"/>
              <w:rPr>
                <w:rFonts w:asciiTheme="majorBidi" w:hAnsiTheme="majorBidi" w:cstheme="majorBidi"/>
                <w:b/>
                <w:sz w:val="24"/>
                <w:szCs w:val="24"/>
              </w:rPr>
            </w:pPr>
            <w:r>
              <w:rPr>
                <w:rFonts w:asciiTheme="majorBidi" w:hAnsiTheme="majorBidi" w:cstheme="majorBidi"/>
                <w:b/>
                <w:sz w:val="24"/>
                <w:szCs w:val="24"/>
              </w:rPr>
              <w:t>N</w:t>
            </w:r>
          </w:p>
        </w:tc>
        <w:tc>
          <w:tcPr>
            <w:tcW w:w="1134" w:type="dxa"/>
            <w:tcBorders>
              <w:top w:val="single" w:color="auto" w:sz="4" w:space="0"/>
              <w:bottom w:val="single" w:color="auto" w:sz="4" w:space="0"/>
            </w:tcBorders>
            <w:noWrap/>
          </w:tcPr>
          <w:p w14:paraId="0D5F847B">
            <w:pPr>
              <w:spacing w:after="0" w:line="360" w:lineRule="auto"/>
              <w:jc w:val="both"/>
              <w:rPr>
                <w:rFonts w:asciiTheme="majorBidi" w:hAnsiTheme="majorBidi" w:cstheme="majorBidi"/>
                <w:b/>
                <w:sz w:val="24"/>
                <w:szCs w:val="24"/>
              </w:rPr>
            </w:pPr>
            <w:r>
              <w:rPr>
                <w:rFonts w:asciiTheme="majorBidi" w:hAnsiTheme="majorBidi" w:cstheme="majorBidi"/>
                <w:b/>
                <w:sz w:val="24"/>
                <w:szCs w:val="24"/>
              </w:rPr>
              <w:t>Mean</w:t>
            </w:r>
          </w:p>
        </w:tc>
        <w:tc>
          <w:tcPr>
            <w:tcW w:w="1701" w:type="dxa"/>
            <w:tcBorders>
              <w:top w:val="single" w:color="auto" w:sz="4" w:space="0"/>
              <w:bottom w:val="single" w:color="auto" w:sz="4" w:space="0"/>
            </w:tcBorders>
            <w:noWrap/>
          </w:tcPr>
          <w:p w14:paraId="246A2080">
            <w:pPr>
              <w:spacing w:after="0" w:line="360" w:lineRule="auto"/>
              <w:jc w:val="both"/>
              <w:rPr>
                <w:rFonts w:asciiTheme="majorBidi" w:hAnsiTheme="majorBidi" w:cstheme="majorBidi"/>
                <w:b/>
                <w:sz w:val="24"/>
                <w:szCs w:val="24"/>
              </w:rPr>
            </w:pPr>
            <w:r>
              <w:rPr>
                <w:rFonts w:asciiTheme="majorBidi" w:hAnsiTheme="majorBidi" w:cstheme="majorBidi"/>
                <w:b/>
                <w:sz w:val="24"/>
                <w:szCs w:val="24"/>
              </w:rPr>
              <w:t>Std. Deviation</w:t>
            </w:r>
          </w:p>
        </w:tc>
      </w:tr>
      <w:tr w14:paraId="74AD17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tcBorders>
              <w:top w:val="single" w:color="auto" w:sz="4" w:space="0"/>
            </w:tcBorders>
            <w:noWrap/>
          </w:tcPr>
          <w:p w14:paraId="07084CFB">
            <w:pPr>
              <w:spacing w:after="0" w:line="360" w:lineRule="auto"/>
              <w:rPr>
                <w:rFonts w:asciiTheme="majorBidi" w:hAnsiTheme="majorBidi" w:cstheme="majorBidi"/>
                <w:sz w:val="24"/>
                <w:szCs w:val="24"/>
              </w:rPr>
            </w:pPr>
            <w:r>
              <w:rPr>
                <w:rFonts w:asciiTheme="majorBidi" w:hAnsiTheme="majorBidi" w:cstheme="majorBidi"/>
                <w:sz w:val="24"/>
                <w:szCs w:val="24"/>
              </w:rPr>
              <w:t>Students possess phones during exams.</w:t>
            </w:r>
          </w:p>
        </w:tc>
        <w:tc>
          <w:tcPr>
            <w:tcW w:w="885" w:type="dxa"/>
            <w:tcBorders>
              <w:top w:val="single" w:color="auto" w:sz="4" w:space="0"/>
            </w:tcBorders>
          </w:tcPr>
          <w:p w14:paraId="647DEE61">
            <w:pPr>
              <w:spacing w:after="0" w:line="360" w:lineRule="auto"/>
              <w:jc w:val="both"/>
              <w:rPr>
                <w:rFonts w:asciiTheme="majorBidi" w:hAnsiTheme="majorBidi" w:cstheme="majorBidi"/>
                <w:sz w:val="24"/>
                <w:szCs w:val="24"/>
              </w:rPr>
            </w:pPr>
          </w:p>
        </w:tc>
        <w:tc>
          <w:tcPr>
            <w:tcW w:w="1134" w:type="dxa"/>
            <w:tcBorders>
              <w:top w:val="single" w:color="auto" w:sz="4" w:space="0"/>
            </w:tcBorders>
            <w:noWrap/>
          </w:tcPr>
          <w:p w14:paraId="4E2EFE17">
            <w:pPr>
              <w:spacing w:after="0" w:line="360" w:lineRule="auto"/>
              <w:jc w:val="both"/>
              <w:rPr>
                <w:rFonts w:asciiTheme="majorBidi" w:hAnsiTheme="majorBidi" w:cstheme="majorBidi"/>
                <w:sz w:val="24"/>
                <w:szCs w:val="24"/>
              </w:rPr>
            </w:pPr>
            <w:r>
              <w:rPr>
                <w:rFonts w:asciiTheme="majorBidi" w:hAnsiTheme="majorBidi" w:cstheme="majorBidi"/>
                <w:sz w:val="24"/>
                <w:szCs w:val="24"/>
              </w:rPr>
              <w:t>3.63</w:t>
            </w:r>
          </w:p>
        </w:tc>
        <w:tc>
          <w:tcPr>
            <w:tcW w:w="1701" w:type="dxa"/>
            <w:tcBorders>
              <w:top w:val="single" w:color="auto" w:sz="4" w:space="0"/>
            </w:tcBorders>
            <w:noWrap/>
          </w:tcPr>
          <w:p w14:paraId="7BD6A60C">
            <w:pPr>
              <w:spacing w:after="0" w:line="360" w:lineRule="auto"/>
              <w:jc w:val="both"/>
              <w:rPr>
                <w:rFonts w:asciiTheme="majorBidi" w:hAnsiTheme="majorBidi" w:cstheme="majorBidi"/>
                <w:sz w:val="24"/>
                <w:szCs w:val="24"/>
              </w:rPr>
            </w:pPr>
            <w:r>
              <w:rPr>
                <w:rFonts w:asciiTheme="majorBidi" w:hAnsiTheme="majorBidi" w:cstheme="majorBidi"/>
                <w:sz w:val="24"/>
                <w:szCs w:val="24"/>
              </w:rPr>
              <w:t>0.708</w:t>
            </w:r>
          </w:p>
        </w:tc>
      </w:tr>
      <w:tr w14:paraId="58F1F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2F6DDD3C">
            <w:pPr>
              <w:spacing w:after="0" w:line="360" w:lineRule="auto"/>
              <w:rPr>
                <w:rFonts w:asciiTheme="majorBidi" w:hAnsiTheme="majorBidi" w:cstheme="majorBidi"/>
                <w:sz w:val="24"/>
                <w:szCs w:val="24"/>
              </w:rPr>
            </w:pPr>
            <w:r>
              <w:rPr>
                <w:rFonts w:asciiTheme="majorBidi" w:hAnsiTheme="majorBidi" w:cstheme="majorBidi"/>
                <w:sz w:val="24"/>
                <w:szCs w:val="24"/>
              </w:rPr>
              <w:t>Prevalence of cheating culture influence students' decisions to use social media during Exams.</w:t>
            </w:r>
          </w:p>
        </w:tc>
        <w:tc>
          <w:tcPr>
            <w:tcW w:w="885" w:type="dxa"/>
          </w:tcPr>
          <w:p w14:paraId="24CD0C4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695C0210">
            <w:pPr>
              <w:spacing w:after="0" w:line="360" w:lineRule="auto"/>
              <w:jc w:val="both"/>
              <w:rPr>
                <w:rFonts w:asciiTheme="majorBidi" w:hAnsiTheme="majorBidi" w:cstheme="majorBidi"/>
                <w:sz w:val="24"/>
                <w:szCs w:val="24"/>
              </w:rPr>
            </w:pPr>
            <w:r>
              <w:rPr>
                <w:rFonts w:asciiTheme="majorBidi" w:hAnsiTheme="majorBidi" w:cstheme="majorBidi"/>
                <w:sz w:val="24"/>
                <w:szCs w:val="24"/>
              </w:rPr>
              <w:t>3.32</w:t>
            </w:r>
          </w:p>
        </w:tc>
        <w:tc>
          <w:tcPr>
            <w:tcW w:w="1701" w:type="dxa"/>
            <w:noWrap/>
          </w:tcPr>
          <w:p w14:paraId="09C80199">
            <w:pPr>
              <w:spacing w:after="0" w:line="360" w:lineRule="auto"/>
              <w:jc w:val="both"/>
              <w:rPr>
                <w:rFonts w:asciiTheme="majorBidi" w:hAnsiTheme="majorBidi" w:cstheme="majorBidi"/>
                <w:sz w:val="24"/>
                <w:szCs w:val="24"/>
              </w:rPr>
            </w:pPr>
            <w:r>
              <w:rPr>
                <w:rFonts w:asciiTheme="majorBidi" w:hAnsiTheme="majorBidi" w:cstheme="majorBidi"/>
                <w:sz w:val="24"/>
                <w:szCs w:val="24"/>
              </w:rPr>
              <w:t>0.887</w:t>
            </w:r>
          </w:p>
        </w:tc>
      </w:tr>
      <w:tr w14:paraId="598CA9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56E8B467">
            <w:pPr>
              <w:spacing w:after="0" w:line="360" w:lineRule="auto"/>
              <w:rPr>
                <w:rFonts w:asciiTheme="majorBidi" w:hAnsiTheme="majorBidi" w:cstheme="majorBidi"/>
                <w:sz w:val="24"/>
                <w:szCs w:val="24"/>
              </w:rPr>
            </w:pPr>
            <w:r>
              <w:rPr>
                <w:rFonts w:asciiTheme="majorBidi" w:hAnsiTheme="majorBidi" w:cstheme="majorBidi"/>
                <w:sz w:val="24"/>
                <w:szCs w:val="24"/>
              </w:rPr>
              <w:t>Students get answers before and during exams through social media</w:t>
            </w:r>
          </w:p>
        </w:tc>
        <w:tc>
          <w:tcPr>
            <w:tcW w:w="885" w:type="dxa"/>
          </w:tcPr>
          <w:p w14:paraId="385DC95B">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01027E28">
            <w:pPr>
              <w:spacing w:after="0" w:line="360" w:lineRule="auto"/>
              <w:jc w:val="both"/>
              <w:rPr>
                <w:rFonts w:asciiTheme="majorBidi" w:hAnsiTheme="majorBidi" w:cstheme="majorBidi"/>
                <w:sz w:val="24"/>
                <w:szCs w:val="24"/>
              </w:rPr>
            </w:pPr>
            <w:r>
              <w:rPr>
                <w:rFonts w:asciiTheme="majorBidi" w:hAnsiTheme="majorBidi" w:cstheme="majorBidi"/>
                <w:sz w:val="24"/>
                <w:szCs w:val="24"/>
              </w:rPr>
              <w:t>3.57</w:t>
            </w:r>
          </w:p>
        </w:tc>
        <w:tc>
          <w:tcPr>
            <w:tcW w:w="1701" w:type="dxa"/>
            <w:noWrap/>
          </w:tcPr>
          <w:p w14:paraId="57AE6CB1">
            <w:pPr>
              <w:spacing w:after="0" w:line="360" w:lineRule="auto"/>
              <w:jc w:val="both"/>
              <w:rPr>
                <w:rFonts w:asciiTheme="majorBidi" w:hAnsiTheme="majorBidi" w:cstheme="majorBidi"/>
                <w:sz w:val="24"/>
                <w:szCs w:val="24"/>
              </w:rPr>
            </w:pPr>
            <w:r>
              <w:rPr>
                <w:rFonts w:asciiTheme="majorBidi" w:hAnsiTheme="majorBidi" w:cstheme="majorBidi"/>
                <w:sz w:val="24"/>
                <w:szCs w:val="24"/>
              </w:rPr>
              <w:t>0.728</w:t>
            </w:r>
          </w:p>
        </w:tc>
      </w:tr>
      <w:tr w14:paraId="4B4EA0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045FD66C">
            <w:pPr>
              <w:spacing w:after="0" w:line="360" w:lineRule="auto"/>
              <w:rPr>
                <w:rFonts w:asciiTheme="majorBidi" w:hAnsiTheme="majorBidi" w:cstheme="majorBidi"/>
                <w:sz w:val="24"/>
                <w:szCs w:val="24"/>
              </w:rPr>
            </w:pPr>
            <w:r>
              <w:rPr>
                <w:rFonts w:asciiTheme="majorBidi" w:hAnsiTheme="majorBidi" w:cstheme="majorBidi"/>
                <w:sz w:val="24"/>
                <w:szCs w:val="24"/>
              </w:rPr>
              <w:t>The proliferation of technology has introduced new avenues for academic dishonesty.</w:t>
            </w:r>
          </w:p>
        </w:tc>
        <w:tc>
          <w:tcPr>
            <w:tcW w:w="885" w:type="dxa"/>
          </w:tcPr>
          <w:p w14:paraId="6BB1A13B">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188356E3">
            <w:pPr>
              <w:spacing w:after="0" w:line="360" w:lineRule="auto"/>
              <w:jc w:val="both"/>
              <w:rPr>
                <w:rFonts w:asciiTheme="majorBidi" w:hAnsiTheme="majorBidi" w:cstheme="majorBidi"/>
                <w:sz w:val="24"/>
                <w:szCs w:val="24"/>
              </w:rPr>
            </w:pPr>
            <w:r>
              <w:rPr>
                <w:rFonts w:asciiTheme="majorBidi" w:hAnsiTheme="majorBidi" w:cstheme="majorBidi"/>
                <w:sz w:val="24"/>
                <w:szCs w:val="24"/>
              </w:rPr>
              <w:t>3.37</w:t>
            </w:r>
          </w:p>
        </w:tc>
        <w:tc>
          <w:tcPr>
            <w:tcW w:w="1701" w:type="dxa"/>
            <w:noWrap/>
          </w:tcPr>
          <w:p w14:paraId="01A8FF16">
            <w:pPr>
              <w:spacing w:after="0" w:line="360" w:lineRule="auto"/>
              <w:jc w:val="both"/>
              <w:rPr>
                <w:rFonts w:asciiTheme="majorBidi" w:hAnsiTheme="majorBidi" w:cstheme="majorBidi"/>
                <w:sz w:val="24"/>
                <w:szCs w:val="24"/>
              </w:rPr>
            </w:pPr>
            <w:r>
              <w:rPr>
                <w:rFonts w:asciiTheme="majorBidi" w:hAnsiTheme="majorBidi" w:cstheme="majorBidi"/>
                <w:sz w:val="24"/>
                <w:szCs w:val="24"/>
              </w:rPr>
              <w:t>0.732</w:t>
            </w:r>
          </w:p>
        </w:tc>
      </w:tr>
      <w:tr w14:paraId="0FE11E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226E0AC3">
            <w:pPr>
              <w:spacing w:after="0" w:line="360" w:lineRule="auto"/>
              <w:rPr>
                <w:rFonts w:asciiTheme="majorBidi" w:hAnsiTheme="majorBidi" w:cstheme="majorBidi"/>
                <w:sz w:val="24"/>
                <w:szCs w:val="24"/>
              </w:rPr>
            </w:pPr>
            <w:r>
              <w:rPr>
                <w:rFonts w:asciiTheme="majorBidi" w:hAnsiTheme="majorBidi" w:cstheme="majorBidi"/>
                <w:sz w:val="24"/>
                <w:szCs w:val="24"/>
              </w:rPr>
              <w:t>In an attempt to gain social approval or conform to peer norms, students engage in dishonest behavior during examinations, including cheating or sharing exam-related content online</w:t>
            </w:r>
          </w:p>
        </w:tc>
        <w:tc>
          <w:tcPr>
            <w:tcW w:w="885" w:type="dxa"/>
          </w:tcPr>
          <w:p w14:paraId="729F958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6F377EAE">
            <w:pPr>
              <w:spacing w:after="0" w:line="360" w:lineRule="auto"/>
              <w:jc w:val="both"/>
              <w:rPr>
                <w:rFonts w:asciiTheme="majorBidi" w:hAnsiTheme="majorBidi" w:cstheme="majorBidi"/>
                <w:sz w:val="24"/>
                <w:szCs w:val="24"/>
              </w:rPr>
            </w:pPr>
            <w:r>
              <w:rPr>
                <w:rFonts w:asciiTheme="majorBidi" w:hAnsiTheme="majorBidi" w:cstheme="majorBidi"/>
                <w:sz w:val="24"/>
                <w:szCs w:val="24"/>
              </w:rPr>
              <w:t>3.3</w:t>
            </w:r>
          </w:p>
        </w:tc>
        <w:tc>
          <w:tcPr>
            <w:tcW w:w="1701" w:type="dxa"/>
            <w:noWrap/>
          </w:tcPr>
          <w:p w14:paraId="3F03CD20">
            <w:pPr>
              <w:spacing w:after="0" w:line="360" w:lineRule="auto"/>
              <w:jc w:val="both"/>
              <w:rPr>
                <w:rFonts w:asciiTheme="majorBidi" w:hAnsiTheme="majorBidi" w:cstheme="majorBidi"/>
                <w:sz w:val="24"/>
                <w:szCs w:val="24"/>
              </w:rPr>
            </w:pPr>
            <w:r>
              <w:rPr>
                <w:rFonts w:asciiTheme="majorBidi" w:hAnsiTheme="majorBidi" w:cstheme="majorBidi"/>
                <w:sz w:val="24"/>
                <w:szCs w:val="24"/>
              </w:rPr>
              <w:t>0.935</w:t>
            </w:r>
          </w:p>
        </w:tc>
      </w:tr>
    </w:tbl>
    <w:p w14:paraId="4A5A8CE7">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EDC5350">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Table 21 presents mean scores and standard deviations for Likert scale items related to the influence of technology, particularly mobile phones and social media, on examination integrity. </w:t>
      </w:r>
      <w:bookmarkStart w:id="272" w:name="_Hlk193234004"/>
      <w:r>
        <w:rPr>
          <w:rFonts w:asciiTheme="majorBidi" w:hAnsiTheme="majorBidi" w:cstheme="majorBidi"/>
          <w:sz w:val="24"/>
          <w:szCs w:val="24"/>
        </w:rPr>
        <w:t xml:space="preserve">The mean score for the statement "Students possess phones during exams" is 3.63, with a standard deviation of 0.708. This suggests a moderate level of agreement among respondents </w:t>
      </w:r>
      <w:bookmarkEnd w:id="272"/>
      <w:r>
        <w:rPr>
          <w:rFonts w:asciiTheme="majorBidi" w:hAnsiTheme="majorBidi" w:cstheme="majorBidi"/>
          <w:sz w:val="24"/>
          <w:szCs w:val="24"/>
        </w:rPr>
        <w:t>that students have access to mobile phones during examinations, which may have implications for examination integrity.</w:t>
      </w:r>
    </w:p>
    <w:p w14:paraId="3574CBED">
      <w:pPr>
        <w:spacing w:before="240" w:line="480" w:lineRule="auto"/>
        <w:jc w:val="both"/>
        <w:rPr>
          <w:rFonts w:asciiTheme="majorBidi" w:hAnsiTheme="majorBidi" w:cstheme="majorBidi"/>
          <w:sz w:val="24"/>
          <w:szCs w:val="24"/>
        </w:rPr>
      </w:pPr>
      <w:r>
        <w:rPr>
          <w:rFonts w:asciiTheme="majorBidi" w:hAnsiTheme="majorBidi" w:cstheme="majorBidi"/>
          <w:sz w:val="24"/>
          <w:szCs w:val="24"/>
        </w:rPr>
        <w:t>Similarly, the statement regarding the prevalence of a cheating culture influencing students' decisions to use social media during exams received a mean score of 3.32, with a standard deviation of 0.887. This indicates some agreement among respondents that the prevailing culture of cheating may drive students to use social media platforms during exams, potentially facilitating academic dishonesty. The mean score for the statement "Students get answers before and during exams through social media" is 3.57, with a standard deviation of 0.728. This suggests a moderate level of agreement that social media platforms are used by students to obtain answers or exam-related content, highlighting the role of technology in facilitating academic dishonesty.</w:t>
      </w:r>
    </w:p>
    <w:p w14:paraId="5CC00ED9">
      <w:pPr>
        <w:spacing w:line="480" w:lineRule="auto"/>
        <w:jc w:val="both"/>
        <w:rPr>
          <w:rFonts w:asciiTheme="majorBidi" w:hAnsiTheme="majorBidi" w:cstheme="majorBidi"/>
          <w:sz w:val="24"/>
          <w:szCs w:val="24"/>
        </w:rPr>
      </w:pPr>
      <w:r>
        <w:rPr>
          <w:rFonts w:asciiTheme="majorBidi" w:hAnsiTheme="majorBidi" w:cstheme="majorBidi"/>
          <w:sz w:val="24"/>
          <w:szCs w:val="24"/>
        </w:rPr>
        <w:t>The statement regarding the proliferation of technology introducing new avenues for academic dishonesty yielded a mean score of 3.37, with a standard deviation of 0.732. This indicates some agreement that advancements in technology have created additional opportunities for students to engage in cheating or other forms of academic misconduct. Lastly, the statement suggesting that students engage in dishonest behavior during examinations, including cheating or sharing exam-related content online, received a mean score of 3.3, with a higher standard deviation of 0.935. This indicates some variability in respondents' perceptions regarding the extent of students' engagement in dishonest behavior facilitated by technology.</w:t>
      </w:r>
    </w:p>
    <w:p w14:paraId="4F068D2C">
      <w:pPr>
        <w:spacing w:before="240" w:line="480" w:lineRule="auto"/>
        <w:jc w:val="both"/>
        <w:rPr>
          <w:rFonts w:asciiTheme="majorBidi" w:hAnsiTheme="majorBidi" w:cstheme="majorBidi"/>
          <w:bCs/>
          <w:sz w:val="24"/>
          <w:szCs w:val="24"/>
        </w:rPr>
      </w:pPr>
      <w:r>
        <w:rPr>
          <w:rFonts w:asciiTheme="majorBidi" w:hAnsiTheme="majorBidi" w:cstheme="majorBidi"/>
          <w:bCs/>
          <w:sz w:val="24"/>
          <w:szCs w:val="24"/>
        </w:rPr>
        <w:t>Hypothesis 6</w:t>
      </w:r>
    </w:p>
    <w:p w14:paraId="6A4E662A">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sixth hypothesis of the study stated that </w:t>
      </w:r>
      <w:r>
        <w:rPr>
          <w:rFonts w:asciiTheme="majorBidi" w:hAnsiTheme="majorBidi" w:cstheme="majorBidi"/>
          <w:i/>
          <w:iCs/>
          <w:sz w:val="24"/>
          <w:szCs w:val="24"/>
        </w:rPr>
        <w:t>There is no significant relationship between social media and academic integrity and examination malpractices in secondary schools in Garissa Township Sub County</w:t>
      </w:r>
      <w:r>
        <w:rPr>
          <w:rFonts w:asciiTheme="majorBidi" w:hAnsiTheme="majorBidi" w:cstheme="majorBidi"/>
          <w:sz w:val="24"/>
          <w:szCs w:val="24"/>
        </w:rPr>
        <w:t>. Pearson ’s correlation coefficient and the associated p value were computed to test hypothesis six. Table 22 presents the results of the correlation analysis.</w:t>
      </w:r>
    </w:p>
    <w:p w14:paraId="5CB25543">
      <w:pPr>
        <w:pStyle w:val="2"/>
        <w:rPr>
          <w:rFonts w:asciiTheme="majorBidi" w:hAnsiTheme="majorBidi"/>
          <w:b w:val="0"/>
          <w:bCs w:val="0"/>
          <w:color w:val="auto"/>
          <w:sz w:val="24"/>
          <w:szCs w:val="24"/>
        </w:rPr>
      </w:pPr>
      <w:bookmarkStart w:id="273" w:name="_Toc194769967"/>
      <w:bookmarkStart w:id="274" w:name="_Toc194822687"/>
      <w:r>
        <w:rPr>
          <w:rFonts w:asciiTheme="majorBidi" w:hAnsiTheme="majorBidi"/>
          <w:b w:val="0"/>
          <w:bCs w:val="0"/>
          <w:color w:val="auto"/>
          <w:sz w:val="24"/>
          <w:szCs w:val="24"/>
        </w:rPr>
        <w:t>Table 22:</w:t>
      </w:r>
      <w:bookmarkEnd w:id="273"/>
      <w:bookmarkEnd w:id="274"/>
    </w:p>
    <w:p w14:paraId="407DDCC8">
      <w:pPr>
        <w:pStyle w:val="2"/>
        <w:spacing w:after="240"/>
        <w:rPr>
          <w:rFonts w:asciiTheme="majorBidi" w:hAnsiTheme="majorBidi"/>
          <w:b w:val="0"/>
          <w:bCs w:val="0"/>
          <w:i/>
          <w:iCs/>
          <w:color w:val="auto"/>
          <w:sz w:val="24"/>
          <w:szCs w:val="24"/>
        </w:rPr>
      </w:pPr>
      <w:bookmarkStart w:id="275" w:name="_Toc194769968"/>
      <w:bookmarkStart w:id="276" w:name="_Toc194822688"/>
      <w:r>
        <w:rPr>
          <w:rFonts w:asciiTheme="majorBidi" w:hAnsiTheme="majorBidi"/>
          <w:b w:val="0"/>
          <w:bCs w:val="0"/>
          <w:i/>
          <w:iCs/>
          <w:color w:val="auto"/>
          <w:sz w:val="24"/>
          <w:szCs w:val="24"/>
        </w:rPr>
        <w:t>Correlation analysis of social media and examination integrity</w:t>
      </w:r>
      <w:bookmarkEnd w:id="275"/>
      <w:bookmarkEnd w:id="276"/>
    </w:p>
    <w:tbl>
      <w:tblPr>
        <w:tblStyle w:val="20"/>
        <w:tblW w:w="964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8"/>
        <w:gridCol w:w="2251"/>
        <w:gridCol w:w="1734"/>
        <w:gridCol w:w="2563"/>
      </w:tblGrid>
      <w:tr w14:paraId="37B19C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tcBorders>
              <w:top w:val="single" w:color="auto" w:sz="4" w:space="0"/>
              <w:bottom w:val="single" w:color="auto" w:sz="4" w:space="0"/>
            </w:tcBorders>
            <w:noWrap/>
          </w:tcPr>
          <w:p w14:paraId="378BBEA5">
            <w:pPr>
              <w:spacing w:after="0" w:line="360" w:lineRule="auto"/>
              <w:rPr>
                <w:rFonts w:asciiTheme="majorBidi" w:hAnsiTheme="majorBidi" w:cstheme="majorBidi"/>
                <w:b/>
                <w:bCs/>
                <w:sz w:val="24"/>
                <w:szCs w:val="24"/>
              </w:rPr>
            </w:pPr>
          </w:p>
        </w:tc>
        <w:tc>
          <w:tcPr>
            <w:tcW w:w="2251" w:type="dxa"/>
            <w:tcBorders>
              <w:top w:val="single" w:color="auto" w:sz="4" w:space="0"/>
              <w:bottom w:val="single" w:color="auto" w:sz="4" w:space="0"/>
            </w:tcBorders>
            <w:noWrap/>
          </w:tcPr>
          <w:p w14:paraId="071D9F8E">
            <w:pPr>
              <w:spacing w:after="0" w:line="360" w:lineRule="auto"/>
              <w:jc w:val="both"/>
              <w:rPr>
                <w:rFonts w:asciiTheme="majorBidi" w:hAnsiTheme="majorBidi" w:cstheme="majorBidi"/>
                <w:b/>
                <w:bCs/>
                <w:sz w:val="24"/>
                <w:szCs w:val="24"/>
              </w:rPr>
            </w:pPr>
          </w:p>
        </w:tc>
        <w:tc>
          <w:tcPr>
            <w:tcW w:w="1734" w:type="dxa"/>
            <w:tcBorders>
              <w:top w:val="single" w:color="auto" w:sz="4" w:space="0"/>
              <w:bottom w:val="single" w:color="auto" w:sz="4" w:space="0"/>
            </w:tcBorders>
            <w:noWrap/>
          </w:tcPr>
          <w:p w14:paraId="167EB55F">
            <w:pPr>
              <w:spacing w:after="0" w:line="360" w:lineRule="auto"/>
              <w:rPr>
                <w:rFonts w:asciiTheme="majorBidi" w:hAnsiTheme="majorBidi" w:cstheme="majorBidi"/>
                <w:sz w:val="24"/>
                <w:szCs w:val="24"/>
              </w:rPr>
            </w:pPr>
            <w:r>
              <w:rPr>
                <w:rFonts w:asciiTheme="majorBidi" w:hAnsiTheme="majorBidi" w:cstheme="majorBidi"/>
                <w:sz w:val="24"/>
                <w:szCs w:val="24"/>
              </w:rPr>
              <w:t>Social media use</w:t>
            </w:r>
          </w:p>
        </w:tc>
        <w:tc>
          <w:tcPr>
            <w:tcW w:w="2563" w:type="dxa"/>
            <w:tcBorders>
              <w:top w:val="single" w:color="auto" w:sz="4" w:space="0"/>
              <w:bottom w:val="single" w:color="auto" w:sz="4" w:space="0"/>
            </w:tcBorders>
            <w:noWrap/>
          </w:tcPr>
          <w:p w14:paraId="1600CC7D">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63E259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tcBorders>
              <w:top w:val="single" w:color="auto" w:sz="4" w:space="0"/>
            </w:tcBorders>
            <w:noWrap/>
          </w:tcPr>
          <w:p w14:paraId="33BF1A65">
            <w:pPr>
              <w:spacing w:after="0" w:line="360" w:lineRule="auto"/>
              <w:rPr>
                <w:rFonts w:asciiTheme="majorBidi" w:hAnsiTheme="majorBidi" w:cstheme="majorBidi"/>
                <w:sz w:val="24"/>
                <w:szCs w:val="24"/>
              </w:rPr>
            </w:pPr>
            <w:r>
              <w:rPr>
                <w:rFonts w:asciiTheme="majorBidi" w:hAnsiTheme="majorBidi" w:cstheme="majorBidi"/>
                <w:sz w:val="24"/>
                <w:szCs w:val="24"/>
              </w:rPr>
              <w:t>Social media use</w:t>
            </w:r>
          </w:p>
        </w:tc>
        <w:tc>
          <w:tcPr>
            <w:tcW w:w="2251" w:type="dxa"/>
            <w:tcBorders>
              <w:top w:val="single" w:color="auto" w:sz="4" w:space="0"/>
            </w:tcBorders>
            <w:noWrap/>
          </w:tcPr>
          <w:p w14:paraId="456452F5">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734" w:type="dxa"/>
            <w:tcBorders>
              <w:top w:val="single" w:color="auto" w:sz="4" w:space="0"/>
            </w:tcBorders>
            <w:noWrap/>
          </w:tcPr>
          <w:p w14:paraId="34CF58AC">
            <w:pPr>
              <w:spacing w:after="0" w:line="360" w:lineRule="auto"/>
              <w:rPr>
                <w:rFonts w:asciiTheme="majorBidi" w:hAnsiTheme="majorBidi" w:cstheme="majorBidi"/>
                <w:sz w:val="24"/>
                <w:szCs w:val="24"/>
              </w:rPr>
            </w:pPr>
            <w:r>
              <w:rPr>
                <w:rFonts w:asciiTheme="majorBidi" w:hAnsiTheme="majorBidi" w:cstheme="majorBidi"/>
                <w:sz w:val="24"/>
                <w:szCs w:val="24"/>
              </w:rPr>
              <w:t>1qa</w:t>
            </w:r>
          </w:p>
        </w:tc>
        <w:tc>
          <w:tcPr>
            <w:tcW w:w="2563" w:type="dxa"/>
            <w:tcBorders>
              <w:top w:val="single" w:color="auto" w:sz="4" w:space="0"/>
            </w:tcBorders>
            <w:noWrap/>
          </w:tcPr>
          <w:p w14:paraId="118985E5">
            <w:pPr>
              <w:spacing w:after="0" w:line="360" w:lineRule="auto"/>
              <w:rPr>
                <w:rFonts w:asciiTheme="majorBidi" w:hAnsiTheme="majorBidi" w:cstheme="majorBidi"/>
                <w:sz w:val="24"/>
                <w:szCs w:val="24"/>
              </w:rPr>
            </w:pPr>
            <w:r>
              <w:rPr>
                <w:rFonts w:asciiTheme="majorBidi" w:hAnsiTheme="majorBidi" w:cstheme="majorBidi"/>
                <w:sz w:val="24"/>
                <w:szCs w:val="24"/>
              </w:rPr>
              <w:t>Q</w:t>
            </w:r>
          </w:p>
        </w:tc>
      </w:tr>
      <w:tr w14:paraId="0BC46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D95ABEF">
            <w:pPr>
              <w:spacing w:after="0" w:line="360" w:lineRule="auto"/>
              <w:rPr>
                <w:rFonts w:asciiTheme="majorBidi" w:hAnsiTheme="majorBidi" w:cstheme="majorBidi"/>
                <w:sz w:val="24"/>
                <w:szCs w:val="24"/>
              </w:rPr>
            </w:pPr>
          </w:p>
        </w:tc>
        <w:tc>
          <w:tcPr>
            <w:tcW w:w="2251" w:type="dxa"/>
            <w:noWrap/>
          </w:tcPr>
          <w:p w14:paraId="71F1FB57">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734" w:type="dxa"/>
            <w:noWrap/>
          </w:tcPr>
          <w:p w14:paraId="6B441AD6">
            <w:pPr>
              <w:spacing w:after="0" w:line="360" w:lineRule="auto"/>
              <w:rPr>
                <w:rFonts w:asciiTheme="majorBidi" w:hAnsiTheme="majorBidi" w:cstheme="majorBidi"/>
                <w:sz w:val="24"/>
                <w:szCs w:val="24"/>
              </w:rPr>
            </w:pPr>
            <w:r>
              <w:rPr>
                <w:rFonts w:asciiTheme="majorBidi" w:hAnsiTheme="majorBidi" w:cstheme="majorBidi"/>
                <w:sz w:val="24"/>
                <w:szCs w:val="24"/>
              </w:rPr>
              <w:t>.</w:t>
            </w:r>
          </w:p>
        </w:tc>
        <w:tc>
          <w:tcPr>
            <w:tcW w:w="2563" w:type="dxa"/>
            <w:noWrap/>
          </w:tcPr>
          <w:p w14:paraId="2EC662AD">
            <w:pPr>
              <w:spacing w:after="0" w:line="360" w:lineRule="auto"/>
              <w:rPr>
                <w:rFonts w:asciiTheme="majorBidi" w:hAnsiTheme="majorBidi" w:cstheme="majorBidi"/>
                <w:sz w:val="24"/>
                <w:szCs w:val="24"/>
              </w:rPr>
            </w:pPr>
            <w:r>
              <w:rPr>
                <w:rFonts w:asciiTheme="majorBidi" w:hAnsiTheme="majorBidi" w:cstheme="majorBidi"/>
                <w:sz w:val="24"/>
                <w:szCs w:val="24"/>
              </w:rPr>
              <w:t>0</w:t>
            </w:r>
          </w:p>
        </w:tc>
      </w:tr>
      <w:tr w14:paraId="3D8D89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088D084D">
            <w:pPr>
              <w:spacing w:after="0" w:line="360" w:lineRule="auto"/>
              <w:rPr>
                <w:rFonts w:asciiTheme="majorBidi" w:hAnsiTheme="majorBidi" w:cstheme="majorBidi"/>
                <w:sz w:val="24"/>
                <w:szCs w:val="24"/>
              </w:rPr>
            </w:pPr>
          </w:p>
        </w:tc>
        <w:tc>
          <w:tcPr>
            <w:tcW w:w="2251" w:type="dxa"/>
            <w:noWrap/>
          </w:tcPr>
          <w:p w14:paraId="25842F31">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734" w:type="dxa"/>
            <w:noWrap/>
          </w:tcPr>
          <w:p w14:paraId="5B132DA3">
            <w:pPr>
              <w:spacing w:after="0" w:line="360" w:lineRule="auto"/>
              <w:rPr>
                <w:rFonts w:asciiTheme="majorBidi" w:hAnsiTheme="majorBidi" w:cstheme="majorBidi"/>
                <w:sz w:val="24"/>
                <w:szCs w:val="24"/>
              </w:rPr>
            </w:pPr>
            <w:r>
              <w:rPr>
                <w:rFonts w:asciiTheme="majorBidi" w:hAnsiTheme="majorBidi" w:cstheme="majorBidi"/>
                <w:sz w:val="24"/>
                <w:szCs w:val="24"/>
              </w:rPr>
              <w:t>128</w:t>
            </w:r>
          </w:p>
        </w:tc>
        <w:tc>
          <w:tcPr>
            <w:tcW w:w="2563" w:type="dxa"/>
            <w:noWrap/>
          </w:tcPr>
          <w:p w14:paraId="09CAA0F5">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r w14:paraId="56E70B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9D5848D">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251" w:type="dxa"/>
            <w:noWrap/>
          </w:tcPr>
          <w:p w14:paraId="0F4B0E4F">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734" w:type="dxa"/>
            <w:noWrap/>
          </w:tcPr>
          <w:p w14:paraId="4D70B48E">
            <w:pPr>
              <w:spacing w:after="0" w:line="360" w:lineRule="auto"/>
              <w:rPr>
                <w:rFonts w:asciiTheme="majorBidi" w:hAnsiTheme="majorBidi" w:cstheme="majorBidi"/>
                <w:sz w:val="24"/>
                <w:szCs w:val="24"/>
              </w:rPr>
            </w:pPr>
            <w:r>
              <w:rPr>
                <w:rFonts w:asciiTheme="majorBidi" w:hAnsiTheme="majorBidi" w:cstheme="majorBidi"/>
                <w:sz w:val="24"/>
                <w:szCs w:val="24"/>
              </w:rPr>
              <w:t>.479**</w:t>
            </w:r>
          </w:p>
        </w:tc>
        <w:tc>
          <w:tcPr>
            <w:tcW w:w="2563" w:type="dxa"/>
            <w:noWrap/>
          </w:tcPr>
          <w:p w14:paraId="77CB8CD7">
            <w:pPr>
              <w:spacing w:after="0" w:line="360" w:lineRule="auto"/>
              <w:rPr>
                <w:rFonts w:asciiTheme="majorBidi" w:hAnsiTheme="majorBidi" w:cstheme="majorBidi"/>
                <w:sz w:val="24"/>
                <w:szCs w:val="24"/>
              </w:rPr>
            </w:pPr>
            <w:r>
              <w:rPr>
                <w:rFonts w:asciiTheme="majorBidi" w:hAnsiTheme="majorBidi" w:cstheme="majorBidi"/>
                <w:sz w:val="24"/>
                <w:szCs w:val="24"/>
              </w:rPr>
              <w:t>1</w:t>
            </w:r>
          </w:p>
        </w:tc>
      </w:tr>
      <w:tr w14:paraId="0863C6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8AFBBB4">
            <w:pPr>
              <w:spacing w:after="0" w:line="360" w:lineRule="auto"/>
              <w:rPr>
                <w:rFonts w:asciiTheme="majorBidi" w:hAnsiTheme="majorBidi" w:cstheme="majorBidi"/>
                <w:sz w:val="24"/>
                <w:szCs w:val="24"/>
              </w:rPr>
            </w:pPr>
          </w:p>
        </w:tc>
        <w:tc>
          <w:tcPr>
            <w:tcW w:w="2251" w:type="dxa"/>
            <w:noWrap/>
          </w:tcPr>
          <w:p w14:paraId="08C0E2AD">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734" w:type="dxa"/>
            <w:noWrap/>
          </w:tcPr>
          <w:p w14:paraId="6AC4CB1B">
            <w:pPr>
              <w:spacing w:after="0" w:line="360" w:lineRule="auto"/>
              <w:rPr>
                <w:rFonts w:asciiTheme="majorBidi" w:hAnsiTheme="majorBidi" w:cstheme="majorBidi"/>
                <w:sz w:val="24"/>
                <w:szCs w:val="24"/>
              </w:rPr>
            </w:pPr>
            <w:r>
              <w:rPr>
                <w:rFonts w:asciiTheme="majorBidi" w:hAnsiTheme="majorBidi" w:cstheme="majorBidi"/>
                <w:sz w:val="24"/>
                <w:szCs w:val="24"/>
              </w:rPr>
              <w:t>0</w:t>
            </w:r>
          </w:p>
        </w:tc>
        <w:tc>
          <w:tcPr>
            <w:tcW w:w="2563" w:type="dxa"/>
            <w:noWrap/>
          </w:tcPr>
          <w:p w14:paraId="1AB0B6DC">
            <w:pPr>
              <w:spacing w:after="0" w:line="360" w:lineRule="auto"/>
              <w:rPr>
                <w:rFonts w:asciiTheme="majorBidi" w:hAnsiTheme="majorBidi" w:cstheme="majorBidi"/>
                <w:sz w:val="24"/>
                <w:szCs w:val="24"/>
              </w:rPr>
            </w:pPr>
            <w:r>
              <w:rPr>
                <w:rFonts w:asciiTheme="majorBidi" w:hAnsiTheme="majorBidi" w:cstheme="majorBidi"/>
                <w:sz w:val="24"/>
                <w:szCs w:val="24"/>
              </w:rPr>
              <w:t>.</w:t>
            </w:r>
          </w:p>
        </w:tc>
      </w:tr>
      <w:tr w14:paraId="6213AB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6C4E4A3">
            <w:pPr>
              <w:spacing w:after="0" w:line="360" w:lineRule="auto"/>
              <w:rPr>
                <w:rFonts w:asciiTheme="majorBidi" w:hAnsiTheme="majorBidi" w:cstheme="majorBidi"/>
                <w:sz w:val="24"/>
                <w:szCs w:val="24"/>
              </w:rPr>
            </w:pPr>
          </w:p>
        </w:tc>
        <w:tc>
          <w:tcPr>
            <w:tcW w:w="2251" w:type="dxa"/>
            <w:noWrap/>
          </w:tcPr>
          <w:p w14:paraId="7A84441C">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734" w:type="dxa"/>
            <w:noWrap/>
          </w:tcPr>
          <w:p w14:paraId="3F35F2F6">
            <w:pPr>
              <w:spacing w:after="0" w:line="360" w:lineRule="auto"/>
              <w:rPr>
                <w:rFonts w:asciiTheme="majorBidi" w:hAnsiTheme="majorBidi" w:cstheme="majorBidi"/>
                <w:sz w:val="24"/>
                <w:szCs w:val="24"/>
              </w:rPr>
            </w:pPr>
            <w:r>
              <w:rPr>
                <w:rFonts w:asciiTheme="majorBidi" w:hAnsiTheme="majorBidi" w:cstheme="majorBidi"/>
                <w:sz w:val="24"/>
                <w:szCs w:val="24"/>
              </w:rPr>
              <w:t>128</w:t>
            </w:r>
          </w:p>
        </w:tc>
        <w:tc>
          <w:tcPr>
            <w:tcW w:w="2563" w:type="dxa"/>
            <w:noWrap/>
          </w:tcPr>
          <w:p w14:paraId="13B6ACE6">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bl>
    <w:p w14:paraId="27B0C76F">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3DFA944">
      <w:pPr>
        <w:spacing w:before="240" w:line="480" w:lineRule="auto"/>
        <w:jc w:val="both"/>
        <w:rPr>
          <w:rFonts w:asciiTheme="majorBidi" w:hAnsiTheme="majorBidi" w:cstheme="majorBidi"/>
          <w:sz w:val="24"/>
          <w:szCs w:val="24"/>
        </w:rPr>
      </w:pPr>
      <w:r>
        <w:rPr>
          <w:rFonts w:asciiTheme="majorBidi" w:hAnsiTheme="majorBidi" w:cstheme="majorBidi"/>
          <w:sz w:val="24"/>
          <w:szCs w:val="24"/>
        </w:rPr>
        <w:t xml:space="preserve">The correlation analysis examines the relationship between social media use and the level of integrity observed in Kenya Certificate of Secondary Education (KCSE) examinations. </w:t>
      </w:r>
      <w:bookmarkStart w:id="277" w:name="_Hlk193233862"/>
      <w:r>
        <w:rPr>
          <w:rFonts w:asciiTheme="majorBidi" w:hAnsiTheme="majorBidi" w:cstheme="majorBidi"/>
          <w:sz w:val="24"/>
          <w:szCs w:val="24"/>
        </w:rPr>
        <w:t xml:space="preserve">The results reveal a statistically significant positive correlation coefficient of .479** </w:t>
      </w:r>
      <w:bookmarkEnd w:id="277"/>
      <w:r>
        <w:rPr>
          <w:rFonts w:asciiTheme="majorBidi" w:hAnsiTheme="majorBidi" w:cstheme="majorBidi"/>
          <w:sz w:val="24"/>
          <w:szCs w:val="24"/>
        </w:rPr>
        <w:t>between these two variables. This indicates a moderate to strong positive relationship, suggesting that the extent of social media use is associated with the level of examination integrity. The significance level (Sig. 2-tailed) of 0.000 indicates that this correlation is highly unlikely to have occurred by chance therefore giving strong evidence to reject the sixth hypothesis. These findings emphasize on the importance of considering the impact of social media use on examination integrity.</w:t>
      </w:r>
    </w:p>
    <w:p w14:paraId="6128E479">
      <w:pPr>
        <w:tabs>
          <w:tab w:val="left" w:pos="720"/>
        </w:tabs>
        <w:spacing w:before="240" w:line="480" w:lineRule="auto"/>
        <w:jc w:val="both"/>
        <w:rPr>
          <w:rFonts w:asciiTheme="majorBidi" w:hAnsiTheme="majorBidi" w:cstheme="majorBidi"/>
          <w:sz w:val="24"/>
          <w:szCs w:val="24"/>
        </w:rPr>
      </w:pPr>
      <w:r>
        <w:rPr>
          <w:rFonts w:asciiTheme="majorBidi" w:hAnsiTheme="majorBidi" w:cstheme="majorBidi"/>
          <w:sz w:val="24"/>
          <w:szCs w:val="24"/>
        </w:rPr>
        <w:t>This study's focus on the relationship between social media and exam malpractice in KCSE exams delves into a complex area with multifaceted influences. The findings align with other findings investigating the same concept of social media and integrity of examinations. While some studies suggest social media can facilitate cheating (Best &amp; Shelley, 2018) through sharing answers or collaborating on exams, others highlight its potential benefits (Eynon &amp; Salter, 2013) for study groups or accessing educational resources. This study's exploration can contribute to a nuanced understanding of social media's role, examining if its negative impacts outweigh potential benefits. Research by Okorodudu (2013) suggests peer pressure can influence a student's willingness to cheat. Social media platforms can become breeding grounds for such pressure, with students witnessing or being pressured to participate in exam malpractice online. Future studies could explore how social media platforms and online interactions influence student perceptions of cheating and academic integrity.</w:t>
      </w:r>
    </w:p>
    <w:p w14:paraId="78D1EEAA">
      <w:pPr>
        <w:spacing w:before="240" w:line="480" w:lineRule="auto"/>
        <w:jc w:val="both"/>
        <w:rPr>
          <w:rFonts w:asciiTheme="majorBidi" w:hAnsiTheme="majorBidi" w:cstheme="majorBidi"/>
          <w:sz w:val="24"/>
          <w:szCs w:val="24"/>
        </w:rPr>
      </w:pPr>
      <w:r>
        <w:rPr>
          <w:rFonts w:asciiTheme="majorBidi" w:hAnsiTheme="majorBidi" w:cstheme="majorBidi"/>
          <w:sz w:val="24"/>
          <w:szCs w:val="24"/>
        </w:rPr>
        <w:t xml:space="preserve">The interviews conducted with principals indicate the pervasive influence of social media on academic integrity and examination malpractices within schools, particularly concerning the access of mobile phones by students during exams. Principals unanimously expressed concerns about the widespread availability of smartphones among students and the potential implications for academic honesty. One principal highlighted, </w:t>
      </w:r>
      <w:r>
        <w:rPr>
          <w:rFonts w:asciiTheme="majorBidi" w:hAnsiTheme="majorBidi" w:cstheme="majorBidi"/>
          <w:i/>
          <w:iCs/>
          <w:sz w:val="24"/>
          <w:szCs w:val="24"/>
        </w:rPr>
        <w:t>"The access students have to their phones during exams poses a significant challenge to maintaining examination integrity. With smartphones readily available, students can easily access exam-related content or communicate with peers, increasing the risk of cheating."</w:t>
      </w:r>
    </w:p>
    <w:p w14:paraId="1780BB27">
      <w:pPr>
        <w:spacing w:before="240" w:line="480" w:lineRule="auto"/>
        <w:jc w:val="both"/>
        <w:rPr>
          <w:rFonts w:asciiTheme="majorBidi" w:hAnsiTheme="majorBidi" w:cstheme="majorBidi"/>
          <w:i/>
          <w:iCs/>
          <w:sz w:val="24"/>
          <w:szCs w:val="24"/>
        </w:rPr>
      </w:pPr>
      <w:r>
        <w:rPr>
          <w:rFonts w:asciiTheme="majorBidi" w:hAnsiTheme="majorBidi" w:cstheme="majorBidi"/>
          <w:sz w:val="24"/>
          <w:szCs w:val="24"/>
        </w:rPr>
        <w:t xml:space="preserve">Furthermore, the prevalence of social media platforms exacerbates these challenges, as students may feel pressure to engage in examination malpractices to conform with their peers. Principals noted that the level of social media distractions during exam periods could compromise students' focus and ethical decision-making. As one principal remarked, </w:t>
      </w:r>
      <w:r>
        <w:rPr>
          <w:rFonts w:asciiTheme="majorBidi" w:hAnsiTheme="majorBidi" w:cstheme="majorBidi"/>
          <w:i/>
          <w:iCs/>
          <w:sz w:val="24"/>
          <w:szCs w:val="24"/>
        </w:rPr>
        <w:t xml:space="preserve">"The influence of social media on students' behavior during exams cannot be understated. The pressure to stay connected and do what other are doing on social media platforms can lead to academic dishonesty." </w:t>
      </w:r>
      <w:r>
        <w:rPr>
          <w:rFonts w:asciiTheme="majorBidi" w:hAnsiTheme="majorBidi" w:cstheme="majorBidi"/>
          <w:sz w:val="24"/>
          <w:szCs w:val="24"/>
        </w:rPr>
        <w:t xml:space="preserve">In response to these concerns, many schools have implemented policies to restrict the use of mobile phones on school premises. Principals emphasized the importance of enforcing such policies to mitigate the risks associated with smartphone use. One principal stated, </w:t>
      </w:r>
      <w:r>
        <w:rPr>
          <w:rFonts w:asciiTheme="majorBidi" w:hAnsiTheme="majorBidi" w:cstheme="majorBidi"/>
          <w:i/>
          <w:iCs/>
          <w:sz w:val="24"/>
          <w:szCs w:val="24"/>
        </w:rPr>
        <w:t>"To address the challenges posed by smartphones and social media, our school has strict policies in place to prohibit the use of mobile phones while in school. By restricting access to smartphones, we aim to create a controlled environment conducive to academic integrity."</w:t>
      </w:r>
    </w:p>
    <w:p w14:paraId="3521780E">
      <w:pPr>
        <w:spacing w:before="240" w:line="480" w:lineRule="auto"/>
        <w:jc w:val="both"/>
        <w:rPr>
          <w:rFonts w:asciiTheme="majorBidi" w:hAnsiTheme="majorBidi" w:cstheme="majorBidi"/>
          <w:i/>
          <w:iCs/>
          <w:sz w:val="24"/>
          <w:szCs w:val="24"/>
        </w:rPr>
      </w:pPr>
      <w:r>
        <w:rPr>
          <w:rFonts w:asciiTheme="majorBidi" w:hAnsiTheme="majorBidi" w:cstheme="majorBidi"/>
          <w:sz w:val="24"/>
          <w:szCs w:val="24"/>
        </w:rPr>
        <w:t xml:space="preserve">These policies aim to minimize distractions, prevent unauthorized access to exam-related materials, and uphold the principles of fairness and honesty in examinations. However, principals acknowledged the need for ongoing efforts to educate students about the responsible use of technology and the importance of maintaining integrity in academic settings. As one principal emphasized, </w:t>
      </w:r>
      <w:r>
        <w:rPr>
          <w:rFonts w:asciiTheme="majorBidi" w:hAnsiTheme="majorBidi" w:cstheme="majorBidi"/>
          <w:i/>
          <w:iCs/>
          <w:sz w:val="24"/>
          <w:szCs w:val="24"/>
        </w:rPr>
        <w:t xml:space="preserve">"While policies to restrict phone use are essential, we also recognize the importance of educating students about the ethical implications of their actions. By promoting awareness and fostering a culture of integrity, we can empower students to make ethical choices and uphold academic standards." </w:t>
      </w:r>
      <w:r>
        <w:rPr>
          <w:rFonts w:asciiTheme="majorBidi" w:hAnsiTheme="majorBidi" w:cstheme="majorBidi"/>
          <w:sz w:val="24"/>
          <w:szCs w:val="24"/>
        </w:rPr>
        <w:t xml:space="preserve">The interviews with principals as emphasized by this study show the multifaceted challenges posed by social media and smartphone use in maintaining examination integrity. While policies to restrict phone use are a critical component of addressing these challenges, ongoing educational efforts are essential to promote responsible behavior and instill values of honesty and integrity among students. </w:t>
      </w:r>
    </w:p>
    <w:p w14:paraId="6B52036E">
      <w:pPr>
        <w:pStyle w:val="2"/>
        <w:numPr>
          <w:ilvl w:val="2"/>
          <w:numId w:val="20"/>
        </w:numPr>
        <w:spacing w:after="240"/>
        <w:rPr>
          <w:rFonts w:asciiTheme="majorBidi" w:hAnsiTheme="majorBidi"/>
          <w:color w:val="auto"/>
          <w:sz w:val="24"/>
          <w:szCs w:val="24"/>
        </w:rPr>
      </w:pPr>
      <w:bookmarkStart w:id="278" w:name="_Toc164927752"/>
      <w:r>
        <w:rPr>
          <w:rFonts w:asciiTheme="majorBidi" w:hAnsiTheme="majorBidi"/>
          <w:color w:val="auto"/>
          <w:sz w:val="24"/>
          <w:szCs w:val="24"/>
        </w:rPr>
        <w:t xml:space="preserve"> </w:t>
      </w:r>
      <w:bookmarkStart w:id="279" w:name="_Toc194822689"/>
      <w:r>
        <w:rPr>
          <w:rFonts w:asciiTheme="majorBidi" w:hAnsiTheme="majorBidi"/>
          <w:color w:val="auto"/>
          <w:sz w:val="24"/>
          <w:szCs w:val="24"/>
        </w:rPr>
        <w:t>Level of Exam Malpractices in KCSE Examinations</w:t>
      </w:r>
      <w:bookmarkEnd w:id="278"/>
      <w:bookmarkEnd w:id="279"/>
    </w:p>
    <w:p w14:paraId="724CFF45">
      <w:pPr>
        <w:spacing w:before="240" w:line="480" w:lineRule="auto"/>
        <w:jc w:val="both"/>
        <w:rPr>
          <w:rFonts w:asciiTheme="majorBidi" w:hAnsiTheme="majorBidi" w:cstheme="majorBidi"/>
          <w:sz w:val="24"/>
          <w:szCs w:val="24"/>
        </w:rPr>
      </w:pPr>
      <w:r>
        <w:rPr>
          <w:rFonts w:asciiTheme="majorBidi" w:hAnsiTheme="majorBidi" w:cstheme="majorBidi"/>
          <w:sz w:val="24"/>
          <w:szCs w:val="24"/>
        </w:rPr>
        <w:t>The dependent variable in this study was the level of examination malpractices, which was assessed using a Likert scale. The Likert scale ranges from 1 to 5, with 1 representing "Strongly Disagree" (SD) and 5 representing "Strongly Agree" (SA). The statements provided captured various dimensions related to academic integrity and examination malpractices within the educational context. The dimensions of the statements covered different aspects of examination integrity, including students' behaviors, school policies, administrative practices, and attitudes towards cheating. Table 23 summarizes the responses regarding the dependent variable.</w:t>
      </w:r>
    </w:p>
    <w:p w14:paraId="5F9E061C">
      <w:pPr>
        <w:spacing w:before="240" w:line="480" w:lineRule="auto"/>
        <w:jc w:val="both"/>
        <w:rPr>
          <w:rFonts w:asciiTheme="majorBidi" w:hAnsiTheme="majorBidi" w:cstheme="majorBidi"/>
          <w:sz w:val="24"/>
          <w:szCs w:val="24"/>
        </w:rPr>
      </w:pPr>
    </w:p>
    <w:p w14:paraId="303C6E9E">
      <w:pPr>
        <w:spacing w:before="240" w:line="480" w:lineRule="auto"/>
        <w:jc w:val="both"/>
        <w:rPr>
          <w:rFonts w:asciiTheme="majorBidi" w:hAnsiTheme="majorBidi" w:cstheme="majorBidi"/>
          <w:sz w:val="24"/>
          <w:szCs w:val="24"/>
        </w:rPr>
      </w:pPr>
    </w:p>
    <w:p w14:paraId="0EE9E8BD">
      <w:pPr>
        <w:pStyle w:val="2"/>
        <w:rPr>
          <w:rFonts w:asciiTheme="majorBidi" w:hAnsiTheme="majorBidi"/>
          <w:b w:val="0"/>
          <w:bCs w:val="0"/>
          <w:color w:val="auto"/>
          <w:sz w:val="24"/>
          <w:szCs w:val="24"/>
        </w:rPr>
      </w:pPr>
      <w:bookmarkStart w:id="280" w:name="_Toc194822690"/>
      <w:bookmarkStart w:id="281" w:name="_Toc194769970"/>
      <w:r>
        <w:rPr>
          <w:rFonts w:asciiTheme="majorBidi" w:hAnsiTheme="majorBidi"/>
          <w:b w:val="0"/>
          <w:bCs w:val="0"/>
          <w:color w:val="auto"/>
          <w:sz w:val="24"/>
          <w:szCs w:val="24"/>
        </w:rPr>
        <w:t>Table 23:</w:t>
      </w:r>
      <w:bookmarkEnd w:id="280"/>
      <w:bookmarkEnd w:id="281"/>
    </w:p>
    <w:p w14:paraId="3E925913">
      <w:pPr>
        <w:pStyle w:val="2"/>
        <w:spacing w:after="240"/>
        <w:rPr>
          <w:rFonts w:asciiTheme="majorBidi" w:hAnsiTheme="majorBidi"/>
          <w:b w:val="0"/>
          <w:bCs w:val="0"/>
          <w:i/>
          <w:iCs/>
          <w:color w:val="auto"/>
          <w:sz w:val="24"/>
          <w:szCs w:val="24"/>
        </w:rPr>
      </w:pPr>
      <w:bookmarkStart w:id="282" w:name="_Toc194769971"/>
      <w:bookmarkStart w:id="283" w:name="_Toc194822691"/>
      <w:r>
        <w:rPr>
          <w:rFonts w:asciiTheme="majorBidi" w:hAnsiTheme="majorBidi"/>
          <w:b w:val="0"/>
          <w:bCs w:val="0"/>
          <w:i/>
          <w:iCs/>
          <w:color w:val="auto"/>
          <w:sz w:val="24"/>
          <w:szCs w:val="24"/>
        </w:rPr>
        <w:t>Descriptive analysis on exam malpractices in KCSE examinations</w:t>
      </w:r>
      <w:bookmarkEnd w:id="282"/>
      <w:bookmarkEnd w:id="283"/>
    </w:p>
    <w:tbl>
      <w:tblPr>
        <w:tblStyle w:val="20"/>
        <w:tblW w:w="988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60"/>
        <w:gridCol w:w="709"/>
        <w:gridCol w:w="850"/>
        <w:gridCol w:w="992"/>
        <w:gridCol w:w="1134"/>
        <w:gridCol w:w="993"/>
        <w:gridCol w:w="992"/>
        <w:gridCol w:w="709"/>
        <w:gridCol w:w="850"/>
      </w:tblGrid>
      <w:tr w14:paraId="4E0EE1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0F701382">
            <w:pPr>
              <w:spacing w:after="0" w:line="276" w:lineRule="auto"/>
              <w:rPr>
                <w:rFonts w:asciiTheme="majorBidi" w:hAnsiTheme="majorBidi" w:cstheme="majorBidi"/>
                <w:b/>
                <w:bCs/>
                <w:sz w:val="24"/>
                <w:szCs w:val="24"/>
              </w:rPr>
            </w:pPr>
          </w:p>
        </w:tc>
        <w:tc>
          <w:tcPr>
            <w:tcW w:w="709" w:type="dxa"/>
          </w:tcPr>
          <w:p w14:paraId="3635ECB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50" w:type="dxa"/>
            <w:noWrap/>
          </w:tcPr>
          <w:p w14:paraId="59A9216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92" w:type="dxa"/>
            <w:noWrap/>
          </w:tcPr>
          <w:p w14:paraId="4872D7E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1134" w:type="dxa"/>
            <w:noWrap/>
          </w:tcPr>
          <w:p w14:paraId="78D1022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93" w:type="dxa"/>
            <w:noWrap/>
          </w:tcPr>
          <w:p w14:paraId="054C27C0">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92" w:type="dxa"/>
            <w:noWrap/>
          </w:tcPr>
          <w:p w14:paraId="559DB03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c>
          <w:tcPr>
            <w:tcW w:w="709" w:type="dxa"/>
            <w:noWrap/>
          </w:tcPr>
          <w:p w14:paraId="1D7E020D">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Mean</w:t>
            </w:r>
          </w:p>
        </w:tc>
        <w:tc>
          <w:tcPr>
            <w:tcW w:w="850" w:type="dxa"/>
            <w:noWrap/>
          </w:tcPr>
          <w:p w14:paraId="06217EE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STD</w:t>
            </w:r>
          </w:p>
        </w:tc>
      </w:tr>
      <w:tr w14:paraId="328EF8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2BE15317">
            <w:pPr>
              <w:spacing w:after="0" w:line="276" w:lineRule="auto"/>
              <w:rPr>
                <w:rFonts w:asciiTheme="majorBidi" w:hAnsiTheme="majorBidi" w:cstheme="majorBidi"/>
                <w:sz w:val="24"/>
                <w:szCs w:val="24"/>
              </w:rPr>
            </w:pPr>
            <w:r>
              <w:rPr>
                <w:rFonts w:asciiTheme="majorBidi" w:hAnsiTheme="majorBidi" w:cstheme="majorBidi"/>
                <w:sz w:val="24"/>
                <w:szCs w:val="24"/>
              </w:rPr>
              <w:t>Students use unfair methods to learn what was on a test before it was given.</w:t>
            </w:r>
          </w:p>
        </w:tc>
        <w:tc>
          <w:tcPr>
            <w:tcW w:w="709" w:type="dxa"/>
          </w:tcPr>
          <w:p w14:paraId="638639E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7E3D67BA">
            <w:pPr>
              <w:spacing w:after="0" w:line="360" w:lineRule="auto"/>
              <w:jc w:val="both"/>
              <w:rPr>
                <w:rFonts w:asciiTheme="majorBidi" w:hAnsiTheme="majorBidi" w:cstheme="majorBidi"/>
                <w:sz w:val="24"/>
                <w:szCs w:val="24"/>
              </w:rPr>
            </w:pPr>
            <w:r>
              <w:rPr>
                <w:rFonts w:asciiTheme="majorBidi" w:hAnsiTheme="majorBidi" w:cstheme="majorBidi"/>
                <w:sz w:val="24"/>
                <w:szCs w:val="24"/>
              </w:rPr>
              <w:t>1.60%</w:t>
            </w:r>
          </w:p>
        </w:tc>
        <w:tc>
          <w:tcPr>
            <w:tcW w:w="992" w:type="dxa"/>
            <w:noWrap/>
          </w:tcPr>
          <w:p w14:paraId="14C14AA0">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c>
          <w:tcPr>
            <w:tcW w:w="1134" w:type="dxa"/>
            <w:noWrap/>
          </w:tcPr>
          <w:p w14:paraId="56589FEF">
            <w:pPr>
              <w:spacing w:after="0" w:line="360" w:lineRule="auto"/>
              <w:jc w:val="both"/>
              <w:rPr>
                <w:rFonts w:asciiTheme="majorBidi" w:hAnsiTheme="majorBidi" w:cstheme="majorBidi"/>
                <w:sz w:val="24"/>
                <w:szCs w:val="24"/>
              </w:rPr>
            </w:pPr>
            <w:r>
              <w:rPr>
                <w:rFonts w:asciiTheme="majorBidi" w:hAnsiTheme="majorBidi" w:cstheme="majorBidi"/>
                <w:sz w:val="24"/>
                <w:szCs w:val="24"/>
              </w:rPr>
              <w:t>44.50%</w:t>
            </w:r>
          </w:p>
        </w:tc>
        <w:tc>
          <w:tcPr>
            <w:tcW w:w="993" w:type="dxa"/>
            <w:noWrap/>
          </w:tcPr>
          <w:p w14:paraId="20FC7C6D">
            <w:pPr>
              <w:spacing w:after="0" w:line="360" w:lineRule="auto"/>
              <w:jc w:val="both"/>
              <w:rPr>
                <w:rFonts w:asciiTheme="majorBidi" w:hAnsiTheme="majorBidi" w:cstheme="majorBidi"/>
                <w:sz w:val="24"/>
                <w:szCs w:val="24"/>
              </w:rPr>
            </w:pPr>
            <w:r>
              <w:rPr>
                <w:rFonts w:asciiTheme="majorBidi" w:hAnsiTheme="majorBidi" w:cstheme="majorBidi"/>
                <w:sz w:val="24"/>
                <w:szCs w:val="24"/>
              </w:rPr>
              <w:t>35.90%</w:t>
            </w:r>
          </w:p>
        </w:tc>
        <w:tc>
          <w:tcPr>
            <w:tcW w:w="992" w:type="dxa"/>
            <w:noWrap/>
          </w:tcPr>
          <w:p w14:paraId="113E2AF5">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709" w:type="dxa"/>
            <w:noWrap/>
          </w:tcPr>
          <w:p w14:paraId="1902A5D0">
            <w:pPr>
              <w:spacing w:after="0" w:line="360" w:lineRule="auto"/>
              <w:jc w:val="both"/>
              <w:rPr>
                <w:rFonts w:asciiTheme="majorBidi" w:hAnsiTheme="majorBidi" w:cstheme="majorBidi"/>
                <w:sz w:val="24"/>
                <w:szCs w:val="24"/>
              </w:rPr>
            </w:pPr>
            <w:r>
              <w:rPr>
                <w:rFonts w:asciiTheme="majorBidi" w:hAnsiTheme="majorBidi" w:cstheme="majorBidi"/>
                <w:sz w:val="24"/>
                <w:szCs w:val="24"/>
              </w:rPr>
              <w:t>3.41</w:t>
            </w:r>
          </w:p>
        </w:tc>
        <w:tc>
          <w:tcPr>
            <w:tcW w:w="850" w:type="dxa"/>
            <w:noWrap/>
          </w:tcPr>
          <w:p w14:paraId="159FE7DE">
            <w:pPr>
              <w:spacing w:after="0" w:line="360" w:lineRule="auto"/>
              <w:jc w:val="both"/>
              <w:rPr>
                <w:rFonts w:asciiTheme="majorBidi" w:hAnsiTheme="majorBidi" w:cstheme="majorBidi"/>
                <w:sz w:val="24"/>
                <w:szCs w:val="24"/>
              </w:rPr>
            </w:pPr>
            <w:r>
              <w:rPr>
                <w:rFonts w:asciiTheme="majorBidi" w:hAnsiTheme="majorBidi" w:cstheme="majorBidi"/>
                <w:sz w:val="24"/>
                <w:szCs w:val="24"/>
              </w:rPr>
              <w:t>0.837</w:t>
            </w:r>
          </w:p>
        </w:tc>
      </w:tr>
      <w:tr w14:paraId="4B61AC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31D3CFF5">
            <w:pPr>
              <w:spacing w:after="0" w:line="276" w:lineRule="auto"/>
              <w:rPr>
                <w:rFonts w:asciiTheme="majorBidi" w:hAnsiTheme="majorBidi" w:cstheme="majorBidi"/>
                <w:sz w:val="24"/>
                <w:szCs w:val="24"/>
              </w:rPr>
            </w:pPr>
            <w:r>
              <w:rPr>
                <w:rFonts w:asciiTheme="majorBidi" w:hAnsiTheme="majorBidi" w:cstheme="majorBidi"/>
                <w:sz w:val="24"/>
                <w:szCs w:val="24"/>
              </w:rPr>
              <w:t>Students are allowed to bring irrelevant materials in examination room.</w:t>
            </w:r>
          </w:p>
        </w:tc>
        <w:tc>
          <w:tcPr>
            <w:tcW w:w="709" w:type="dxa"/>
          </w:tcPr>
          <w:p w14:paraId="7465FE0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25DDBC47">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92" w:type="dxa"/>
            <w:noWrap/>
          </w:tcPr>
          <w:p w14:paraId="468CB434">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c>
          <w:tcPr>
            <w:tcW w:w="1134" w:type="dxa"/>
            <w:noWrap/>
          </w:tcPr>
          <w:p w14:paraId="1EEA0283">
            <w:pPr>
              <w:spacing w:after="0" w:line="360" w:lineRule="auto"/>
              <w:jc w:val="both"/>
              <w:rPr>
                <w:rFonts w:asciiTheme="majorBidi" w:hAnsiTheme="majorBidi" w:cstheme="majorBidi"/>
                <w:sz w:val="24"/>
                <w:szCs w:val="24"/>
              </w:rPr>
            </w:pPr>
            <w:r>
              <w:rPr>
                <w:rFonts w:asciiTheme="majorBidi" w:hAnsiTheme="majorBidi" w:cstheme="majorBidi"/>
                <w:sz w:val="24"/>
                <w:szCs w:val="24"/>
              </w:rPr>
              <w:t>50.00%</w:t>
            </w:r>
          </w:p>
        </w:tc>
        <w:tc>
          <w:tcPr>
            <w:tcW w:w="993" w:type="dxa"/>
            <w:noWrap/>
          </w:tcPr>
          <w:p w14:paraId="126F2A58">
            <w:pPr>
              <w:spacing w:after="0" w:line="360" w:lineRule="auto"/>
              <w:jc w:val="both"/>
              <w:rPr>
                <w:rFonts w:asciiTheme="majorBidi" w:hAnsiTheme="majorBidi" w:cstheme="majorBidi"/>
                <w:sz w:val="24"/>
                <w:szCs w:val="24"/>
              </w:rPr>
            </w:pPr>
            <w:r>
              <w:rPr>
                <w:rFonts w:asciiTheme="majorBidi" w:hAnsiTheme="majorBidi" w:cstheme="majorBidi"/>
                <w:sz w:val="24"/>
                <w:szCs w:val="24"/>
              </w:rPr>
              <w:t>28.10%</w:t>
            </w:r>
          </w:p>
        </w:tc>
        <w:tc>
          <w:tcPr>
            <w:tcW w:w="992" w:type="dxa"/>
            <w:noWrap/>
          </w:tcPr>
          <w:p w14:paraId="4DB821C6">
            <w:pPr>
              <w:spacing w:after="0" w:line="360" w:lineRule="auto"/>
              <w:jc w:val="both"/>
              <w:rPr>
                <w:rFonts w:asciiTheme="majorBidi" w:hAnsiTheme="majorBidi" w:cstheme="majorBidi"/>
                <w:sz w:val="24"/>
                <w:szCs w:val="24"/>
              </w:rPr>
            </w:pPr>
            <w:r>
              <w:rPr>
                <w:rFonts w:asciiTheme="majorBidi" w:hAnsiTheme="majorBidi" w:cstheme="majorBidi"/>
                <w:sz w:val="24"/>
                <w:szCs w:val="24"/>
              </w:rPr>
              <w:t>10.20%</w:t>
            </w:r>
          </w:p>
        </w:tc>
        <w:tc>
          <w:tcPr>
            <w:tcW w:w="709" w:type="dxa"/>
            <w:noWrap/>
          </w:tcPr>
          <w:p w14:paraId="2BF47E6D">
            <w:pPr>
              <w:spacing w:after="0" w:line="360" w:lineRule="auto"/>
              <w:jc w:val="both"/>
              <w:rPr>
                <w:rFonts w:asciiTheme="majorBidi" w:hAnsiTheme="majorBidi" w:cstheme="majorBidi"/>
                <w:sz w:val="24"/>
                <w:szCs w:val="24"/>
              </w:rPr>
            </w:pPr>
            <w:r>
              <w:rPr>
                <w:rFonts w:asciiTheme="majorBidi" w:hAnsiTheme="majorBidi" w:cstheme="majorBidi"/>
                <w:sz w:val="24"/>
                <w:szCs w:val="24"/>
              </w:rPr>
              <w:t>3.34</w:t>
            </w:r>
          </w:p>
        </w:tc>
        <w:tc>
          <w:tcPr>
            <w:tcW w:w="850" w:type="dxa"/>
            <w:noWrap/>
          </w:tcPr>
          <w:p w14:paraId="5DA2D8BD">
            <w:pPr>
              <w:spacing w:after="0" w:line="360" w:lineRule="auto"/>
              <w:jc w:val="both"/>
              <w:rPr>
                <w:rFonts w:asciiTheme="majorBidi" w:hAnsiTheme="majorBidi" w:cstheme="majorBidi"/>
                <w:sz w:val="24"/>
                <w:szCs w:val="24"/>
              </w:rPr>
            </w:pPr>
            <w:r>
              <w:rPr>
                <w:rFonts w:asciiTheme="majorBidi" w:hAnsiTheme="majorBidi" w:cstheme="majorBidi"/>
                <w:sz w:val="24"/>
                <w:szCs w:val="24"/>
              </w:rPr>
              <w:t>0.873</w:t>
            </w:r>
          </w:p>
        </w:tc>
      </w:tr>
      <w:tr w14:paraId="1335DC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7D3285AF">
            <w:pPr>
              <w:spacing w:after="0" w:line="276" w:lineRule="auto"/>
              <w:rPr>
                <w:rFonts w:asciiTheme="majorBidi" w:hAnsiTheme="majorBidi" w:cstheme="majorBidi"/>
                <w:sz w:val="24"/>
                <w:szCs w:val="24"/>
              </w:rPr>
            </w:pPr>
            <w:r>
              <w:rPr>
                <w:rFonts w:asciiTheme="majorBidi" w:hAnsiTheme="majorBidi" w:cstheme="majorBidi"/>
                <w:sz w:val="24"/>
                <w:szCs w:val="24"/>
              </w:rPr>
              <w:t>The school has put in place strong policies on examination malpractice</w:t>
            </w:r>
          </w:p>
        </w:tc>
        <w:tc>
          <w:tcPr>
            <w:tcW w:w="709" w:type="dxa"/>
          </w:tcPr>
          <w:p w14:paraId="29639F61">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163F8922">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1E7C88E3">
            <w:pPr>
              <w:spacing w:after="0" w:line="360" w:lineRule="auto"/>
              <w:jc w:val="both"/>
              <w:rPr>
                <w:rFonts w:asciiTheme="majorBidi" w:hAnsiTheme="majorBidi" w:cstheme="majorBidi"/>
                <w:sz w:val="24"/>
                <w:szCs w:val="24"/>
              </w:rPr>
            </w:pPr>
            <w:r>
              <w:rPr>
                <w:rFonts w:asciiTheme="majorBidi" w:hAnsiTheme="majorBidi" w:cstheme="majorBidi"/>
                <w:sz w:val="24"/>
                <w:szCs w:val="24"/>
              </w:rPr>
              <w:t>10.20%</w:t>
            </w:r>
          </w:p>
        </w:tc>
        <w:tc>
          <w:tcPr>
            <w:tcW w:w="1134" w:type="dxa"/>
            <w:noWrap/>
          </w:tcPr>
          <w:p w14:paraId="2A9C3466">
            <w:pPr>
              <w:spacing w:after="0" w:line="360" w:lineRule="auto"/>
              <w:jc w:val="both"/>
              <w:rPr>
                <w:rFonts w:asciiTheme="majorBidi" w:hAnsiTheme="majorBidi" w:cstheme="majorBidi"/>
                <w:sz w:val="24"/>
                <w:szCs w:val="24"/>
              </w:rPr>
            </w:pPr>
            <w:r>
              <w:rPr>
                <w:rFonts w:asciiTheme="majorBidi" w:hAnsiTheme="majorBidi" w:cstheme="majorBidi"/>
                <w:sz w:val="24"/>
                <w:szCs w:val="24"/>
              </w:rPr>
              <w:t>50.80%</w:t>
            </w:r>
          </w:p>
        </w:tc>
        <w:tc>
          <w:tcPr>
            <w:tcW w:w="993" w:type="dxa"/>
            <w:noWrap/>
          </w:tcPr>
          <w:p w14:paraId="4592EEEB">
            <w:pPr>
              <w:spacing w:after="0" w:line="360" w:lineRule="auto"/>
              <w:jc w:val="both"/>
              <w:rPr>
                <w:rFonts w:asciiTheme="majorBidi" w:hAnsiTheme="majorBidi" w:cstheme="majorBidi"/>
                <w:sz w:val="24"/>
                <w:szCs w:val="24"/>
              </w:rPr>
            </w:pPr>
            <w:r>
              <w:rPr>
                <w:rFonts w:asciiTheme="majorBidi" w:hAnsiTheme="majorBidi" w:cstheme="majorBidi"/>
                <w:sz w:val="24"/>
                <w:szCs w:val="24"/>
              </w:rPr>
              <w:t>27.30%</w:t>
            </w:r>
          </w:p>
        </w:tc>
        <w:tc>
          <w:tcPr>
            <w:tcW w:w="992" w:type="dxa"/>
            <w:noWrap/>
          </w:tcPr>
          <w:p w14:paraId="30E47A40">
            <w:pPr>
              <w:spacing w:after="0" w:line="360" w:lineRule="auto"/>
              <w:jc w:val="both"/>
              <w:rPr>
                <w:rFonts w:asciiTheme="majorBidi" w:hAnsiTheme="majorBidi" w:cstheme="majorBidi"/>
                <w:sz w:val="24"/>
                <w:szCs w:val="24"/>
              </w:rPr>
            </w:pPr>
            <w:r>
              <w:rPr>
                <w:rFonts w:asciiTheme="majorBidi" w:hAnsiTheme="majorBidi" w:cstheme="majorBidi"/>
                <w:sz w:val="24"/>
                <w:szCs w:val="24"/>
              </w:rPr>
              <w:t>10.90%</w:t>
            </w:r>
          </w:p>
        </w:tc>
        <w:tc>
          <w:tcPr>
            <w:tcW w:w="709" w:type="dxa"/>
            <w:noWrap/>
          </w:tcPr>
          <w:p w14:paraId="4832AAAA">
            <w:pPr>
              <w:spacing w:after="0" w:line="360" w:lineRule="auto"/>
              <w:jc w:val="both"/>
              <w:rPr>
                <w:rFonts w:asciiTheme="majorBidi" w:hAnsiTheme="majorBidi" w:cstheme="majorBidi"/>
                <w:sz w:val="24"/>
                <w:szCs w:val="24"/>
              </w:rPr>
            </w:pPr>
            <w:r>
              <w:rPr>
                <w:rFonts w:asciiTheme="majorBidi" w:hAnsiTheme="majorBidi" w:cstheme="majorBidi"/>
                <w:sz w:val="24"/>
                <w:szCs w:val="24"/>
              </w:rPr>
              <w:t>3.37</w:t>
            </w:r>
          </w:p>
        </w:tc>
        <w:tc>
          <w:tcPr>
            <w:tcW w:w="850" w:type="dxa"/>
            <w:noWrap/>
          </w:tcPr>
          <w:p w14:paraId="5ACA0530">
            <w:pPr>
              <w:spacing w:after="0" w:line="360" w:lineRule="auto"/>
              <w:jc w:val="both"/>
              <w:rPr>
                <w:rFonts w:asciiTheme="majorBidi" w:hAnsiTheme="majorBidi" w:cstheme="majorBidi"/>
                <w:sz w:val="24"/>
                <w:szCs w:val="24"/>
              </w:rPr>
            </w:pPr>
            <w:r>
              <w:rPr>
                <w:rFonts w:asciiTheme="majorBidi" w:hAnsiTheme="majorBidi" w:cstheme="majorBidi"/>
                <w:sz w:val="24"/>
                <w:szCs w:val="24"/>
              </w:rPr>
              <w:t>0.842</w:t>
            </w:r>
          </w:p>
        </w:tc>
      </w:tr>
      <w:tr w14:paraId="14F13D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145BE0F3">
            <w:pPr>
              <w:spacing w:after="0" w:line="276" w:lineRule="auto"/>
              <w:rPr>
                <w:rFonts w:asciiTheme="majorBidi" w:hAnsiTheme="majorBidi" w:cstheme="majorBidi"/>
                <w:sz w:val="24"/>
                <w:szCs w:val="24"/>
              </w:rPr>
            </w:pPr>
            <w:r>
              <w:rPr>
                <w:rFonts w:asciiTheme="majorBidi" w:hAnsiTheme="majorBidi" w:cstheme="majorBidi"/>
                <w:sz w:val="24"/>
                <w:szCs w:val="24"/>
              </w:rPr>
              <w:t>The school administration does not follow the examination malpractice policies.</w:t>
            </w:r>
          </w:p>
        </w:tc>
        <w:tc>
          <w:tcPr>
            <w:tcW w:w="709" w:type="dxa"/>
          </w:tcPr>
          <w:p w14:paraId="2EFC99B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23D1932F">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3A0841CC">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1134" w:type="dxa"/>
            <w:noWrap/>
          </w:tcPr>
          <w:p w14:paraId="69D11323">
            <w:pPr>
              <w:spacing w:after="0" w:line="360" w:lineRule="auto"/>
              <w:jc w:val="both"/>
              <w:rPr>
                <w:rFonts w:asciiTheme="majorBidi" w:hAnsiTheme="majorBidi" w:cstheme="majorBidi"/>
                <w:sz w:val="24"/>
                <w:szCs w:val="24"/>
              </w:rPr>
            </w:pPr>
            <w:r>
              <w:rPr>
                <w:rFonts w:asciiTheme="majorBidi" w:hAnsiTheme="majorBidi" w:cstheme="majorBidi"/>
                <w:sz w:val="24"/>
                <w:szCs w:val="24"/>
              </w:rPr>
              <w:t>46.10%</w:t>
            </w:r>
          </w:p>
        </w:tc>
        <w:tc>
          <w:tcPr>
            <w:tcW w:w="993" w:type="dxa"/>
            <w:noWrap/>
          </w:tcPr>
          <w:p w14:paraId="14D8125D">
            <w:pPr>
              <w:spacing w:after="0" w:line="360" w:lineRule="auto"/>
              <w:jc w:val="both"/>
              <w:rPr>
                <w:rFonts w:asciiTheme="majorBidi" w:hAnsiTheme="majorBidi" w:cstheme="majorBidi"/>
                <w:sz w:val="24"/>
                <w:szCs w:val="24"/>
              </w:rPr>
            </w:pPr>
            <w:r>
              <w:rPr>
                <w:rFonts w:asciiTheme="majorBidi" w:hAnsiTheme="majorBidi" w:cstheme="majorBidi"/>
                <w:sz w:val="24"/>
                <w:szCs w:val="24"/>
              </w:rPr>
              <w:t>31.30%</w:t>
            </w:r>
          </w:p>
        </w:tc>
        <w:tc>
          <w:tcPr>
            <w:tcW w:w="992" w:type="dxa"/>
            <w:noWrap/>
          </w:tcPr>
          <w:p w14:paraId="40453BCC">
            <w:pPr>
              <w:spacing w:after="0" w:line="360" w:lineRule="auto"/>
              <w:jc w:val="both"/>
              <w:rPr>
                <w:rFonts w:asciiTheme="majorBidi" w:hAnsiTheme="majorBidi" w:cstheme="majorBidi"/>
                <w:sz w:val="24"/>
                <w:szCs w:val="24"/>
              </w:rPr>
            </w:pPr>
            <w:r>
              <w:rPr>
                <w:rFonts w:asciiTheme="majorBidi" w:hAnsiTheme="majorBidi" w:cstheme="majorBidi"/>
                <w:sz w:val="24"/>
                <w:szCs w:val="24"/>
              </w:rPr>
              <w:t>10.20%</w:t>
            </w:r>
          </w:p>
        </w:tc>
        <w:tc>
          <w:tcPr>
            <w:tcW w:w="709" w:type="dxa"/>
            <w:noWrap/>
          </w:tcPr>
          <w:p w14:paraId="3B13DBEC">
            <w:pPr>
              <w:spacing w:after="0" w:line="360" w:lineRule="auto"/>
              <w:jc w:val="both"/>
              <w:rPr>
                <w:rFonts w:asciiTheme="majorBidi" w:hAnsiTheme="majorBidi" w:cstheme="majorBidi"/>
                <w:sz w:val="24"/>
                <w:szCs w:val="24"/>
              </w:rPr>
            </w:pPr>
            <w:r>
              <w:rPr>
                <w:rFonts w:asciiTheme="majorBidi" w:hAnsiTheme="majorBidi" w:cstheme="majorBidi"/>
                <w:sz w:val="24"/>
                <w:szCs w:val="24"/>
              </w:rPr>
              <w:t>3.38</w:t>
            </w:r>
          </w:p>
        </w:tc>
        <w:tc>
          <w:tcPr>
            <w:tcW w:w="850" w:type="dxa"/>
            <w:noWrap/>
          </w:tcPr>
          <w:p w14:paraId="03E8CC46">
            <w:pPr>
              <w:spacing w:after="0" w:line="360" w:lineRule="auto"/>
              <w:jc w:val="both"/>
              <w:rPr>
                <w:rFonts w:asciiTheme="majorBidi" w:hAnsiTheme="majorBidi" w:cstheme="majorBidi"/>
                <w:sz w:val="24"/>
                <w:szCs w:val="24"/>
              </w:rPr>
            </w:pPr>
            <w:r>
              <w:rPr>
                <w:rFonts w:asciiTheme="majorBidi" w:hAnsiTheme="majorBidi" w:cstheme="majorBidi"/>
                <w:sz w:val="24"/>
                <w:szCs w:val="24"/>
              </w:rPr>
              <w:t>0.852</w:t>
            </w:r>
          </w:p>
        </w:tc>
      </w:tr>
      <w:tr w14:paraId="0B20B2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05C76CFC">
            <w:pPr>
              <w:spacing w:after="0" w:line="276" w:lineRule="auto"/>
              <w:rPr>
                <w:rFonts w:asciiTheme="majorBidi" w:hAnsiTheme="majorBidi" w:cstheme="majorBidi"/>
                <w:sz w:val="24"/>
                <w:szCs w:val="24"/>
              </w:rPr>
            </w:pPr>
            <w:r>
              <w:rPr>
                <w:rFonts w:asciiTheme="majorBidi" w:hAnsiTheme="majorBidi" w:cstheme="majorBidi"/>
                <w:sz w:val="24"/>
                <w:szCs w:val="24"/>
              </w:rPr>
              <w:t>Students receive substantial help on an individual assignment without the teacher’s permission.</w:t>
            </w:r>
          </w:p>
        </w:tc>
        <w:tc>
          <w:tcPr>
            <w:tcW w:w="709" w:type="dxa"/>
          </w:tcPr>
          <w:p w14:paraId="71359FE3">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4EACC3E2">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92" w:type="dxa"/>
            <w:noWrap/>
          </w:tcPr>
          <w:p w14:paraId="54E381C1">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1134" w:type="dxa"/>
            <w:noWrap/>
          </w:tcPr>
          <w:p w14:paraId="36F59BFC">
            <w:pPr>
              <w:spacing w:after="0" w:line="360" w:lineRule="auto"/>
              <w:jc w:val="both"/>
              <w:rPr>
                <w:rFonts w:asciiTheme="majorBidi" w:hAnsiTheme="majorBidi" w:cstheme="majorBidi"/>
                <w:sz w:val="24"/>
                <w:szCs w:val="24"/>
              </w:rPr>
            </w:pPr>
            <w:r>
              <w:rPr>
                <w:rFonts w:asciiTheme="majorBidi" w:hAnsiTheme="majorBidi" w:cstheme="majorBidi"/>
                <w:sz w:val="24"/>
                <w:szCs w:val="24"/>
              </w:rPr>
              <w:t>51.60%</w:t>
            </w:r>
          </w:p>
        </w:tc>
        <w:tc>
          <w:tcPr>
            <w:tcW w:w="993" w:type="dxa"/>
            <w:noWrap/>
          </w:tcPr>
          <w:p w14:paraId="076DE858">
            <w:pPr>
              <w:spacing w:after="0" w:line="360" w:lineRule="auto"/>
              <w:jc w:val="both"/>
              <w:rPr>
                <w:rFonts w:asciiTheme="majorBidi" w:hAnsiTheme="majorBidi" w:cstheme="majorBidi"/>
                <w:sz w:val="24"/>
                <w:szCs w:val="24"/>
              </w:rPr>
            </w:pPr>
            <w:r>
              <w:rPr>
                <w:rFonts w:asciiTheme="majorBidi" w:hAnsiTheme="majorBidi" w:cstheme="majorBidi"/>
                <w:sz w:val="24"/>
                <w:szCs w:val="24"/>
              </w:rPr>
              <w:t>26.60%</w:t>
            </w:r>
          </w:p>
        </w:tc>
        <w:tc>
          <w:tcPr>
            <w:tcW w:w="992" w:type="dxa"/>
            <w:noWrap/>
          </w:tcPr>
          <w:p w14:paraId="1E772A9F">
            <w:pPr>
              <w:spacing w:after="0" w:line="360" w:lineRule="auto"/>
              <w:jc w:val="both"/>
              <w:rPr>
                <w:rFonts w:asciiTheme="majorBidi" w:hAnsiTheme="majorBidi" w:cstheme="majorBidi"/>
                <w:sz w:val="24"/>
                <w:szCs w:val="24"/>
              </w:rPr>
            </w:pPr>
            <w:r>
              <w:rPr>
                <w:rFonts w:asciiTheme="majorBidi" w:hAnsiTheme="majorBidi" w:cstheme="majorBidi"/>
                <w:sz w:val="24"/>
                <w:szCs w:val="24"/>
              </w:rPr>
              <w:t>7.80%</w:t>
            </w:r>
          </w:p>
        </w:tc>
        <w:tc>
          <w:tcPr>
            <w:tcW w:w="709" w:type="dxa"/>
            <w:noWrap/>
          </w:tcPr>
          <w:p w14:paraId="5CAAE782">
            <w:pPr>
              <w:spacing w:after="0" w:line="360" w:lineRule="auto"/>
              <w:jc w:val="both"/>
              <w:rPr>
                <w:rFonts w:asciiTheme="majorBidi" w:hAnsiTheme="majorBidi" w:cstheme="majorBidi"/>
                <w:sz w:val="24"/>
                <w:szCs w:val="24"/>
              </w:rPr>
            </w:pPr>
            <w:r>
              <w:rPr>
                <w:rFonts w:asciiTheme="majorBidi" w:hAnsiTheme="majorBidi" w:cstheme="majorBidi"/>
                <w:sz w:val="24"/>
                <w:szCs w:val="24"/>
              </w:rPr>
              <w:t>3.26</w:t>
            </w:r>
          </w:p>
        </w:tc>
        <w:tc>
          <w:tcPr>
            <w:tcW w:w="850" w:type="dxa"/>
            <w:noWrap/>
          </w:tcPr>
          <w:p w14:paraId="23804696">
            <w:pPr>
              <w:spacing w:after="0" w:line="360" w:lineRule="auto"/>
              <w:jc w:val="both"/>
              <w:rPr>
                <w:rFonts w:asciiTheme="majorBidi" w:hAnsiTheme="majorBidi" w:cstheme="majorBidi"/>
                <w:sz w:val="24"/>
                <w:szCs w:val="24"/>
              </w:rPr>
            </w:pPr>
            <w:r>
              <w:rPr>
                <w:rFonts w:asciiTheme="majorBidi" w:hAnsiTheme="majorBidi" w:cstheme="majorBidi"/>
                <w:sz w:val="24"/>
                <w:szCs w:val="24"/>
              </w:rPr>
              <w:t>0.853</w:t>
            </w:r>
          </w:p>
        </w:tc>
      </w:tr>
      <w:tr w14:paraId="3D928C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007063B7">
            <w:pPr>
              <w:spacing w:after="0" w:line="276" w:lineRule="auto"/>
              <w:rPr>
                <w:rFonts w:asciiTheme="majorBidi" w:hAnsiTheme="majorBidi" w:cstheme="majorBidi"/>
                <w:sz w:val="24"/>
                <w:szCs w:val="24"/>
              </w:rPr>
            </w:pPr>
            <w:r>
              <w:rPr>
                <w:rFonts w:asciiTheme="majorBidi" w:hAnsiTheme="majorBidi" w:cstheme="majorBidi"/>
                <w:sz w:val="24"/>
                <w:szCs w:val="24"/>
              </w:rPr>
              <w:t>The level of examination cheating is not very high</w:t>
            </w:r>
          </w:p>
        </w:tc>
        <w:tc>
          <w:tcPr>
            <w:tcW w:w="709" w:type="dxa"/>
          </w:tcPr>
          <w:p w14:paraId="0D981C2B">
            <w:pPr>
              <w:spacing w:after="0" w:line="360" w:lineRule="auto"/>
              <w:jc w:val="both"/>
              <w:rPr>
                <w:rFonts w:asciiTheme="majorBidi" w:hAnsiTheme="majorBidi" w:cstheme="majorBidi"/>
                <w:sz w:val="24"/>
                <w:szCs w:val="24"/>
              </w:rPr>
            </w:pPr>
          </w:p>
        </w:tc>
        <w:tc>
          <w:tcPr>
            <w:tcW w:w="850" w:type="dxa"/>
            <w:noWrap/>
          </w:tcPr>
          <w:p w14:paraId="72AE0592">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1918A4AF">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1134" w:type="dxa"/>
            <w:noWrap/>
          </w:tcPr>
          <w:p w14:paraId="61728924">
            <w:pPr>
              <w:spacing w:after="0" w:line="360" w:lineRule="auto"/>
              <w:jc w:val="both"/>
              <w:rPr>
                <w:rFonts w:asciiTheme="majorBidi" w:hAnsiTheme="majorBidi" w:cstheme="majorBidi"/>
                <w:sz w:val="24"/>
                <w:szCs w:val="24"/>
              </w:rPr>
            </w:pPr>
            <w:r>
              <w:rPr>
                <w:rFonts w:asciiTheme="majorBidi" w:hAnsiTheme="majorBidi" w:cstheme="majorBidi"/>
                <w:sz w:val="24"/>
                <w:szCs w:val="24"/>
              </w:rPr>
              <w:t>44.50%</w:t>
            </w:r>
          </w:p>
        </w:tc>
        <w:tc>
          <w:tcPr>
            <w:tcW w:w="993" w:type="dxa"/>
            <w:noWrap/>
          </w:tcPr>
          <w:p w14:paraId="0204136E">
            <w:pPr>
              <w:spacing w:after="0" w:line="360" w:lineRule="auto"/>
              <w:jc w:val="both"/>
              <w:rPr>
                <w:rFonts w:asciiTheme="majorBidi" w:hAnsiTheme="majorBidi" w:cstheme="majorBidi"/>
                <w:sz w:val="24"/>
                <w:szCs w:val="24"/>
              </w:rPr>
            </w:pPr>
            <w:r>
              <w:rPr>
                <w:rFonts w:asciiTheme="majorBidi" w:hAnsiTheme="majorBidi" w:cstheme="majorBidi"/>
                <w:sz w:val="24"/>
                <w:szCs w:val="24"/>
              </w:rPr>
              <w:t>32.80%</w:t>
            </w:r>
          </w:p>
        </w:tc>
        <w:tc>
          <w:tcPr>
            <w:tcW w:w="992" w:type="dxa"/>
            <w:noWrap/>
          </w:tcPr>
          <w:p w14:paraId="716A2545">
            <w:pPr>
              <w:spacing w:after="0" w:line="360" w:lineRule="auto"/>
              <w:jc w:val="both"/>
              <w:rPr>
                <w:rFonts w:asciiTheme="majorBidi" w:hAnsiTheme="majorBidi" w:cstheme="majorBidi"/>
                <w:sz w:val="24"/>
                <w:szCs w:val="24"/>
              </w:rPr>
            </w:pPr>
            <w:r>
              <w:rPr>
                <w:rFonts w:asciiTheme="majorBidi" w:hAnsiTheme="majorBidi" w:cstheme="majorBidi"/>
                <w:sz w:val="24"/>
                <w:szCs w:val="24"/>
              </w:rPr>
              <w:t>17.20%</w:t>
            </w:r>
          </w:p>
        </w:tc>
        <w:tc>
          <w:tcPr>
            <w:tcW w:w="709" w:type="dxa"/>
            <w:noWrap/>
          </w:tcPr>
          <w:p w14:paraId="1024BEC2">
            <w:pPr>
              <w:spacing w:after="0" w:line="360" w:lineRule="auto"/>
              <w:jc w:val="both"/>
              <w:rPr>
                <w:rFonts w:asciiTheme="majorBidi" w:hAnsiTheme="majorBidi" w:cstheme="majorBidi"/>
                <w:sz w:val="24"/>
                <w:szCs w:val="24"/>
              </w:rPr>
            </w:pPr>
            <w:r>
              <w:rPr>
                <w:rFonts w:asciiTheme="majorBidi" w:hAnsiTheme="majorBidi" w:cstheme="majorBidi"/>
                <w:sz w:val="24"/>
                <w:szCs w:val="24"/>
              </w:rPr>
              <w:t>3.61</w:t>
            </w:r>
          </w:p>
        </w:tc>
        <w:tc>
          <w:tcPr>
            <w:tcW w:w="850" w:type="dxa"/>
            <w:noWrap/>
          </w:tcPr>
          <w:p w14:paraId="6CB6D83D">
            <w:pPr>
              <w:spacing w:after="0" w:line="360" w:lineRule="auto"/>
              <w:jc w:val="both"/>
              <w:rPr>
                <w:rFonts w:asciiTheme="majorBidi" w:hAnsiTheme="majorBidi" w:cstheme="majorBidi"/>
                <w:sz w:val="24"/>
                <w:szCs w:val="24"/>
              </w:rPr>
            </w:pPr>
            <w:r>
              <w:rPr>
                <w:rFonts w:asciiTheme="majorBidi" w:hAnsiTheme="majorBidi" w:cstheme="majorBidi"/>
                <w:sz w:val="24"/>
                <w:szCs w:val="24"/>
              </w:rPr>
              <w:t>0.853</w:t>
            </w:r>
          </w:p>
        </w:tc>
      </w:tr>
      <w:tr w14:paraId="121AA1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3A15A9AC">
            <w:pPr>
              <w:spacing w:after="0" w:line="276" w:lineRule="auto"/>
              <w:rPr>
                <w:rFonts w:asciiTheme="majorBidi" w:hAnsiTheme="majorBidi" w:cstheme="majorBidi"/>
                <w:sz w:val="24"/>
                <w:szCs w:val="24"/>
              </w:rPr>
            </w:pPr>
            <w:r>
              <w:rPr>
                <w:rFonts w:asciiTheme="majorBidi" w:hAnsiTheme="majorBidi" w:cstheme="majorBidi"/>
                <w:sz w:val="24"/>
                <w:szCs w:val="24"/>
              </w:rPr>
              <w:t>The punishment for engaging in examination malpractices is very tough.</w:t>
            </w:r>
          </w:p>
        </w:tc>
        <w:tc>
          <w:tcPr>
            <w:tcW w:w="709" w:type="dxa"/>
          </w:tcPr>
          <w:p w14:paraId="269152C3">
            <w:pPr>
              <w:spacing w:after="0" w:line="360" w:lineRule="auto"/>
              <w:jc w:val="both"/>
              <w:rPr>
                <w:rFonts w:asciiTheme="majorBidi" w:hAnsiTheme="majorBidi" w:cstheme="majorBidi"/>
                <w:sz w:val="24"/>
                <w:szCs w:val="24"/>
              </w:rPr>
            </w:pPr>
          </w:p>
        </w:tc>
        <w:tc>
          <w:tcPr>
            <w:tcW w:w="850" w:type="dxa"/>
            <w:noWrap/>
          </w:tcPr>
          <w:p w14:paraId="6C1AF85C">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61B6C932">
            <w:pPr>
              <w:spacing w:after="0" w:line="360" w:lineRule="auto"/>
              <w:jc w:val="both"/>
              <w:rPr>
                <w:rFonts w:asciiTheme="majorBidi" w:hAnsiTheme="majorBidi" w:cstheme="majorBidi"/>
                <w:sz w:val="24"/>
                <w:szCs w:val="24"/>
              </w:rPr>
            </w:pPr>
            <w:r>
              <w:rPr>
                <w:rFonts w:asciiTheme="majorBidi" w:hAnsiTheme="majorBidi" w:cstheme="majorBidi"/>
                <w:sz w:val="24"/>
                <w:szCs w:val="24"/>
              </w:rPr>
              <w:t>1.60%</w:t>
            </w:r>
          </w:p>
        </w:tc>
        <w:tc>
          <w:tcPr>
            <w:tcW w:w="1134" w:type="dxa"/>
            <w:noWrap/>
          </w:tcPr>
          <w:p w14:paraId="3C517308">
            <w:pPr>
              <w:spacing w:after="0" w:line="360" w:lineRule="auto"/>
              <w:jc w:val="both"/>
              <w:rPr>
                <w:rFonts w:asciiTheme="majorBidi" w:hAnsiTheme="majorBidi" w:cstheme="majorBidi"/>
                <w:sz w:val="24"/>
                <w:szCs w:val="24"/>
              </w:rPr>
            </w:pPr>
            <w:r>
              <w:rPr>
                <w:rFonts w:asciiTheme="majorBidi" w:hAnsiTheme="majorBidi" w:cstheme="majorBidi"/>
                <w:sz w:val="24"/>
                <w:szCs w:val="24"/>
              </w:rPr>
              <w:t>45.30%</w:t>
            </w:r>
          </w:p>
        </w:tc>
        <w:tc>
          <w:tcPr>
            <w:tcW w:w="993" w:type="dxa"/>
            <w:noWrap/>
          </w:tcPr>
          <w:p w14:paraId="1BB6DB04">
            <w:pPr>
              <w:spacing w:after="0" w:line="360" w:lineRule="auto"/>
              <w:jc w:val="both"/>
              <w:rPr>
                <w:rFonts w:asciiTheme="majorBidi" w:hAnsiTheme="majorBidi" w:cstheme="majorBidi"/>
                <w:sz w:val="24"/>
                <w:szCs w:val="24"/>
              </w:rPr>
            </w:pPr>
            <w:r>
              <w:rPr>
                <w:rFonts w:asciiTheme="majorBidi" w:hAnsiTheme="majorBidi" w:cstheme="majorBidi"/>
                <w:sz w:val="24"/>
                <w:szCs w:val="24"/>
              </w:rPr>
              <w:t>35.20%</w:t>
            </w:r>
          </w:p>
        </w:tc>
        <w:tc>
          <w:tcPr>
            <w:tcW w:w="992" w:type="dxa"/>
            <w:noWrap/>
          </w:tcPr>
          <w:p w14:paraId="50FCEB83">
            <w:pPr>
              <w:spacing w:after="0" w:line="360" w:lineRule="auto"/>
              <w:jc w:val="both"/>
              <w:rPr>
                <w:rFonts w:asciiTheme="majorBidi" w:hAnsiTheme="majorBidi" w:cstheme="majorBidi"/>
                <w:sz w:val="24"/>
                <w:szCs w:val="24"/>
              </w:rPr>
            </w:pPr>
            <w:r>
              <w:rPr>
                <w:rFonts w:asciiTheme="majorBidi" w:hAnsiTheme="majorBidi" w:cstheme="majorBidi"/>
                <w:sz w:val="24"/>
                <w:szCs w:val="24"/>
              </w:rPr>
              <w:t>17.20%</w:t>
            </w:r>
          </w:p>
        </w:tc>
        <w:tc>
          <w:tcPr>
            <w:tcW w:w="709" w:type="dxa"/>
            <w:noWrap/>
          </w:tcPr>
          <w:p w14:paraId="11E3F03C">
            <w:pPr>
              <w:spacing w:after="0" w:line="360" w:lineRule="auto"/>
              <w:jc w:val="both"/>
              <w:rPr>
                <w:rFonts w:asciiTheme="majorBidi" w:hAnsiTheme="majorBidi" w:cstheme="majorBidi"/>
                <w:sz w:val="24"/>
                <w:szCs w:val="24"/>
              </w:rPr>
            </w:pPr>
            <w:r>
              <w:rPr>
                <w:rFonts w:asciiTheme="majorBidi" w:hAnsiTheme="majorBidi" w:cstheme="majorBidi"/>
                <w:sz w:val="24"/>
                <w:szCs w:val="24"/>
              </w:rPr>
              <w:t>3.66</w:t>
            </w:r>
          </w:p>
        </w:tc>
        <w:tc>
          <w:tcPr>
            <w:tcW w:w="850" w:type="dxa"/>
            <w:noWrap/>
          </w:tcPr>
          <w:p w14:paraId="7083F9FF">
            <w:pPr>
              <w:spacing w:after="0" w:line="360" w:lineRule="auto"/>
              <w:jc w:val="both"/>
              <w:rPr>
                <w:rFonts w:asciiTheme="majorBidi" w:hAnsiTheme="majorBidi" w:cstheme="majorBidi"/>
                <w:sz w:val="24"/>
                <w:szCs w:val="24"/>
              </w:rPr>
            </w:pPr>
            <w:r>
              <w:rPr>
                <w:rFonts w:asciiTheme="majorBidi" w:hAnsiTheme="majorBidi" w:cstheme="majorBidi"/>
                <w:sz w:val="24"/>
                <w:szCs w:val="24"/>
              </w:rPr>
              <w:t>0.806</w:t>
            </w:r>
          </w:p>
        </w:tc>
      </w:tr>
      <w:tr w14:paraId="0550DE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22AF9AC1">
            <w:pPr>
              <w:spacing w:after="0" w:line="276" w:lineRule="auto"/>
              <w:rPr>
                <w:rFonts w:asciiTheme="majorBidi" w:hAnsiTheme="majorBidi" w:cstheme="majorBidi"/>
                <w:sz w:val="24"/>
                <w:szCs w:val="24"/>
              </w:rPr>
            </w:pPr>
            <w:r>
              <w:rPr>
                <w:rFonts w:asciiTheme="majorBidi" w:hAnsiTheme="majorBidi" w:cstheme="majorBidi"/>
                <w:sz w:val="24"/>
                <w:szCs w:val="24"/>
              </w:rPr>
              <w:t>Students would completely disapprove if they found others engaging in examination malpractices.</w:t>
            </w:r>
          </w:p>
        </w:tc>
        <w:tc>
          <w:tcPr>
            <w:tcW w:w="709" w:type="dxa"/>
          </w:tcPr>
          <w:p w14:paraId="76ECFA52">
            <w:pPr>
              <w:spacing w:after="0" w:line="360" w:lineRule="auto"/>
              <w:jc w:val="both"/>
              <w:rPr>
                <w:rFonts w:asciiTheme="majorBidi" w:hAnsiTheme="majorBidi" w:cstheme="majorBidi"/>
                <w:sz w:val="24"/>
                <w:szCs w:val="24"/>
              </w:rPr>
            </w:pPr>
          </w:p>
        </w:tc>
        <w:tc>
          <w:tcPr>
            <w:tcW w:w="850" w:type="dxa"/>
            <w:noWrap/>
          </w:tcPr>
          <w:p w14:paraId="45D0B4E1">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72B8029D">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1134" w:type="dxa"/>
            <w:noWrap/>
          </w:tcPr>
          <w:p w14:paraId="184929F0">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993" w:type="dxa"/>
            <w:noWrap/>
          </w:tcPr>
          <w:p w14:paraId="49DA9B0D">
            <w:pPr>
              <w:spacing w:after="0" w:line="360" w:lineRule="auto"/>
              <w:jc w:val="both"/>
              <w:rPr>
                <w:rFonts w:asciiTheme="majorBidi" w:hAnsiTheme="majorBidi" w:cstheme="majorBidi"/>
                <w:sz w:val="24"/>
                <w:szCs w:val="24"/>
              </w:rPr>
            </w:pPr>
            <w:r>
              <w:rPr>
                <w:rFonts w:asciiTheme="majorBidi" w:hAnsiTheme="majorBidi" w:cstheme="majorBidi"/>
                <w:sz w:val="24"/>
                <w:szCs w:val="24"/>
              </w:rPr>
              <w:t>35.90%</w:t>
            </w:r>
          </w:p>
        </w:tc>
        <w:tc>
          <w:tcPr>
            <w:tcW w:w="992" w:type="dxa"/>
            <w:noWrap/>
          </w:tcPr>
          <w:p w14:paraId="627B2AC5">
            <w:pPr>
              <w:spacing w:after="0" w:line="360" w:lineRule="auto"/>
              <w:jc w:val="both"/>
              <w:rPr>
                <w:rFonts w:asciiTheme="majorBidi" w:hAnsiTheme="majorBidi" w:cstheme="majorBidi"/>
                <w:sz w:val="24"/>
                <w:szCs w:val="24"/>
              </w:rPr>
            </w:pPr>
            <w:r>
              <w:rPr>
                <w:rFonts w:asciiTheme="majorBidi" w:hAnsiTheme="majorBidi" w:cstheme="majorBidi"/>
                <w:sz w:val="24"/>
                <w:szCs w:val="24"/>
              </w:rPr>
              <w:t>50.80%</w:t>
            </w:r>
          </w:p>
        </w:tc>
        <w:tc>
          <w:tcPr>
            <w:tcW w:w="709" w:type="dxa"/>
            <w:noWrap/>
          </w:tcPr>
          <w:p w14:paraId="2A24BABC">
            <w:pPr>
              <w:spacing w:after="0" w:line="360" w:lineRule="auto"/>
              <w:jc w:val="both"/>
              <w:rPr>
                <w:rFonts w:asciiTheme="majorBidi" w:hAnsiTheme="majorBidi" w:cstheme="majorBidi"/>
                <w:sz w:val="24"/>
                <w:szCs w:val="24"/>
              </w:rPr>
            </w:pPr>
            <w:r>
              <w:rPr>
                <w:rFonts w:asciiTheme="majorBidi" w:hAnsiTheme="majorBidi" w:cstheme="majorBidi"/>
                <w:sz w:val="24"/>
                <w:szCs w:val="24"/>
              </w:rPr>
              <w:t>4.35</w:t>
            </w:r>
          </w:p>
        </w:tc>
        <w:tc>
          <w:tcPr>
            <w:tcW w:w="850" w:type="dxa"/>
            <w:noWrap/>
          </w:tcPr>
          <w:p w14:paraId="5E1C78BD">
            <w:pPr>
              <w:spacing w:after="0" w:line="360" w:lineRule="auto"/>
              <w:jc w:val="both"/>
              <w:rPr>
                <w:rFonts w:asciiTheme="majorBidi" w:hAnsiTheme="majorBidi" w:cstheme="majorBidi"/>
                <w:sz w:val="24"/>
                <w:szCs w:val="24"/>
              </w:rPr>
            </w:pPr>
            <w:r>
              <w:rPr>
                <w:rFonts w:asciiTheme="majorBidi" w:hAnsiTheme="majorBidi" w:cstheme="majorBidi"/>
                <w:sz w:val="24"/>
                <w:szCs w:val="24"/>
              </w:rPr>
              <w:t>0.78</w:t>
            </w:r>
          </w:p>
        </w:tc>
      </w:tr>
    </w:tbl>
    <w:p w14:paraId="0A77872C">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26894754">
      <w:pPr>
        <w:spacing w:after="0" w:line="480" w:lineRule="auto"/>
        <w:jc w:val="both"/>
        <w:rPr>
          <w:rFonts w:asciiTheme="majorBidi" w:hAnsiTheme="majorBidi" w:cstheme="majorBidi"/>
          <w:sz w:val="24"/>
          <w:szCs w:val="24"/>
        </w:rPr>
      </w:pPr>
      <w:r>
        <w:rPr>
          <w:rFonts w:asciiTheme="majorBidi" w:hAnsiTheme="majorBidi" w:cstheme="majorBidi"/>
          <w:sz w:val="24"/>
          <w:szCs w:val="24"/>
        </w:rPr>
        <w:t>The presented table offers insights into perceptions regarding the academic integrity and examination malpractices of Kenya Certificate of Secondary Education (KCSE) examinations within secondary schools in Garissa Township Sub County, Kenya. These statements address various aspects of examination integrity, including students' behaviors, school policies, administrative practices, and attitudes towards cheating.</w:t>
      </w:r>
    </w:p>
    <w:p w14:paraId="12E9EB68">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Finally, questionnaire items 29 - 36 was used to offer insights into perceptions regarding the exam malpractices in KCSE examinations within secondary schools in Garissa Township Sub County, Kenya. These statements address various aspects of examination integrity, including students' behaviors, school policies, administrative practices, and attitudes towards cheating. </w:t>
      </w:r>
    </w:p>
    <w:p w14:paraId="43BD9FE0">
      <w:pPr>
        <w:spacing w:line="480" w:lineRule="auto"/>
        <w:jc w:val="both"/>
        <w:rPr>
          <w:rFonts w:asciiTheme="majorBidi" w:hAnsiTheme="majorBidi" w:cstheme="majorBidi"/>
          <w:sz w:val="24"/>
          <w:szCs w:val="24"/>
        </w:rPr>
      </w:pPr>
      <w:r>
        <w:rPr>
          <w:rFonts w:asciiTheme="majorBidi" w:hAnsiTheme="majorBidi" w:cstheme="majorBidi"/>
          <w:sz w:val="24"/>
          <w:szCs w:val="24"/>
        </w:rPr>
        <w:t>Firstly, the data suggests that a significant proportion of respondents believe that students use unfair methods to learn what was on a test before it was given, with 44.50% agreeing and 35.90% strongly agreeing. This indicates a widespread perception of pre-exam preparation methods that may compromise examination integrity. The respondents perceive that students are allowed to bring irrelevant materials into the examination room, with 50.00% agreeing and 28.10% strongly agreeing. This suggests a perceived lack of strictness regarding examination regulations. Additionally, there is a perception that the school has put in place strong policies on examination malpractice, with 50.80% agreeing and 10.90% strongly agreeing. However, there is also a perception that the school administration does not consistently follow these policies, with 46.10% agreeing and 10.20% strongly agreeing. Furthermore, respondents believe that students receive substantial help on individual assignments without the teacher's permission, with 51.60% agreeing and 26.60% strongly agreeing. While there is a perception that the level of examination cheating is not very high, with 44.50% agreeing and 17.20% strongly agreeing, respondents also perceive that the punishment for engaging in examination malpractices is very tough, with 45.30% agreeing and 17.20% strongly agreeing. Lastly, there is a strong belief that students would completely disapprove if they found others engaging in examination malpractices, with 35.90% agreeing and 50.80% strongly agreeing. These findings highlight various perceptions regarding the integrity of KCSE examinations, including concerns about students' behaviors, the effectiveness of school policies, administrative practices, and students' attitudes towards cheating.</w:t>
      </w:r>
    </w:p>
    <w:p w14:paraId="1372D306">
      <w:pPr>
        <w:pStyle w:val="17"/>
        <w:spacing w:before="0" w:beforeAutospacing="0" w:afterAutospacing="0" w:line="480" w:lineRule="auto"/>
        <w:jc w:val="both"/>
        <w:rPr>
          <w:rFonts w:asciiTheme="majorBidi" w:hAnsiTheme="majorBidi" w:cstheme="majorBidi"/>
        </w:rPr>
      </w:pPr>
      <w:r>
        <w:rPr>
          <w:rFonts w:asciiTheme="majorBidi" w:hAnsiTheme="majorBidi" w:cstheme="majorBidi"/>
          <w:color w:val="000000"/>
        </w:rPr>
        <w:t xml:space="preserve">The study further showed that there was notable association between the student’s attitude and </w:t>
      </w:r>
      <w:r>
        <w:rPr>
          <w:rFonts w:asciiTheme="majorBidi" w:hAnsiTheme="majorBidi" w:cstheme="majorBidi"/>
        </w:rPr>
        <w:t>level of KCSE examination integrity</w:t>
      </w:r>
      <w:r>
        <w:rPr>
          <w:rFonts w:asciiTheme="majorBidi" w:hAnsiTheme="majorBidi" w:cstheme="majorBidi"/>
          <w:color w:val="000000"/>
        </w:rPr>
        <w:t xml:space="preserve">. </w:t>
      </w:r>
      <w:r>
        <w:rPr>
          <w:rFonts w:asciiTheme="majorBidi" w:hAnsiTheme="majorBidi" w:cstheme="majorBidi"/>
        </w:rPr>
        <w:t>If students completely disapprove of others engaging in examination malpractices, it's a sign of a strong culture of academic integrity. In such environments, there's a collective understanding that cheating undermines not only individual efforts but also the credibility of the educational institution. This shared disapproval can act as a powerful deterrent to cheating and promote fairness. Therefore, t</w:t>
      </w:r>
      <w:r>
        <w:rPr>
          <w:rFonts w:asciiTheme="majorBidi" w:hAnsiTheme="majorBidi" w:cstheme="majorBidi"/>
          <w:color w:val="000000"/>
        </w:rPr>
        <w:t xml:space="preserve">he null hypothesis that there is no statistically significant relationship of the independent variables with </w:t>
      </w:r>
      <w:r>
        <w:rPr>
          <w:rFonts w:asciiTheme="majorBidi" w:hAnsiTheme="majorBidi" w:cstheme="majorBidi"/>
        </w:rPr>
        <w:t xml:space="preserve">academic integrity and examination malpractices in secondary schools in Garissa Township Sub County </w:t>
      </w:r>
      <w:r>
        <w:rPr>
          <w:rFonts w:asciiTheme="majorBidi" w:hAnsiTheme="majorBidi" w:cstheme="majorBidi"/>
          <w:color w:val="000000"/>
        </w:rPr>
        <w:t>is not supported in the current study.</w:t>
      </w:r>
      <w:r>
        <w:rPr>
          <w:rFonts w:asciiTheme="majorBidi" w:hAnsiTheme="majorBidi" w:cstheme="majorBidi"/>
        </w:rPr>
        <w:br w:type="page"/>
      </w:r>
    </w:p>
    <w:p w14:paraId="37164E5E">
      <w:pPr>
        <w:pStyle w:val="2"/>
        <w:jc w:val="center"/>
        <w:rPr>
          <w:rFonts w:asciiTheme="majorBidi" w:hAnsiTheme="majorBidi"/>
          <w:color w:val="auto"/>
          <w:sz w:val="24"/>
          <w:szCs w:val="24"/>
        </w:rPr>
      </w:pPr>
      <w:bookmarkStart w:id="284" w:name="_Toc194822692"/>
      <w:r>
        <w:rPr>
          <w:rFonts w:asciiTheme="majorBidi" w:hAnsiTheme="majorBidi"/>
          <w:color w:val="auto"/>
          <w:sz w:val="24"/>
          <w:szCs w:val="24"/>
        </w:rPr>
        <w:t>CHAPTER FIVE</w:t>
      </w:r>
      <w:bookmarkEnd w:id="284"/>
    </w:p>
    <w:p w14:paraId="6DC94709">
      <w:pPr>
        <w:pStyle w:val="2"/>
        <w:rPr>
          <w:rFonts w:asciiTheme="majorBidi" w:hAnsiTheme="majorBidi"/>
          <w:color w:val="auto"/>
          <w:sz w:val="24"/>
          <w:szCs w:val="24"/>
        </w:rPr>
      </w:pPr>
      <w:bookmarkStart w:id="285" w:name="_Toc194822693"/>
      <w:r>
        <w:rPr>
          <w:rFonts w:asciiTheme="majorBidi" w:hAnsiTheme="majorBidi"/>
          <w:color w:val="auto"/>
          <w:sz w:val="24"/>
          <w:szCs w:val="24"/>
        </w:rPr>
        <w:t>SUMMARY, CONCLUSIONS, AND RECOMMENDATIONS</w:t>
      </w:r>
      <w:bookmarkEnd w:id="285"/>
    </w:p>
    <w:bookmarkEnd w:id="85"/>
    <w:p w14:paraId="5DB70AC5">
      <w:pPr>
        <w:pStyle w:val="2"/>
        <w:numPr>
          <w:ilvl w:val="1"/>
          <w:numId w:val="21"/>
        </w:numPr>
        <w:spacing w:after="240"/>
        <w:ind w:hanging="720"/>
        <w:rPr>
          <w:rFonts w:eastAsia="SimSun" w:asciiTheme="majorBidi" w:hAnsiTheme="majorBidi"/>
          <w:color w:val="auto"/>
          <w:sz w:val="24"/>
          <w:szCs w:val="24"/>
        </w:rPr>
      </w:pPr>
      <w:bookmarkStart w:id="286" w:name="_Toc194822694"/>
      <w:r>
        <w:rPr>
          <w:rFonts w:eastAsia="SimSun" w:asciiTheme="majorBidi" w:hAnsiTheme="majorBidi"/>
          <w:color w:val="auto"/>
          <w:sz w:val="24"/>
          <w:szCs w:val="24"/>
        </w:rPr>
        <w:t>Overview</w:t>
      </w:r>
      <w:bookmarkEnd w:id="286"/>
      <w:r>
        <w:rPr>
          <w:rFonts w:eastAsia="SimSun" w:asciiTheme="majorBidi" w:hAnsiTheme="majorBidi"/>
          <w:color w:val="auto"/>
          <w:sz w:val="24"/>
          <w:szCs w:val="24"/>
        </w:rPr>
        <w:t xml:space="preserve"> </w:t>
      </w:r>
    </w:p>
    <w:p w14:paraId="1F4347BA">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This chapter summarizes the findings from the study, gives an elaborate conclusion and prescribes the possible recommendations. The purpose of this research was to investigate and analyze the determinants of academic integrity and examination malpractices in secondary schools within Garissa Township Sub County. </w:t>
      </w:r>
    </w:p>
    <w:p w14:paraId="737CA461">
      <w:pPr>
        <w:pStyle w:val="2"/>
        <w:numPr>
          <w:ilvl w:val="1"/>
          <w:numId w:val="21"/>
        </w:numPr>
        <w:spacing w:after="240" w:line="480" w:lineRule="auto"/>
        <w:ind w:hanging="720"/>
        <w:jc w:val="both"/>
        <w:rPr>
          <w:rFonts w:asciiTheme="majorBidi" w:hAnsiTheme="majorBidi"/>
          <w:color w:val="auto"/>
          <w:sz w:val="24"/>
          <w:szCs w:val="24"/>
        </w:rPr>
      </w:pPr>
      <w:bookmarkStart w:id="287" w:name="_Toc104797388"/>
      <w:bookmarkStart w:id="288" w:name="_Toc194822695"/>
      <w:r>
        <w:rPr>
          <w:rFonts w:asciiTheme="majorBidi" w:hAnsiTheme="majorBidi"/>
          <w:color w:val="auto"/>
          <w:sz w:val="24"/>
          <w:szCs w:val="24"/>
        </w:rPr>
        <w:t>Summary</w:t>
      </w:r>
      <w:bookmarkEnd w:id="287"/>
      <w:r>
        <w:rPr>
          <w:rFonts w:asciiTheme="majorBidi" w:hAnsiTheme="majorBidi"/>
          <w:color w:val="auto"/>
          <w:sz w:val="24"/>
          <w:szCs w:val="24"/>
        </w:rPr>
        <w:t xml:space="preserve"> of the study</w:t>
      </w:r>
      <w:bookmarkEnd w:id="288"/>
    </w:p>
    <w:p w14:paraId="3D3220A2">
      <w:pPr>
        <w:spacing w:line="480" w:lineRule="auto"/>
        <w:jc w:val="both"/>
        <w:rPr>
          <w:rFonts w:asciiTheme="majorBidi" w:hAnsiTheme="majorBidi" w:cstheme="majorBidi"/>
          <w:sz w:val="24"/>
          <w:szCs w:val="24"/>
        </w:rPr>
      </w:pPr>
      <w:r>
        <w:rPr>
          <w:rFonts w:eastAsia="Times New Roman" w:asciiTheme="majorBidi" w:hAnsiTheme="majorBidi" w:cstheme="majorBidi"/>
          <w:sz w:val="24"/>
          <w:szCs w:val="24"/>
        </w:rPr>
        <w:t>The study was guided by six objectives:</w:t>
      </w:r>
      <w:r>
        <w:rPr>
          <w:rFonts w:asciiTheme="majorBidi" w:hAnsiTheme="majorBidi" w:cstheme="majorBidi"/>
          <w:sz w:val="24"/>
          <w:szCs w:val="24"/>
        </w:rPr>
        <w:t xml:space="preserve"> to establish relationship between peer pressure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in Garissa Township Sub County, to assess relationship between parents involvement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examine how perceived benefits of cheating correlates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 to assess teaching approaches in relation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determine how syllabus coverage 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establish relationship between social media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w:t>
      </w:r>
    </w:p>
    <w:p w14:paraId="3B92F259">
      <w:pPr>
        <w:spacing w:line="480" w:lineRule="auto"/>
        <w:jc w:val="both"/>
        <w:rPr>
          <w:rFonts w:asciiTheme="majorBidi" w:hAnsiTheme="majorBidi" w:cstheme="majorBidi"/>
          <w:sz w:val="24"/>
          <w:szCs w:val="24"/>
        </w:rPr>
      </w:pPr>
    </w:p>
    <w:p w14:paraId="27847E60">
      <w:pPr>
        <w:spacing w:line="480" w:lineRule="auto"/>
        <w:jc w:val="both"/>
        <w:rPr>
          <w:rFonts w:asciiTheme="majorBidi" w:hAnsiTheme="majorBidi" w:cstheme="majorBidi"/>
          <w:sz w:val="24"/>
          <w:szCs w:val="24"/>
        </w:rPr>
      </w:pPr>
    </w:p>
    <w:p w14:paraId="5593E6E7">
      <w:pPr>
        <w:spacing w:line="480" w:lineRule="auto"/>
        <w:jc w:val="both"/>
        <w:rPr>
          <w:rFonts w:asciiTheme="majorBidi" w:hAnsiTheme="majorBidi" w:cstheme="majorBidi"/>
          <w:sz w:val="24"/>
          <w:szCs w:val="24"/>
          <w:lang w:val="en-GB"/>
        </w:rPr>
      </w:pPr>
      <w:r>
        <w:rPr>
          <w:rFonts w:asciiTheme="majorBidi" w:hAnsiTheme="majorBidi" w:cstheme="majorBidi"/>
          <w:sz w:val="24"/>
          <w:szCs w:val="24"/>
          <w:lang w:val="en-GB"/>
        </w:rPr>
        <w:t>The following three theories were used:</w:t>
      </w:r>
    </w:p>
    <w:p w14:paraId="260E1F3C">
      <w:pPr>
        <w:pStyle w:val="30"/>
        <w:numPr>
          <w:ilvl w:val="0"/>
          <w:numId w:val="22"/>
        </w:numP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Social Learning Theory</w:t>
      </w:r>
      <w:r>
        <w:rPr>
          <w:rStyle w:val="54"/>
          <w:rFonts w:asciiTheme="majorBidi" w:hAnsiTheme="majorBidi" w:cstheme="majorBidi"/>
          <w:sz w:val="24"/>
          <w:szCs w:val="24"/>
        </w:rPr>
        <w:t xml:space="preserve"> </w:t>
      </w:r>
      <w:r>
        <w:rPr>
          <w:rFonts w:asciiTheme="majorBidi" w:hAnsiTheme="majorBidi" w:cstheme="majorBidi"/>
          <w:sz w:val="24"/>
          <w:szCs w:val="24"/>
        </w:rPr>
        <w:t>emphasizes the importance of observing, modeling, and imitating the behaviors, attitudes, and emotional reactions of others,</w:t>
      </w:r>
      <w:r>
        <w:rPr>
          <w:rFonts w:eastAsia="Times New Roman" w:asciiTheme="majorBidi" w:hAnsiTheme="majorBidi" w:cstheme="majorBidi"/>
          <w:sz w:val="24"/>
          <w:szCs w:val="24"/>
        </w:rPr>
        <w:t xml:space="preserve"> the role of social interactions and observational learning in shaping behavior.</w:t>
      </w:r>
    </w:p>
    <w:p w14:paraId="06D1092E">
      <w:pPr>
        <w:pStyle w:val="30"/>
        <w:numPr>
          <w:ilvl w:val="0"/>
          <w:numId w:val="22"/>
        </w:numPr>
        <w:spacing w:line="480" w:lineRule="auto"/>
        <w:jc w:val="both"/>
        <w:rPr>
          <w:rFonts w:asciiTheme="majorBidi" w:hAnsiTheme="majorBidi" w:cstheme="majorBidi"/>
          <w:sz w:val="24"/>
          <w:szCs w:val="24"/>
          <w:lang w:val="en-GB"/>
        </w:rPr>
      </w:pPr>
      <w:r>
        <w:rPr>
          <w:rFonts w:asciiTheme="majorBidi" w:hAnsiTheme="majorBidi" w:cstheme="majorBidi"/>
          <w:sz w:val="24"/>
          <w:szCs w:val="24"/>
        </w:rPr>
        <w:t>Social Norms Theory aims at understanding the environment and interpersonal influences in order to change social behavior which is a more effective approach than when we focus on an individual (Lamorte, 2016).</w:t>
      </w:r>
    </w:p>
    <w:p w14:paraId="1C59EF06">
      <w:pPr>
        <w:pStyle w:val="30"/>
        <w:numPr>
          <w:ilvl w:val="0"/>
          <w:numId w:val="22"/>
        </w:numPr>
        <w:spacing w:after="0" w:line="480" w:lineRule="auto"/>
        <w:jc w:val="both"/>
        <w:rPr>
          <w:rFonts w:asciiTheme="majorBidi" w:hAnsiTheme="majorBidi" w:cstheme="majorBidi"/>
          <w:sz w:val="24"/>
          <w:szCs w:val="24"/>
          <w:lang w:val="en-GB"/>
        </w:rPr>
      </w:pPr>
      <w:r>
        <w:rPr>
          <w:rFonts w:eastAsia="Times New Roman" w:asciiTheme="majorBidi" w:hAnsiTheme="majorBidi" w:cstheme="majorBidi"/>
          <w:sz w:val="24"/>
          <w:szCs w:val="24"/>
        </w:rPr>
        <w:t>Cultural Capital explores how students from different social backgrounds may have varying access to cultural and educational resources. This theory is relevant for understanding the influence of socioeconomic disparities on examination integrity.</w:t>
      </w:r>
    </w:p>
    <w:p w14:paraId="6CF61989">
      <w:pPr>
        <w:spacing w:after="0" w:line="480" w:lineRule="auto"/>
        <w:jc w:val="both"/>
        <w:rPr>
          <w:rFonts w:asciiTheme="majorBidi" w:hAnsiTheme="majorBidi" w:cstheme="majorBidi"/>
          <w:sz w:val="24"/>
          <w:szCs w:val="24"/>
        </w:rPr>
      </w:pPr>
      <w:r>
        <w:rPr>
          <w:rFonts w:asciiTheme="majorBidi" w:hAnsiTheme="majorBidi" w:cstheme="majorBidi"/>
          <w:sz w:val="24"/>
          <w:szCs w:val="24"/>
        </w:rPr>
        <w:t>Seventy-seven student leaders’ representatives were sampled from eleven schools in Garissa township Sub County in a well-balanced simple sampling of boys’ schools, girls’ schools and mixed schools in almost equal proportion. The study got extensive information from fifty-five teachers and eleven principals. The study used six independent variables namely:</w:t>
      </w:r>
      <w:r>
        <w:rPr>
          <w:rStyle w:val="19"/>
          <w:rFonts w:asciiTheme="majorBidi" w:hAnsiTheme="majorBidi" w:cstheme="majorBidi"/>
          <w:b w:val="0"/>
          <w:bCs w:val="0"/>
          <w:sz w:val="24"/>
          <w:szCs w:val="24"/>
        </w:rPr>
        <w:t xml:space="preserve"> Peer pressure, parents’ involvement, perceived benefits, teachers’ approaches, syllabus coverage, social media and one dependent variable, Level</w:t>
      </w:r>
      <w:r>
        <w:rPr>
          <w:rFonts w:asciiTheme="majorBidi" w:hAnsiTheme="majorBidi" w:cstheme="majorBidi"/>
          <w:sz w:val="24"/>
          <w:szCs w:val="24"/>
        </w:rPr>
        <w:t xml:space="preserve"> of Exams Malpractices in </w:t>
      </w:r>
      <w:r>
        <w:rPr>
          <w:rStyle w:val="19"/>
          <w:rFonts w:asciiTheme="majorBidi" w:hAnsiTheme="majorBidi" w:cstheme="majorBidi"/>
          <w:b w:val="0"/>
          <w:bCs w:val="0"/>
          <w:sz w:val="24"/>
          <w:szCs w:val="24"/>
        </w:rPr>
        <w:t>KCSE.</w:t>
      </w:r>
      <w:r>
        <w:rPr>
          <w:rFonts w:asciiTheme="majorBidi" w:hAnsiTheme="majorBidi" w:cstheme="majorBidi"/>
          <w:sz w:val="24"/>
          <w:szCs w:val="24"/>
        </w:rPr>
        <w:t xml:space="preserve"> These variables were created by combining questionnaire items (Appendix I) 1- 5, 6- 9, 10 - 14, 15 - 19, 20 – 23, 24 – 28 and 29 - 36 respectively. Data that was used to interpret the findings was obtained using a semi structured questionnaire whereby the respondents were requested to respond to statements on each study variable on a 5-point Likert scale where l = Strongly Disagree (SD) 2 = Disagree (D); 3 = Neither Disagree nor Agree (N) 4 = Agree (A) and 5 = Strongly Agree (SA). A summary of the finding was obtained using measures of central tendency and inferential statistics. Using p-values of the Beta coefficients values at 95% confidence level, decision on hypothesis testing was made.</w:t>
      </w:r>
    </w:p>
    <w:p w14:paraId="0675E01E">
      <w:pPr>
        <w:spacing w:after="0" w:line="480" w:lineRule="auto"/>
        <w:jc w:val="both"/>
        <w:rPr>
          <w:rFonts w:asciiTheme="majorBidi" w:hAnsiTheme="majorBidi" w:cstheme="majorBidi"/>
          <w:sz w:val="24"/>
          <w:szCs w:val="24"/>
        </w:rPr>
      </w:pPr>
      <w:r>
        <w:rPr>
          <w:rFonts w:asciiTheme="majorBidi" w:hAnsiTheme="majorBidi" w:cstheme="majorBidi"/>
          <w:sz w:val="24"/>
          <w:szCs w:val="24"/>
        </w:rPr>
        <w:t>The first objective of the study was to investigate the relationship between peer pressure and the level of academic integrity and examination malpractices in secondary schools in Garissa Township Sub County Kenya. Firstly, a significant majority of respondents agree or strongly agree that peer influence contributes to academic misconduct, including cheating in exams, with 46.10% agreeing and 39.10% strongly agreeing. Similarly, respondents largely believe in the potential of positive peer influence to deter cheating, with 62.50% agreeing and 25.00% strongly agreeing. Furthermore, a substantial proportion of participants (54.70% agreeing and 21.90% strongly agreeing) perceive positive peer influence as a viable resource for developing intervention strategies on academic integrity and examination malpractices. Additionally, there is considerable acknowledgment (49.20% agreeing and 20.30% strongly agreeing) that changes in peer influence can be monitored throughout a student's educational journey. Lastly, the majority of respondents (53.10% agreeing and 18.80% strongly agreeing) concur that students are more inclined to cheat when they perceive their peers engaging in similar behaviors without consequences. These findings collectively suggest a recognition of the significant influence peers wield in shaping academic conduct and the potential for leveraging positive peer dynamics to foster integrity within educational settings.</w:t>
      </w:r>
    </w:p>
    <w:p w14:paraId="094862F6">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second objective of the research was to investigate the influence of parent involvement in the academic integrity and examination malpractices in secondary schools in Garissa Township Sub County. The data indicates a strong degree of agreement regarding parental communication with teachers about their children's academic lives, with 43.00% agreeing and 43.80% strongly agreeing. This suggests a high level of parental engagement in monitoring their children's academic progress and potentially contributing to maintaining examination integrity. Similarly, a significant proportion of respondents agree or strongly agree that parents are involved in decision-making processes related to exam integrity, with 48.40% agreeing and 32.80% strongly agreeing. This indicates perceived parental involvement in shaping policies or actions aimed at maintaining academic integrity and examination malpractices within the educational system. </w:t>
      </w:r>
    </w:p>
    <w:p w14:paraId="390932DC">
      <w:pPr>
        <w:spacing w:line="480" w:lineRule="auto"/>
        <w:jc w:val="both"/>
        <w:rPr>
          <w:rFonts w:asciiTheme="majorBidi" w:hAnsiTheme="majorBidi" w:cstheme="majorBidi"/>
          <w:sz w:val="24"/>
          <w:szCs w:val="24"/>
        </w:rPr>
      </w:pPr>
      <w:r>
        <w:rPr>
          <w:rFonts w:asciiTheme="majorBidi" w:hAnsiTheme="majorBidi" w:cstheme="majorBidi"/>
          <w:sz w:val="24"/>
          <w:szCs w:val="24"/>
        </w:rPr>
        <w:t>Moreover, the data suggests that respondents recognize the influence of family backgrounds and financial situations on students' involvement in exam malpractice. A substantial portion agree or strongly agree that these factors impact students' engagement in exam malpractice, with 54.70% agreeing and 22.70% strongly agreeing. Additionally, there is acknowledgment that parental values play a role in shaping a culture of academic honesty. While the agreement is not as pronounced as in previous statements, a majority still agree or strongly agree that parents who instill values of honesty and integrity contribute to a culture of academic honesty, with 56.30% agreeing and 14.10% strongly agreeing. These findings underscore the perceived importance of parental involvement and the influence of family dynamics on academic integrity and examination malpractices within the educational context. They suggest that fostering collaboration between parents, educators, and students could be instrumental in promoting academic honesty and integrity among secondary school students.</w:t>
      </w:r>
    </w:p>
    <w:p w14:paraId="638621AB">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third objective of the research was to investigate the influence of the perceived benefits on academic integrity and examination malpractices of KCSE examinations in secondary schools within Garissa Township sub county Kenya. The findings suggests a strong correlation between students' perceived benefits of cheating and examination integrity. </w:t>
      </w:r>
      <w:bookmarkStart w:id="289" w:name="_Hlk193234190"/>
      <w:r>
        <w:rPr>
          <w:rFonts w:asciiTheme="majorBidi" w:hAnsiTheme="majorBidi" w:cstheme="majorBidi"/>
          <w:sz w:val="24"/>
          <w:szCs w:val="24"/>
        </w:rPr>
        <w:t>A significant majority of respondents agree or strongly agree that students' perceived benefits of cheating correlate to exam integrity, with 39.10% agreeing and 49.20% strongly agreeing. This indicates a recognition among students that their perceptions of cheating's benefits can impact examination integrity.</w:t>
      </w:r>
      <w:bookmarkEnd w:id="289"/>
      <w:r>
        <w:rPr>
          <w:rFonts w:asciiTheme="majorBidi" w:hAnsiTheme="majorBidi" w:cstheme="majorBidi"/>
          <w:sz w:val="24"/>
          <w:szCs w:val="24"/>
        </w:rPr>
        <w:t xml:space="preserve"> Furthermore, there is acknowledgment that cheating in exams is influenced by perceived benefits of obtaining good career courses. A substantial proportion of respondents agree or strongly agree with this statement, with 54.70% agreeing and 22.70% strongly agreeing. This suggests that students perceive a link between cheating behavior and future career opportunities. Additionally, respondents recognize the importance of belief in fair competition as a significant driver of examination integrity. A majority agree or strongly agree that this belief is influential, with 51.60% agreeing and 28.90% strongly agreeing. Moreover, students who value a level playing field perceive the benefits of maintaining fairness in examinations. While there is less agreement compared to previous statements, a considerable portion of respondents still agree or strongly agree, with 32.00% agreeing and 10.20% strongly agreeing.</w:t>
      </w:r>
    </w:p>
    <w:p w14:paraId="2BC68067">
      <w:pPr>
        <w:spacing w:after="0" w:line="480" w:lineRule="auto"/>
        <w:jc w:val="both"/>
        <w:rPr>
          <w:rFonts w:asciiTheme="majorBidi" w:hAnsiTheme="majorBidi" w:cstheme="majorBidi"/>
          <w:sz w:val="24"/>
          <w:szCs w:val="24"/>
        </w:rPr>
      </w:pPr>
      <w:r>
        <w:rPr>
          <w:rFonts w:asciiTheme="majorBidi" w:hAnsiTheme="majorBidi" w:cstheme="majorBidi"/>
          <w:sz w:val="24"/>
          <w:szCs w:val="24"/>
        </w:rPr>
        <w:t>Lastly, the data suggests that the perception of academic success directly translating to future career opportunities motivates candidates to consider academic dishonesty. While the agreement is not as pronounced as in other statements, a significant portion of respondents agree or strongly agree, with 45.30% agreeing and 13.30% strongly agreeing. These findings underscore the complex interplay of factors influencing academic integrity and examination malpractices from the perspective of students, including perceptions of cheating benefits, career prospects, fair competition, and the relationship between academic success and future opportunities.</w:t>
      </w:r>
    </w:p>
    <w:p w14:paraId="34A00B46">
      <w:pPr>
        <w:spacing w:line="480" w:lineRule="auto"/>
        <w:jc w:val="both"/>
        <w:rPr>
          <w:rFonts w:asciiTheme="majorBidi" w:hAnsiTheme="majorBidi" w:cstheme="majorBidi"/>
          <w:sz w:val="24"/>
          <w:szCs w:val="24"/>
        </w:rPr>
      </w:pPr>
      <w:r>
        <w:rPr>
          <w:rFonts w:asciiTheme="majorBidi" w:hAnsiTheme="majorBidi" w:cstheme="majorBidi"/>
          <w:sz w:val="24"/>
          <w:szCs w:val="24"/>
        </w:rPr>
        <w:t>The fourth objective of the research was to investigate the influence of the teaching approach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The data indicates a strong perception that examiners' talks invited by the school influence exam cheating. A significant majority of respondents agree or strongly agree with this statement, with 48.40% agreeing and 46.90% strongly agreeing. This suggests a recognition among stakeholders that external influences, such as talks organized by the school, can impact the prevalence of exam cheating. Furthermore, teaching students about the importance of ethical behavior and integrating values such as integrity and honesty into lessons is seen as crucial for promoting a culture of academic honesty. A considerable portion of respondents agree or strongly agree with this statement, with 56.30% agreeing and 19.50% strongly agreeing.</w:t>
      </w:r>
    </w:p>
    <w:p w14:paraId="148ED16B">
      <w:pPr>
        <w:spacing w:after="0" w:line="480" w:lineRule="auto"/>
        <w:jc w:val="both"/>
        <w:rPr>
          <w:rFonts w:asciiTheme="majorBidi" w:hAnsiTheme="majorBidi" w:cstheme="majorBidi"/>
          <w:sz w:val="24"/>
          <w:szCs w:val="24"/>
        </w:rPr>
      </w:pPr>
      <w:r>
        <w:rPr>
          <w:rFonts w:asciiTheme="majorBidi" w:hAnsiTheme="majorBidi" w:cstheme="majorBidi"/>
          <w:sz w:val="24"/>
          <w:szCs w:val="24"/>
        </w:rPr>
        <w:t>Positive teacher-student relationships, characterized by trust and support, are perceived to reduce the likelihood of cheating. While there is less agreement compared to previous statements, a significant portion of respondents still agree or strongly agree, with 45.30% agreeing and 11.70% strongly agreeing. Additionally, teaching approaches that provide constructive feedback and opportunities for students to redo assignments and assessments are viewed as contributors to examination integrity. A majority agree or strongly agree with this statement, with 53.90% agreeing and 20.30% strongly agreeing. Lastly, the data suggests that teachers' decisions regarding syllabus coverage are influenced by various external factors, including time constraints, poor student attendance, and curriculum requirements. A significant majority agree or strongly agree with this statement, with 50.80% agreeing and 28.10% strongly agreeing. These findings highlight the multifaceted nature of factors influencing examination integrity, ranging from external influences on examiners to the importance of ethical education, teacher-student relationships, teaching approaches, and external pressures on teachers.</w:t>
      </w:r>
    </w:p>
    <w:p w14:paraId="33603E19">
      <w:pPr>
        <w:spacing w:after="0" w:line="480" w:lineRule="auto"/>
        <w:jc w:val="both"/>
        <w:rPr>
          <w:rFonts w:asciiTheme="majorBidi" w:hAnsiTheme="majorBidi" w:cstheme="majorBidi"/>
          <w:sz w:val="24"/>
          <w:szCs w:val="24"/>
        </w:rPr>
      </w:pPr>
      <w:r>
        <w:rPr>
          <w:rFonts w:asciiTheme="majorBidi" w:hAnsiTheme="majorBidi" w:cstheme="majorBidi"/>
          <w:sz w:val="24"/>
          <w:szCs w:val="24"/>
        </w:rPr>
        <w:t>The fifth objective of the research was to investigate the influence of the syllabus coverage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The results suggest a widespread acknowledgment that curriculum overload, characterized by attempts to cover an excessive amount of content within a limited timeframe, can lead to stress and anxiety among students. A substantial majority of respondents agree or strongly agree with this statement, with 44.50% agreeing and 37.50% strongly agreeing. This indicates a shared perception among stakeholders regarding the negative effects of curriculum overload on student well-being. Furthermore, there is recognition that the pressure to complete the syllabus can create an environment conducive to unethical practices during examinations. A significant proportion of respondents agree or strongly agree with this statement, with 56.30% agreeing and 19.50% strongly agreeing. This suggests an understanding among stakeholders of the potential correlation between syllabus completion pressure and unethical behavior among students.</w:t>
      </w:r>
    </w:p>
    <w:p w14:paraId="0E3B042D">
      <w:pPr>
        <w:spacing w:after="0" w:line="480" w:lineRule="auto"/>
        <w:jc w:val="both"/>
        <w:rPr>
          <w:rFonts w:asciiTheme="majorBidi" w:hAnsiTheme="majorBidi" w:cstheme="majorBidi"/>
          <w:sz w:val="24"/>
          <w:szCs w:val="24"/>
        </w:rPr>
      </w:pPr>
      <w:r>
        <w:rPr>
          <w:rFonts w:asciiTheme="majorBidi" w:hAnsiTheme="majorBidi" w:cstheme="majorBidi"/>
          <w:sz w:val="24"/>
          <w:szCs w:val="24"/>
        </w:rPr>
        <w:t>Time constraints are perceived to result in rushed teaching and learning processes. While there is less agreement compared to previous statements, a significant portion of respondents still agree or strongly agree, with 54.70% agreeing and 21.10% strongly agreeing. Additionally, respondents believe that students possess a strong foundational knowledge of subjects while being exposed to a wide range of topics. A substantial majority agree or strongly agree with this statement, with 64.10% agreeing and 21.10% strongly agreeing. These findings highlight the complex interplay between syllabus coverage, time constraints, student well-being, and academic performance. They underscore the importance of balanced curriculum planning and effective teaching methodologies to mitigate stress, promote ethical behavior, and ensure students' holistic development within the educational system.</w:t>
      </w:r>
    </w:p>
    <w:p w14:paraId="4AF9652F">
      <w:pPr>
        <w:spacing w:after="0" w:line="480" w:lineRule="auto"/>
        <w:jc w:val="both"/>
        <w:rPr>
          <w:rFonts w:asciiTheme="majorBidi" w:hAnsiTheme="majorBidi" w:cstheme="majorBidi"/>
          <w:sz w:val="24"/>
          <w:szCs w:val="24"/>
        </w:rPr>
      </w:pPr>
      <w:r>
        <w:rPr>
          <w:rFonts w:asciiTheme="majorBidi" w:hAnsiTheme="majorBidi" w:cstheme="majorBidi"/>
          <w:sz w:val="24"/>
          <w:szCs w:val="24"/>
        </w:rPr>
        <w:t>The final objective of the research was to investigate the influence of social media in the academic integrity and examination malpractices in secondary schools within Garissa Township Sub County, Kenya. The findings suggest that a considerable proportion of respondents believe that students possess phones during exams, with 48.40% agreeing and 9.40% strongly agreeing. This indicates a widespread perception of the prevalence of mobile phones among students during examination periods. Moreover, there is recognition that the prevalence of a cheating culture influences students' decisions to use social media during exams. A significant portion of respondents agree or strongly agree with this statement, with 41.40% agreeing and 5.50% strongly agreeing. This suggests an understanding of the influence of social norms on students' behaviors regarding the use of social media during examinations.</w:t>
      </w:r>
    </w:p>
    <w:p w14:paraId="5CABA100">
      <w:pPr>
        <w:spacing w:after="0" w:line="480" w:lineRule="auto"/>
        <w:jc w:val="both"/>
        <w:rPr>
          <w:rFonts w:asciiTheme="majorBidi" w:hAnsiTheme="majorBidi" w:cstheme="majorBidi"/>
          <w:sz w:val="24"/>
          <w:szCs w:val="24"/>
        </w:rPr>
      </w:pPr>
      <w:r>
        <w:rPr>
          <w:rFonts w:asciiTheme="majorBidi" w:hAnsiTheme="majorBidi" w:cstheme="majorBidi"/>
          <w:sz w:val="24"/>
          <w:szCs w:val="24"/>
        </w:rPr>
        <w:t>Additionally, respondents perceive that, students access answers before and during exams through social media platforms. A substantial majority agree or strongly agree with this statement, with 43.00% agreeing and 9.40% strongly agreeing. Furthermore, the data suggests that the proliferation of technology has introduced new avenues for academic dishonesty, with a significant portion of respondents agreeing or strongly agreeing, totaling 51.60% agreeing and 6.30% strongly agreeing. The respondents recognize that students may engage in dishonest behavior during examinations, including cheating or sharing exam-related content online, in an attempt to gain social approval or conform to peer norms. While agreement varies, a considerable proportion of respondents still agree or strongly agree, with 41.40% agreeing and 9.40% strongly agreeing. The results emphasize the perceived influence of social media and technology availability on examination integrity, highlighting the need for measures to address these challenges and maintain the credibility of examinations within the educational system.</w:t>
      </w:r>
    </w:p>
    <w:p w14:paraId="173A84DB">
      <w:pPr>
        <w:spacing w:after="0" w:line="480" w:lineRule="auto"/>
        <w:jc w:val="both"/>
        <w:rPr>
          <w:rFonts w:asciiTheme="majorBidi" w:hAnsiTheme="majorBidi" w:cstheme="majorBidi"/>
          <w:sz w:val="24"/>
          <w:szCs w:val="24"/>
        </w:rPr>
      </w:pPr>
      <w:r>
        <w:rPr>
          <w:rFonts w:asciiTheme="majorBidi" w:hAnsiTheme="majorBidi" w:cstheme="majorBidi"/>
          <w:sz w:val="24"/>
          <w:szCs w:val="24"/>
        </w:rPr>
        <w:t>The dependent variable in this study was the level of examination malpractices, Firstly, the data suggests that a significant proportion of respondents believe that students use unfair methods to learn what was on a test before it was given, with 44.50% agreeing and 35.90% strongly agreeing. This indicates a widespread perception of pre-exam preparation methods that may compromise examination integrity. The respondents perceive that students are allowed to bring irrelevant materials into the examination room, with 50.00% agreeing and 28.10% strongly agreeing. Additionally, there is a perception that the school has put in place strong policies on examination malpractice, with 50.80% agreeing and 10.90% strongly agreeing. However, there is also a perception that the school administration does not consistently follow these policies, with 46.10% agreeing and 10.20% strongly agreeing. Furthermore, respondents believe that students receive substantial help on individual assignments without the teacher's permission, with 51.60% agreeing and 26.60% strongly agreeing. While there is a perception that the level of examination cheating is not very high, with 44.50% agreeing and 17.20% strongly agreeing, respondents also perceive that the punishment for engaging in examination malpractices is very tough, with 45.30% agreeing and 17.20% strongly agree. Lastly, there is a strong belief that students would completely disapprove if they found others engaging in examination malpractices, with 35.90% agreeing and 50.80% strongly agreeing. These findings highlight various perceptions regarding the integrity of KCSE examinations, including concerns about students' behaviors, the effectiveness of school policies, administrative practices, and students' attitudes towards cheating.</w:t>
      </w:r>
    </w:p>
    <w:p w14:paraId="157B43CB">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Research findings indicated that all the independent variables were significantly related to the dependent variable. Peer pressure was moderately correlated with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(r=0.446, p&lt;.05</w:t>
      </w:r>
      <w:r>
        <w:rPr>
          <w:rFonts w:asciiTheme="majorBidi" w:hAnsiTheme="majorBidi" w:cstheme="majorBidi"/>
          <w:sz w:val="24"/>
          <w:szCs w:val="24"/>
        </w:rPr>
        <w:t xml:space="preserve">); parent involvement and perceived benefits were also moderately correlated with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 xml:space="preserve">(r=0.301, p&lt;.05 </w:t>
      </w:r>
      <w:r>
        <w:rPr>
          <w:rFonts w:asciiTheme="majorBidi" w:hAnsiTheme="majorBidi" w:cstheme="majorBidi"/>
          <w:sz w:val="24"/>
          <w:szCs w:val="24"/>
        </w:rPr>
        <w:t>and</w:t>
      </w:r>
      <w:r>
        <w:rPr>
          <w:rFonts w:asciiTheme="majorBidi" w:hAnsiTheme="majorBidi" w:cstheme="majorBidi"/>
          <w:i/>
          <w:iCs/>
          <w:sz w:val="24"/>
          <w:szCs w:val="24"/>
        </w:rPr>
        <w:t xml:space="preserve"> r=0.329, p&lt;0.05</w:t>
      </w:r>
      <w:r>
        <w:rPr>
          <w:rFonts w:asciiTheme="majorBidi" w:hAnsiTheme="majorBidi" w:cstheme="majorBidi"/>
          <w:sz w:val="24"/>
          <w:szCs w:val="24"/>
        </w:rPr>
        <w:t xml:space="preserve"> respectively</w:t>
      </w:r>
      <w:r>
        <w:rPr>
          <w:rFonts w:asciiTheme="majorBidi" w:hAnsiTheme="majorBidi" w:cstheme="majorBidi"/>
          <w:i/>
          <w:iCs/>
          <w:sz w:val="24"/>
          <w:szCs w:val="24"/>
        </w:rPr>
        <w:t>)</w:t>
      </w:r>
      <w:r>
        <w:rPr>
          <w:rFonts w:asciiTheme="majorBidi" w:hAnsiTheme="majorBidi" w:cstheme="majorBidi"/>
          <w:sz w:val="24"/>
          <w:szCs w:val="24"/>
        </w:rPr>
        <w:t xml:space="preserve">. Similarly, teaching approach and syllabus coverage were moderately correlated with level of </w:t>
      </w:r>
      <w:r>
        <w:rPr>
          <w:rFonts w:eastAsia="Times New Roman" w:asciiTheme="majorBidi" w:hAnsiTheme="majorBidi" w:cstheme="majorBidi"/>
          <w:sz w:val="24"/>
          <w:szCs w:val="24"/>
        </w:rPr>
        <w:t xml:space="preserve">academic integrity and examination malpractices </w:t>
      </w:r>
      <w:r>
        <w:rPr>
          <w:rFonts w:asciiTheme="majorBidi" w:hAnsiTheme="majorBidi" w:cstheme="majorBidi"/>
          <w:sz w:val="24"/>
          <w:szCs w:val="24"/>
        </w:rPr>
        <w:t>(</w:t>
      </w:r>
      <w:r>
        <w:rPr>
          <w:rFonts w:asciiTheme="majorBidi" w:hAnsiTheme="majorBidi" w:cstheme="majorBidi"/>
          <w:i/>
          <w:iCs/>
          <w:sz w:val="24"/>
          <w:szCs w:val="24"/>
        </w:rPr>
        <w:t xml:space="preserve">r=0.462, p&lt;0.05 </w:t>
      </w:r>
      <w:r>
        <w:rPr>
          <w:rFonts w:asciiTheme="majorBidi" w:hAnsiTheme="majorBidi" w:cstheme="majorBidi"/>
          <w:sz w:val="24"/>
          <w:szCs w:val="24"/>
        </w:rPr>
        <w:t>and</w:t>
      </w:r>
      <w:r>
        <w:rPr>
          <w:rFonts w:asciiTheme="majorBidi" w:hAnsiTheme="majorBidi" w:cstheme="majorBidi"/>
          <w:i/>
          <w:iCs/>
          <w:sz w:val="24"/>
          <w:szCs w:val="24"/>
        </w:rPr>
        <w:t xml:space="preserve"> r=0.334, p&lt;0.05</w:t>
      </w:r>
      <w:r>
        <w:rPr>
          <w:rFonts w:asciiTheme="majorBidi" w:hAnsiTheme="majorBidi" w:cstheme="majorBidi"/>
          <w:sz w:val="24"/>
          <w:szCs w:val="24"/>
        </w:rPr>
        <w:t xml:space="preserve"> respectively). Lastly social media was positively correlated to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r=0.479, p&lt;0.05</w:t>
      </w:r>
      <w:r>
        <w:rPr>
          <w:rFonts w:asciiTheme="majorBidi" w:hAnsiTheme="majorBidi" w:cstheme="majorBidi"/>
          <w:sz w:val="24"/>
          <w:szCs w:val="24"/>
        </w:rPr>
        <w:t>).</w:t>
      </w:r>
    </w:p>
    <w:p w14:paraId="23ED8A21">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study from the interviews of school principals found that cheating has shifted from exam leakage by KNEC to institutional collusion where some principals, through supervisors and invigilators, help students to do the exam. Some principals bribe supervisors, invigilators and security personnel with substantial amounts of money, ensuring they turn a blind eye to the cheating happening in exam rooms. After the official opening of exam papers, some are secretly taken out of the examination rooms to undisclosed locations. where, subject teachers, waiting in anticipation, quickly work out the answers. Copies of these answers are made and hurriedly smuggled back into exam rooms by compromised invigilators and supervisors, often hidden inside their clothing. some principals alluded that during this process, students pass the time in the exam rooms by repeatedly flipping through their papers. They only begin writing towards the end of the exam period when the answers arrive. Some candidates write their own answers using pencils or erasable pen so that when the real answers come, they can easily erase and write the correct ones. All this time, several hawk-eyed people are placed in strategic positions from the sub county offices up to school gate so that whenever a suspected exam monitors vehicle is seen heading towards the direction of the school, the principal (Centre manager) is informed and normalcy is brought and as soon as the vehicle leaves the school, cheating continues. Some principals expressed that collusion in exams requires alot of organization, preparation and money. It doesn't involve principals and supervisors only, it involves school directors, principals, deputy principals, teachers, cooks, watchmen, parents, invigilators, supervisors, security officers, students and sometimes even education officials who have interests in that school. </w:t>
      </w:r>
    </w:p>
    <w:p w14:paraId="20EECFFD">
      <w:pPr>
        <w:spacing w:line="480" w:lineRule="auto"/>
        <w:jc w:val="both"/>
        <w:rPr>
          <w:rFonts w:asciiTheme="majorBidi" w:hAnsiTheme="majorBidi" w:cstheme="majorBidi"/>
          <w:sz w:val="24"/>
          <w:szCs w:val="24"/>
        </w:rPr>
      </w:pPr>
      <w:r>
        <w:rPr>
          <w:rFonts w:asciiTheme="majorBidi" w:hAnsiTheme="majorBidi" w:cstheme="majorBidi"/>
          <w:sz w:val="24"/>
          <w:szCs w:val="24"/>
        </w:rPr>
        <w:t>According to response from some of the principals suggest that, cheating is like a cartel with deep roots and broad branches. In schools where cheating is rampant, students become emboldened. They show little fear to the consequences and may even confront supervisors and invigilators who attempt to intervene, making it difficult for honest officials to maintain order. Some TSC officers responsible for deploying exam officials are also implicated, often influenced by the wealth and power of these corrupt principals. This is evident when uncooperative supervisors and invigilators are swiftly replaced by those more willing to accept bribes.</w:t>
      </w:r>
    </w:p>
    <w:p w14:paraId="614461B4">
      <w:pPr>
        <w:pStyle w:val="2"/>
        <w:numPr>
          <w:ilvl w:val="1"/>
          <w:numId w:val="21"/>
        </w:numPr>
        <w:spacing w:after="240"/>
        <w:ind w:hanging="720"/>
        <w:rPr>
          <w:rFonts w:asciiTheme="majorBidi" w:hAnsiTheme="majorBidi"/>
          <w:color w:val="auto"/>
          <w:sz w:val="24"/>
          <w:szCs w:val="24"/>
        </w:rPr>
      </w:pPr>
      <w:bookmarkStart w:id="290" w:name="_Toc194822696"/>
      <w:r>
        <w:rPr>
          <w:rFonts w:asciiTheme="majorBidi" w:hAnsiTheme="majorBidi"/>
          <w:color w:val="auto"/>
          <w:sz w:val="24"/>
          <w:szCs w:val="24"/>
        </w:rPr>
        <w:t>Conclusions</w:t>
      </w:r>
      <w:bookmarkEnd w:id="290"/>
    </w:p>
    <w:p w14:paraId="6D50FE33">
      <w:pPr>
        <w:spacing w:after="160" w:line="480" w:lineRule="auto"/>
        <w:jc w:val="both"/>
        <w:rPr>
          <w:rFonts w:asciiTheme="majorBidi" w:hAnsiTheme="majorBidi" w:cstheme="majorBidi"/>
          <w:sz w:val="24"/>
          <w:szCs w:val="24"/>
        </w:rPr>
      </w:pPr>
      <w:r>
        <w:rPr>
          <w:rFonts w:asciiTheme="majorBidi" w:hAnsiTheme="majorBidi" w:cstheme="majorBidi"/>
          <w:color w:val="000000"/>
          <w:sz w:val="24"/>
          <w:szCs w:val="24"/>
        </w:rPr>
        <w:t xml:space="preserve">Based on the objectives of the study, </w:t>
      </w:r>
      <w:r>
        <w:rPr>
          <w:rFonts w:asciiTheme="majorBidi" w:hAnsiTheme="majorBidi" w:cstheme="majorBidi"/>
          <w:sz w:val="24"/>
          <w:szCs w:val="24"/>
        </w:rPr>
        <w:t xml:space="preserve">addressing peer influence in academic misconduct requires a multifaceted approach that involves students, teachers, and institutions working together to promote a culture of integrity and respect. By emphasizing positive peer influence and creating a supportive community, academic institutions can build an environment where cheating is discouraged and academic honesty is valued. By understanding how peer influence evolves over time, schools can create supportive environments that foster healthy social interactions and academic growth. By involving parents in decision-making on exam integrity, schools can build a strong partnership with families, fostering a collective commitment to academic honesty. This collaborative approach helps create an environment where cheating is discouraged, and the importance of integrity is emphasized. Parents can contribute to a broader culture of academic honesty. This culture can reduce the incidence of cheating and promote a positive educational experience for all students. </w:t>
      </w:r>
    </w:p>
    <w:p w14:paraId="1F9D2D9E">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By promoting a culture of integrity, schools can help students make ethical choices and pursue career goals without compromising academic honesty. cultivating a belief in fair competition and implementing measures that reinforce this mindset, educational institutions can strengthen academic integrity and examination malpractices and create an environment where academic honesty is valued above all else. Addressing the perception that academic success is solely tied to career opportunities and promoting a broader view of success, educational institutions can create an environment where academic integrity is valued, and the temptation to cheat is reduced. Building positive teacher-student relationships characterized by trust and support, educational institutions can significantly reduce the likelihood of cheating. These relationships create an environment where students are motivated to succeed through honest means, leading to a culture of academic integrity that benefits both teachers and students. By incorporating these teaching approaches into the classroom, teachers can create an environment that promotes examination integrity, cultivates a love of learning, and empowers students to reach their full potential with honesty and integrity.</w:t>
      </w:r>
    </w:p>
    <w:p w14:paraId="014BC8A1">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By addressing the causes of curriculum overload and implementing strategies to reduce its negative effects, schools can create a healthier and more effective learning environment. Addressing the underlying causes of syllabus pressure and creating a supportive and ethical learning environment, schools can reduce the likelihood of students engaging in unethical practices during examinations. Schools and institutions can reduce the risks associated with students possessing phones during exams and significantly reduce the risk of students getting answers through social media before and during exams by following school policy. This approach helps ensure a fair and secure exam environment, promoting academic integrity and a level playing field for all students. </w:t>
      </w:r>
    </w:p>
    <w:p w14:paraId="29B422F3">
      <w:pPr>
        <w:spacing w:after="0" w:line="480" w:lineRule="auto"/>
        <w:jc w:val="both"/>
        <w:rPr>
          <w:rFonts w:asciiTheme="majorBidi" w:hAnsiTheme="majorBidi" w:cstheme="majorBidi"/>
          <w:sz w:val="24"/>
          <w:szCs w:val="24"/>
        </w:rPr>
      </w:pPr>
      <w:r>
        <w:rPr>
          <w:rFonts w:asciiTheme="majorBidi" w:hAnsiTheme="majorBidi" w:cstheme="majorBidi"/>
          <w:sz w:val="24"/>
          <w:szCs w:val="24"/>
        </w:rPr>
        <w:t>Based on the response of the principals the study found that some of the reasons why schools cheat in KCSE are:</w:t>
      </w:r>
    </w:p>
    <w:p w14:paraId="7EAD8C0E">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Principals’ promotions are frequently based on their schools’ performance in national exams. To climb the ranks and be classified as senior or chief principals, some resort to cheating.</w:t>
      </w:r>
    </w:p>
    <w:p w14:paraId="62E2F5BC">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Schools and teachers strive for fame, wanting to be seen as top performers. Even if a class is weak, cheating is used to maintain high performance.</w:t>
      </w:r>
    </w:p>
    <w:p w14:paraId="37FA28DB">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Bribes from exam personnel and the monetary rewards associated with good grades serve as strong incentives.</w:t>
      </w:r>
    </w:p>
    <w:p w14:paraId="12FE2131">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Titles such as Principal of the Year or Teacher of the Year are often pursued at all costs, fueling the pressure to cheat.</w:t>
      </w:r>
    </w:p>
    <w:p w14:paraId="3A4C2127">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Some teachers are products of academic malpractice themselves, making cheating a normalized practice for them.</w:t>
      </w:r>
    </w:p>
    <w:p w14:paraId="15A0B288">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Parents often finance cheating networks, pushing principals and teachers for better results. Expectations are high.</w:t>
      </w:r>
    </w:p>
    <w:p w14:paraId="1E23835F">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Results attract population, population attract funds and funds attract infrastructure. For a school to be considered 'big' it must have good results and many students. This pushes Principals to do anything humanly possible to get the results.</w:t>
      </w:r>
    </w:p>
    <w:p w14:paraId="7E8073E0">
      <w:pPr>
        <w:pStyle w:val="2"/>
        <w:numPr>
          <w:ilvl w:val="1"/>
          <w:numId w:val="21"/>
        </w:numPr>
        <w:spacing w:before="0" w:after="240"/>
        <w:ind w:left="630" w:hanging="630"/>
        <w:rPr>
          <w:rFonts w:asciiTheme="majorBidi" w:hAnsiTheme="majorBidi"/>
          <w:color w:val="auto"/>
          <w:sz w:val="24"/>
          <w:szCs w:val="24"/>
        </w:rPr>
      </w:pPr>
      <w:bookmarkStart w:id="291" w:name="_Toc194822697"/>
      <w:r>
        <w:rPr>
          <w:rFonts w:asciiTheme="majorBidi" w:hAnsiTheme="majorBidi"/>
          <w:color w:val="auto"/>
          <w:sz w:val="24"/>
          <w:szCs w:val="24"/>
        </w:rPr>
        <w:t>Recommendations</w:t>
      </w:r>
      <w:bookmarkEnd w:id="291"/>
    </w:p>
    <w:p w14:paraId="20EA5941">
      <w:pPr>
        <w:pStyle w:val="17"/>
        <w:spacing w:before="0" w:beforeAutospacing="0" w:after="0" w:afterAutospacing="0" w:line="480" w:lineRule="auto"/>
        <w:jc w:val="both"/>
        <w:rPr>
          <w:rFonts w:asciiTheme="majorBidi" w:hAnsiTheme="majorBidi" w:cstheme="majorBidi"/>
          <w:b/>
          <w:bCs/>
        </w:rPr>
      </w:pPr>
      <w:r>
        <w:rPr>
          <w:rFonts w:asciiTheme="majorBidi" w:hAnsiTheme="majorBidi" w:cstheme="majorBidi"/>
        </w:rPr>
        <w:t>Academic integrity and examination malpractices in secondary schools is crucial to ensuring fair assessments and maintaining academic standards. In Garissa Township Sub County, Kenya, specific recommendations can help promote a culture of academic honesty and reduce examination malpractices.</w:t>
      </w:r>
    </w:p>
    <w:p w14:paraId="596ED646">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Implement rigorous security measures to prevent unauthorized access to exam materials. This includes secure storage of exam papers, limited access to exam-related information, and strict monitoring during examinations.</w:t>
      </w:r>
    </w:p>
    <w:p w14:paraId="0C1F1619">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KNEC to provide training for officials and examiners prior and during examination on how to detect cheating and handle examination-related issues. </w:t>
      </w:r>
    </w:p>
    <w:p w14:paraId="438D002E">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Principals should involve students in promoting academic integrity through peer-led programs or honor codes. </w:t>
      </w:r>
    </w:p>
    <w:p w14:paraId="17D2B929">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CCTV cameras to be mandatory in schools. Live images to be monitored from a central place while the students are doing KCSE inside the exam room.</w:t>
      </w:r>
    </w:p>
    <w:p w14:paraId="134CB018">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Minimize examination centres for proper monitoring of KNEC officials by merging schools or only using public schools as examination centres.</w:t>
      </w:r>
    </w:p>
    <w:p w14:paraId="000C31DC">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Monitor social media and other online platforms to identify potential sources of cheating or exam-related information leaks.</w:t>
      </w:r>
    </w:p>
    <w:p w14:paraId="6EE16DAE">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Establish confidential reporting mechanisms for students and teachers to report suspected examination malpractices. </w:t>
      </w:r>
    </w:p>
    <w:p w14:paraId="5939A538">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Involve parents and guardians in promoting academic integrity by keeping them informed about school policies.</w:t>
      </w:r>
    </w:p>
    <w:p w14:paraId="0591ACD3">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KNEC to introduce a reward system for examiners who expose cheating at marking centres. </w:t>
      </w:r>
    </w:p>
    <w:p w14:paraId="01022A6F">
      <w:pPr>
        <w:pStyle w:val="30"/>
        <w:numPr>
          <w:ilvl w:val="1"/>
          <w:numId w:val="24"/>
        </w:numPr>
        <w:spacing w:before="100" w:beforeAutospacing="1" w:after="0" w:line="480" w:lineRule="auto"/>
        <w:ind w:left="810" w:hanging="810"/>
        <w:rPr>
          <w:rFonts w:eastAsia="Times New Roman" w:asciiTheme="majorBidi" w:hAnsiTheme="majorBidi" w:cstheme="majorBidi"/>
          <w:sz w:val="24"/>
          <w:szCs w:val="24"/>
        </w:rPr>
      </w:pPr>
      <w:r>
        <w:rPr>
          <w:rFonts w:asciiTheme="majorBidi" w:hAnsiTheme="majorBidi" w:cstheme="majorBidi"/>
          <w:sz w:val="24"/>
          <w:szCs w:val="24"/>
        </w:rPr>
        <w:t>Supervisors and security personnel should be swapped daily during the exam period to close potential loopholes.</w:t>
      </w:r>
    </w:p>
    <w:p w14:paraId="06354708">
      <w:pPr>
        <w:pStyle w:val="2"/>
        <w:numPr>
          <w:ilvl w:val="1"/>
          <w:numId w:val="21"/>
        </w:numPr>
        <w:ind w:left="990" w:hanging="630"/>
        <w:rPr>
          <w:rFonts w:asciiTheme="majorBidi" w:hAnsiTheme="majorBidi"/>
          <w:color w:val="auto"/>
          <w:sz w:val="24"/>
          <w:szCs w:val="24"/>
        </w:rPr>
      </w:pPr>
      <w:r>
        <w:rPr>
          <w:rFonts w:asciiTheme="majorBidi" w:hAnsiTheme="majorBidi"/>
          <w:vanish/>
          <w:color w:val="auto"/>
          <w:sz w:val="24"/>
          <w:szCs w:val="24"/>
        </w:rPr>
        <w:t>Top of Form</w:t>
      </w:r>
      <w:bookmarkStart w:id="292" w:name="_Toc194822698"/>
      <w:r>
        <w:rPr>
          <w:rFonts w:asciiTheme="majorBidi" w:hAnsiTheme="majorBidi"/>
          <w:color w:val="auto"/>
          <w:sz w:val="24"/>
          <w:szCs w:val="24"/>
        </w:rPr>
        <w:t>Suggestions for Further Research</w:t>
      </w:r>
      <w:bookmarkEnd w:id="292"/>
      <w:r>
        <w:rPr>
          <w:rFonts w:asciiTheme="majorBidi" w:hAnsiTheme="majorBidi"/>
          <w:color w:val="auto"/>
          <w:sz w:val="24"/>
          <w:szCs w:val="24"/>
        </w:rPr>
        <w:t xml:space="preserve"> </w:t>
      </w:r>
    </w:p>
    <w:p w14:paraId="44F2C1F1">
      <w:pPr>
        <w:spacing w:before="100" w:beforeAutospacing="1" w:after="0" w:line="480" w:lineRule="auto"/>
        <w:ind w:left="720"/>
        <w:rPr>
          <w:rFonts w:eastAsia="Times New Roman" w:asciiTheme="majorBidi" w:hAnsiTheme="majorBidi" w:cstheme="majorBidi"/>
          <w:sz w:val="24"/>
          <w:szCs w:val="24"/>
        </w:rPr>
      </w:pPr>
      <w:r>
        <w:rPr>
          <w:rFonts w:asciiTheme="majorBidi" w:hAnsiTheme="majorBidi" w:cstheme="majorBidi"/>
          <w:color w:val="000000"/>
          <w:sz w:val="24"/>
          <w:szCs w:val="24"/>
        </w:rPr>
        <w:t>The researcher suggests the following areas for further research:</w:t>
      </w:r>
    </w:p>
    <w:p w14:paraId="300711B2">
      <w:pPr>
        <w:numPr>
          <w:ilvl w:val="0"/>
          <w:numId w:val="25"/>
        </w:numPr>
        <w:spacing w:after="100" w:afterAutospacing="1"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Impact of School Culture on academic integrity and examination malpractices</w:t>
      </w:r>
    </w:p>
    <w:p w14:paraId="1A3E96A9">
      <w:pPr>
        <w:numPr>
          <w:ilvl w:val="0"/>
          <w:numId w:val="25"/>
        </w:numPr>
        <w:spacing w:before="100" w:beforeAutospacing="1" w:after="100" w:afterAutospacing="1"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Role of Technology on academic integrity and examination malpractices</w:t>
      </w:r>
    </w:p>
    <w:p w14:paraId="5F31E70E">
      <w:pPr>
        <w:numPr>
          <w:ilvl w:val="0"/>
          <w:numId w:val="25"/>
        </w:numPr>
        <w:spacing w:before="100" w:beforeAutospacing="1" w:after="100" w:afterAutospacing="1"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Role of Teachers and School Administration in Promoting Examination Integrity:</w:t>
      </w:r>
    </w:p>
    <w:p w14:paraId="0515E38C">
      <w:pPr>
        <w:tabs>
          <w:tab w:val="left" w:pos="4800"/>
        </w:tabs>
        <w:rPr>
          <w:rFonts w:eastAsia="Times New Roman" w:asciiTheme="majorBidi" w:hAnsiTheme="majorBidi" w:cstheme="majorBidi"/>
          <w:sz w:val="24"/>
          <w:szCs w:val="24"/>
        </w:rPr>
      </w:pPr>
    </w:p>
    <w:p w14:paraId="7F4166CC">
      <w:pPr>
        <w:pStyle w:val="2"/>
        <w:rPr>
          <w:rFonts w:asciiTheme="majorBidi" w:hAnsiTheme="majorBidi"/>
          <w:color w:val="auto"/>
          <w:sz w:val="24"/>
          <w:szCs w:val="24"/>
        </w:rPr>
      </w:pPr>
      <w:bookmarkStart w:id="293" w:name="_Toc194822699"/>
      <w:r>
        <w:rPr>
          <w:rFonts w:asciiTheme="majorBidi" w:hAnsiTheme="majorBidi"/>
          <w:color w:val="auto"/>
          <w:sz w:val="24"/>
          <w:szCs w:val="24"/>
        </w:rPr>
        <w:t>REFERENCES:</w:t>
      </w:r>
      <w:bookmarkEnd w:id="293"/>
    </w:p>
    <w:p w14:paraId="31FF6776">
      <w:pPr>
        <w:spacing w:before="240" w:after="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 xml:space="preserve">Anderman, E. M. and Murdock, T. B. </w:t>
      </w:r>
      <w:r>
        <w:rPr>
          <w:rFonts w:asciiTheme="majorBidi" w:hAnsiTheme="majorBidi" w:cstheme="majorBidi"/>
          <w:sz w:val="24"/>
          <w:szCs w:val="24"/>
        </w:rPr>
        <w:t>(2007) the Psychology of Academic Cheating</w:t>
      </w:r>
      <w:r>
        <w:rPr>
          <w:rFonts w:asciiTheme="majorBidi" w:hAnsiTheme="majorBidi" w:cstheme="majorBidi"/>
          <w:b/>
          <w:bCs/>
          <w:sz w:val="24"/>
          <w:szCs w:val="24"/>
        </w:rPr>
        <w:t xml:space="preserve">. </w:t>
      </w:r>
      <w:r>
        <w:rPr>
          <w:rFonts w:asciiTheme="majorBidi" w:hAnsiTheme="majorBidi" w:cstheme="majorBidi"/>
          <w:sz w:val="24"/>
          <w:szCs w:val="24"/>
        </w:rPr>
        <w:t xml:space="preserve">Ohio. </w:t>
      </w:r>
      <w:r>
        <w:rPr>
          <w:rFonts w:asciiTheme="majorBidi" w:hAnsiTheme="majorBidi" w:cstheme="majorBidi"/>
          <w:sz w:val="24"/>
          <w:szCs w:val="24"/>
        </w:rPr>
        <w:t>The Ohio State University</w:t>
      </w:r>
      <w:r>
        <w:rPr>
          <w:rFonts w:eastAsia="Times New Roman" w:asciiTheme="majorBidi" w:hAnsiTheme="majorBidi" w:cstheme="majorBidi"/>
          <w:sz w:val="24"/>
          <w:szCs w:val="24"/>
        </w:rPr>
        <w:t>.</w:t>
      </w:r>
    </w:p>
    <w:p w14:paraId="2E30E459">
      <w:pPr>
        <w:spacing w:before="100" w:beforeAutospacing="1" w:after="0"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Anderman, E. M., &amp; Murdock, T. B. (2016). Psychology of academic cheating. </w:t>
      </w:r>
      <w:r>
        <w:rPr>
          <w:rFonts w:eastAsia="Times New Roman" w:asciiTheme="majorBidi" w:hAnsiTheme="majorBidi" w:cstheme="majorBidi"/>
          <w:i/>
          <w:iCs/>
          <w:sz w:val="24"/>
          <w:szCs w:val="24"/>
        </w:rPr>
        <w:t>Elsevier Academic Press</w:t>
      </w:r>
      <w:r>
        <w:rPr>
          <w:rFonts w:eastAsia="Times New Roman" w:asciiTheme="majorBidi" w:hAnsiTheme="majorBidi" w:cstheme="majorBidi"/>
          <w:sz w:val="24"/>
          <w:szCs w:val="24"/>
        </w:rPr>
        <w:t>.</w:t>
      </w:r>
    </w:p>
    <w:p w14:paraId="24B4F2F1">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Anderman, E. M., Cupp, P. K., &amp; Lane, D. (2010). Impulsivity and academic cheating. </w:t>
      </w:r>
      <w:r>
        <w:rPr>
          <w:rStyle w:val="53"/>
          <w:rFonts w:asciiTheme="majorBidi" w:hAnsiTheme="majorBidi" w:cstheme="majorBidi"/>
          <w:i/>
          <w:iCs/>
          <w:sz w:val="24"/>
          <w:szCs w:val="24"/>
        </w:rPr>
        <w:t>Journal of Experimental Education</w:t>
      </w:r>
      <w:r>
        <w:rPr>
          <w:rFonts w:asciiTheme="majorBidi" w:hAnsiTheme="majorBidi" w:cstheme="majorBidi"/>
          <w:sz w:val="24"/>
          <w:szCs w:val="24"/>
        </w:rPr>
        <w:t>, </w:t>
      </w:r>
      <w:r>
        <w:fldChar w:fldCharType="begin"/>
      </w:r>
      <w:r>
        <w:instrText xml:space="preserve"> HYPERLINK "https://doi.org/10.1080/00220970903224636" \t "_blank" </w:instrText>
      </w:r>
      <w:r>
        <w:fldChar w:fldCharType="separate"/>
      </w:r>
      <w:r>
        <w:rPr>
          <w:rStyle w:val="16"/>
          <w:rFonts w:asciiTheme="majorBidi" w:hAnsiTheme="majorBidi" w:cstheme="majorBidi"/>
          <w:color w:val="auto"/>
          <w:sz w:val="24"/>
          <w:szCs w:val="24"/>
        </w:rPr>
        <w:t>78</w:t>
      </w:r>
      <w:r>
        <w:rPr>
          <w:rStyle w:val="16"/>
          <w:rFonts w:asciiTheme="majorBidi" w:hAnsiTheme="majorBidi" w:cstheme="majorBidi"/>
          <w:color w:val="auto"/>
          <w:sz w:val="24"/>
          <w:szCs w:val="24"/>
        </w:rPr>
        <w:fldChar w:fldCharType="end"/>
      </w:r>
      <w:r>
        <w:rPr>
          <w:rFonts w:asciiTheme="majorBidi" w:hAnsiTheme="majorBidi" w:cstheme="majorBidi"/>
          <w:sz w:val="24"/>
          <w:szCs w:val="24"/>
        </w:rPr>
        <w:t xml:space="preserve">, 135–150. </w:t>
      </w:r>
    </w:p>
    <w:p w14:paraId="4CD8BB67">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Anderman, et al. (1998).</w:t>
      </w:r>
      <w:r>
        <w:rPr>
          <w:rFonts w:eastAsia="Times New Roman" w:asciiTheme="majorBidi" w:hAnsiTheme="majorBidi" w:cstheme="majorBidi"/>
          <w:sz w:val="24"/>
          <w:szCs w:val="24"/>
        </w:rPr>
        <w:t xml:space="preserve"> </w:t>
      </w:r>
      <w:r>
        <w:rPr>
          <w:rFonts w:eastAsia="Times New Roman" w:asciiTheme="majorBidi" w:hAnsiTheme="majorBidi" w:cstheme="majorBidi"/>
          <w:i/>
          <w:iCs/>
          <w:sz w:val="24"/>
          <w:szCs w:val="24"/>
        </w:rPr>
        <w:t>Achievement goals and academic cheating</w:t>
      </w:r>
      <w:r>
        <w:rPr>
          <w:rFonts w:eastAsia="Times New Roman" w:asciiTheme="majorBidi" w:hAnsiTheme="majorBidi" w:cstheme="majorBidi"/>
          <w:sz w:val="24"/>
          <w:szCs w:val="24"/>
        </w:rPr>
        <w:t>. Ohio. The Ohio state University</w:t>
      </w:r>
    </w:p>
    <w:p w14:paraId="319A2C92">
      <w:pPr>
        <w:spacing w:line="240" w:lineRule="auto"/>
        <w:ind w:left="709" w:hanging="709"/>
        <w:rPr>
          <w:rFonts w:asciiTheme="majorBidi" w:hAnsiTheme="majorBidi" w:cstheme="majorBidi"/>
          <w:sz w:val="24"/>
          <w:szCs w:val="24"/>
        </w:rPr>
      </w:pPr>
      <w:r>
        <w:rPr>
          <w:rFonts w:asciiTheme="majorBidi" w:hAnsiTheme="majorBidi" w:cstheme="majorBidi"/>
          <w:sz w:val="24"/>
          <w:szCs w:val="24"/>
        </w:rPr>
        <w:t>Anyin, N. N., &amp; Otu, B. D. (2021). Parental Educational Level, Family Size and Students’ Attitude towards Examination Malpractice.</w:t>
      </w:r>
    </w:p>
    <w:p w14:paraId="02ACA1D4">
      <w:pPr>
        <w:tabs>
          <w:tab w:val="left" w:pos="90"/>
          <w:tab w:val="left" w:pos="180"/>
        </w:tabs>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Aristovnik A, Kerzic D, Ravselj D, Tomazevic N, Umek L. 2020. Impacts of the COVID-19 pandemic of life of higher education students: a global perspective. Sustainability. 12(20):8438.</w:t>
      </w:r>
    </w:p>
    <w:p w14:paraId="33C8EBC0">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Asterhan, C. S., &amp; Bouton, E. (2017). Teenage peer-to-peer knowledge sharing through social network sites in secondary schools. </w:t>
      </w:r>
      <w:r>
        <w:rPr>
          <w:rFonts w:asciiTheme="majorBidi" w:hAnsiTheme="majorBidi" w:cstheme="majorBidi"/>
          <w:i/>
          <w:iCs/>
          <w:sz w:val="24"/>
          <w:szCs w:val="24"/>
          <w:shd w:val="clear" w:color="auto" w:fill="FFFFFF"/>
        </w:rPr>
        <w:t>Computers &amp; Education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110</w:t>
      </w:r>
      <w:r>
        <w:rPr>
          <w:rFonts w:asciiTheme="majorBidi" w:hAnsiTheme="majorBidi" w:cstheme="majorBidi"/>
          <w:sz w:val="24"/>
          <w:szCs w:val="24"/>
          <w:shd w:val="clear" w:color="auto" w:fill="FFFFFF"/>
        </w:rPr>
        <w:t>, 16-34.</w:t>
      </w:r>
    </w:p>
    <w:p w14:paraId="3E090543">
      <w:pPr>
        <w:spacing w:line="240" w:lineRule="auto"/>
        <w:ind w:left="709" w:hanging="709"/>
        <w:rPr>
          <w:rFonts w:asciiTheme="majorBidi" w:hAnsiTheme="majorBidi" w:cstheme="majorBidi"/>
          <w:sz w:val="24"/>
          <w:szCs w:val="24"/>
        </w:rPr>
      </w:pPr>
      <w:r>
        <w:rPr>
          <w:rFonts w:asciiTheme="majorBidi" w:hAnsiTheme="majorBidi" w:cstheme="majorBidi"/>
          <w:sz w:val="24"/>
          <w:szCs w:val="24"/>
        </w:rPr>
        <w:t>Bain, C. (2004). Today's student teachers: Prepared to teach versus suited to teach. </w:t>
      </w:r>
      <w:r>
        <w:rPr>
          <w:rFonts w:asciiTheme="majorBidi" w:hAnsiTheme="majorBidi" w:cstheme="majorBidi"/>
          <w:i/>
          <w:iCs/>
          <w:sz w:val="24"/>
          <w:szCs w:val="24"/>
        </w:rPr>
        <w:t>Art Education</w:t>
      </w:r>
      <w:r>
        <w:rPr>
          <w:rFonts w:asciiTheme="majorBidi" w:hAnsiTheme="majorBidi" w:cstheme="majorBidi"/>
          <w:sz w:val="24"/>
          <w:szCs w:val="24"/>
        </w:rPr>
        <w:t>, </w:t>
      </w:r>
      <w:r>
        <w:rPr>
          <w:rFonts w:asciiTheme="majorBidi" w:hAnsiTheme="majorBidi" w:cstheme="majorBidi"/>
          <w:i/>
          <w:iCs/>
          <w:sz w:val="24"/>
          <w:szCs w:val="24"/>
        </w:rPr>
        <w:t>57</w:t>
      </w:r>
      <w:r>
        <w:rPr>
          <w:rFonts w:asciiTheme="majorBidi" w:hAnsiTheme="majorBidi" w:cstheme="majorBidi"/>
          <w:sz w:val="24"/>
          <w:szCs w:val="24"/>
        </w:rPr>
        <w:t>(3), 42-47.</w:t>
      </w:r>
    </w:p>
    <w:p w14:paraId="7B1BA404">
      <w:pPr>
        <w:spacing w:line="240" w:lineRule="auto"/>
        <w:ind w:left="709" w:hanging="709"/>
        <w:rPr>
          <w:rFonts w:asciiTheme="majorBidi" w:hAnsiTheme="majorBidi" w:cstheme="majorBidi"/>
          <w:sz w:val="24"/>
          <w:szCs w:val="24"/>
        </w:rPr>
      </w:pPr>
      <w:r>
        <w:rPr>
          <w:rFonts w:asciiTheme="majorBidi" w:hAnsiTheme="majorBidi" w:cstheme="majorBidi"/>
          <w:sz w:val="24"/>
          <w:szCs w:val="24"/>
        </w:rPr>
        <w:t>Bakker, A. B., Sanz Vergel, A. I., &amp; Kuntze, J. (2015). Student engagement and performance: A weekly diary study on the role of openness. Motivation and Emotion, 39, 49-62.</w:t>
      </w:r>
    </w:p>
    <w:p w14:paraId="6E7034FF">
      <w:pPr>
        <w:spacing w:line="240" w:lineRule="auto"/>
        <w:ind w:left="709" w:hanging="709"/>
        <w:rPr>
          <w:rFonts w:asciiTheme="majorBidi" w:hAnsiTheme="majorBidi" w:cstheme="majorBidi"/>
          <w:sz w:val="24"/>
          <w:szCs w:val="24"/>
        </w:rPr>
      </w:pPr>
      <w:r>
        <w:rPr>
          <w:rFonts w:asciiTheme="majorBidi" w:hAnsiTheme="majorBidi" w:cstheme="majorBidi"/>
          <w:sz w:val="24"/>
          <w:szCs w:val="24"/>
        </w:rPr>
        <w:t xml:space="preserve">Bartolic, S., et al. (2021). </w:t>
      </w:r>
      <w:r>
        <w:rPr>
          <w:rStyle w:val="10"/>
          <w:rFonts w:asciiTheme="majorBidi" w:hAnsiTheme="majorBidi" w:cstheme="majorBidi"/>
          <w:sz w:val="24"/>
          <w:szCs w:val="24"/>
        </w:rPr>
        <w:t>Student perceptions of academic misconduct amongst their peers during the rapid transition to remote instruction.</w:t>
      </w:r>
      <w:r>
        <w:rPr>
          <w:rFonts w:asciiTheme="majorBidi" w:hAnsiTheme="majorBidi" w:cstheme="majorBidi"/>
          <w:sz w:val="24"/>
          <w:szCs w:val="24"/>
        </w:rPr>
        <w:t xml:space="preserve"> </w:t>
      </w:r>
      <w:r>
        <w:rPr>
          <w:rStyle w:val="19"/>
          <w:rFonts w:asciiTheme="majorBidi" w:hAnsiTheme="majorBidi" w:cstheme="majorBidi"/>
          <w:b w:val="0"/>
          <w:bCs w:val="0"/>
          <w:sz w:val="24"/>
          <w:szCs w:val="24"/>
        </w:rPr>
        <w:t>International Journal for Educational Integrity</w:t>
      </w:r>
      <w:r>
        <w:rPr>
          <w:rFonts w:asciiTheme="majorBidi" w:hAnsiTheme="majorBidi" w:cstheme="majorBidi"/>
          <w:b/>
          <w:bCs/>
          <w:sz w:val="24"/>
          <w:szCs w:val="24"/>
        </w:rPr>
        <w:t xml:space="preserve">. </w:t>
      </w:r>
      <w:r>
        <w:rPr>
          <w:rFonts w:asciiTheme="majorBidi" w:hAnsiTheme="majorBidi" w:cstheme="majorBidi"/>
          <w:sz w:val="24"/>
          <w:szCs w:val="24"/>
        </w:rPr>
        <w:t>Retrieved from International Journal for Educational Integrity</w:t>
      </w:r>
    </w:p>
    <w:p w14:paraId="61AE0B1A">
      <w:pPr>
        <w:spacing w:line="240" w:lineRule="auto"/>
        <w:ind w:left="709" w:hanging="709"/>
        <w:rPr>
          <w:rFonts w:asciiTheme="majorBidi" w:hAnsiTheme="majorBidi" w:cstheme="majorBidi"/>
          <w:sz w:val="24"/>
          <w:szCs w:val="24"/>
        </w:rPr>
      </w:pPr>
      <w:r>
        <w:rPr>
          <w:rFonts w:asciiTheme="majorBidi" w:hAnsiTheme="majorBidi" w:cstheme="majorBidi"/>
          <w:sz w:val="24"/>
          <w:szCs w:val="24"/>
        </w:rPr>
        <w:t>Bassey, B. A., &amp; Iruoje, J. (2016). Test anxiety, attitude to schooling, parental influence, and peer pressure as predictors of students cheating tendencies in examination in Edo state, Nigeria. </w:t>
      </w:r>
      <w:r>
        <w:rPr>
          <w:rFonts w:asciiTheme="majorBidi" w:hAnsiTheme="majorBidi" w:cstheme="majorBidi"/>
          <w:i/>
          <w:iCs/>
          <w:sz w:val="24"/>
          <w:szCs w:val="24"/>
        </w:rPr>
        <w:t>Global journal of social sciences</w:t>
      </w:r>
      <w:r>
        <w:rPr>
          <w:rFonts w:asciiTheme="majorBidi" w:hAnsiTheme="majorBidi" w:cstheme="majorBidi"/>
          <w:sz w:val="24"/>
          <w:szCs w:val="24"/>
        </w:rPr>
        <w:t>, </w:t>
      </w:r>
      <w:r>
        <w:rPr>
          <w:rFonts w:asciiTheme="majorBidi" w:hAnsiTheme="majorBidi" w:cstheme="majorBidi"/>
          <w:i/>
          <w:iCs/>
          <w:sz w:val="24"/>
          <w:szCs w:val="24"/>
        </w:rPr>
        <w:t>15</w:t>
      </w:r>
      <w:r>
        <w:rPr>
          <w:rFonts w:asciiTheme="majorBidi" w:hAnsiTheme="majorBidi" w:cstheme="majorBidi"/>
          <w:sz w:val="24"/>
          <w:szCs w:val="24"/>
        </w:rPr>
        <w:t>(1), 39-46.</w:t>
      </w:r>
    </w:p>
    <w:p w14:paraId="6CECD702">
      <w:pPr>
        <w:spacing w:line="240" w:lineRule="auto"/>
        <w:ind w:left="567" w:hanging="567"/>
        <w:rPr>
          <w:rFonts w:asciiTheme="majorBidi" w:hAnsiTheme="majorBidi" w:cstheme="majorBidi"/>
          <w:sz w:val="24"/>
          <w:szCs w:val="24"/>
        </w:rPr>
      </w:pPr>
      <w:r>
        <w:rPr>
          <w:rFonts w:asciiTheme="majorBidi" w:hAnsiTheme="majorBidi" w:cstheme="majorBidi"/>
          <w:sz w:val="24"/>
          <w:szCs w:val="24"/>
        </w:rPr>
        <w:t>Best, L. M., &amp; Shelley, D. J. (2018). Academic dishonesty: Does social media allow for increased and more sophisticated levels of student cheating? </w:t>
      </w:r>
      <w:r>
        <w:rPr>
          <w:rFonts w:asciiTheme="majorBidi" w:hAnsiTheme="majorBidi" w:cstheme="majorBidi"/>
          <w:i/>
          <w:iCs/>
          <w:sz w:val="24"/>
          <w:szCs w:val="24"/>
        </w:rPr>
        <w:t>International Journal of Information and Communication Technology Education (IJICTE)</w:t>
      </w:r>
      <w:r>
        <w:rPr>
          <w:rFonts w:asciiTheme="majorBidi" w:hAnsiTheme="majorBidi" w:cstheme="majorBidi"/>
          <w:sz w:val="24"/>
          <w:szCs w:val="24"/>
        </w:rPr>
        <w:t>, </w:t>
      </w:r>
      <w:r>
        <w:rPr>
          <w:rFonts w:asciiTheme="majorBidi" w:hAnsiTheme="majorBidi" w:cstheme="majorBidi"/>
          <w:i/>
          <w:iCs/>
          <w:sz w:val="24"/>
          <w:szCs w:val="24"/>
        </w:rPr>
        <w:t>14</w:t>
      </w:r>
      <w:r>
        <w:rPr>
          <w:rFonts w:asciiTheme="majorBidi" w:hAnsiTheme="majorBidi" w:cstheme="majorBidi"/>
          <w:sz w:val="24"/>
          <w:szCs w:val="24"/>
        </w:rPr>
        <w:t>(3), 1-14.</w:t>
      </w:r>
    </w:p>
    <w:p w14:paraId="55015D83">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Biggs, J., &amp; Tang, C (2007): Teaching for Quality Learning at University: What the student does, 3rd edn, Open University Press, Maidenhead, UK</w:t>
      </w:r>
    </w:p>
    <w:p w14:paraId="306D591C">
      <w:pPr>
        <w:pStyle w:val="55"/>
        <w:ind w:left="810" w:hanging="810"/>
        <w:rPr>
          <w:rFonts w:asciiTheme="majorBidi" w:hAnsiTheme="majorBidi" w:cstheme="majorBidi"/>
        </w:rPr>
      </w:pPr>
      <w:r>
        <w:rPr>
          <w:rFonts w:asciiTheme="majorBidi" w:hAnsiTheme="majorBidi" w:cstheme="majorBidi"/>
        </w:rPr>
        <w:t xml:space="preserve">Blau, I., &amp; Eshet-Alkalai, Y. (2017). The ethical dissonance in digital and non-digital learning environments: Does technology promote cheating among middle school students? </w:t>
      </w:r>
      <w:r>
        <w:rPr>
          <w:rFonts w:asciiTheme="majorBidi" w:hAnsiTheme="majorBidi" w:cstheme="majorBidi"/>
          <w:i/>
          <w:iCs/>
        </w:rPr>
        <w:t>Computers in Human Behavior,</w:t>
      </w:r>
      <w:r>
        <w:rPr>
          <w:rFonts w:asciiTheme="majorBidi" w:hAnsiTheme="majorBidi" w:cstheme="majorBidi"/>
        </w:rPr>
        <w:t xml:space="preserve"> </w:t>
      </w:r>
      <w:r>
        <w:rPr>
          <w:rFonts w:asciiTheme="majorBidi" w:hAnsiTheme="majorBidi" w:cstheme="majorBidi"/>
          <w:i/>
          <w:iCs/>
        </w:rPr>
        <w:t>73</w:t>
      </w:r>
      <w:r>
        <w:rPr>
          <w:rFonts w:asciiTheme="majorBidi" w:hAnsiTheme="majorBidi" w:cstheme="majorBidi"/>
        </w:rPr>
        <w:t>, 629–637.</w:t>
      </w:r>
    </w:p>
    <w:p w14:paraId="6E005DF0">
      <w:pPr>
        <w:spacing w:after="0"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Boehm, P. J., Justice, M., &amp; Weeks, S. (2009). Promoting academic integrity in higher education. </w:t>
      </w:r>
      <w:r>
        <w:rPr>
          <w:rFonts w:eastAsia="Times New Roman" w:asciiTheme="majorBidi" w:hAnsiTheme="majorBidi" w:cstheme="majorBidi"/>
          <w:i/>
          <w:iCs/>
          <w:sz w:val="24"/>
          <w:szCs w:val="24"/>
        </w:rPr>
        <w:t>The Community College Enterprise</w:t>
      </w:r>
      <w:r>
        <w:rPr>
          <w:rFonts w:eastAsia="Times New Roman" w:asciiTheme="majorBidi" w:hAnsiTheme="majorBidi" w:cstheme="majorBidi"/>
          <w:sz w:val="24"/>
          <w:szCs w:val="24"/>
        </w:rPr>
        <w:t xml:space="preserve">, </w:t>
      </w:r>
      <w:r>
        <w:rPr>
          <w:rFonts w:eastAsia="Times New Roman" w:asciiTheme="majorBidi" w:hAnsiTheme="majorBidi" w:cstheme="majorBidi"/>
          <w:i/>
          <w:iCs/>
          <w:sz w:val="24"/>
          <w:szCs w:val="24"/>
        </w:rPr>
        <w:t>15</w:t>
      </w:r>
      <w:r>
        <w:rPr>
          <w:rFonts w:eastAsia="Times New Roman" w:asciiTheme="majorBidi" w:hAnsiTheme="majorBidi" w:cstheme="majorBidi"/>
          <w:sz w:val="24"/>
          <w:szCs w:val="24"/>
        </w:rPr>
        <w:t>(1), 45-61.</w:t>
      </w:r>
    </w:p>
    <w:p w14:paraId="1F20A711">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Bretag, T., &amp; Mahmud, S. (2016). A conceptual framework for educational integrity. </w:t>
      </w:r>
      <w:r>
        <w:rPr>
          <w:rFonts w:eastAsia="Times New Roman" w:asciiTheme="majorBidi" w:hAnsiTheme="majorBidi" w:cstheme="majorBidi"/>
          <w:i/>
          <w:iCs/>
          <w:sz w:val="24"/>
          <w:szCs w:val="24"/>
        </w:rPr>
        <w:t>Higher Education, 75</w:t>
      </w:r>
      <w:r>
        <w:rPr>
          <w:rFonts w:eastAsia="Times New Roman" w:asciiTheme="majorBidi" w:hAnsiTheme="majorBidi" w:cstheme="majorBidi"/>
          <w:sz w:val="24"/>
          <w:szCs w:val="24"/>
        </w:rPr>
        <w:t>(3), 433-440.</w:t>
      </w:r>
    </w:p>
    <w:p w14:paraId="42B5F9CA">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Bretag, T., Mahmud, S., Wallace, M., Walker, R., James, C., Green, M., East, J., McGowan, U., Partridge, L., &amp; Rozenberg, P. (2019). Core elements of exemplary academic integrity policy in Australian higher education. </w:t>
      </w:r>
      <w:r>
        <w:rPr>
          <w:rFonts w:eastAsia="Times New Roman" w:asciiTheme="majorBidi" w:hAnsiTheme="majorBidi" w:cstheme="majorBidi"/>
          <w:i/>
          <w:iCs/>
          <w:sz w:val="24"/>
          <w:szCs w:val="24"/>
        </w:rPr>
        <w:t>International Journal for Educational Integrity, 15</w:t>
      </w:r>
      <w:r>
        <w:rPr>
          <w:rFonts w:eastAsia="Times New Roman" w:asciiTheme="majorBidi" w:hAnsiTheme="majorBidi" w:cstheme="majorBidi"/>
          <w:sz w:val="24"/>
          <w:szCs w:val="24"/>
        </w:rPr>
        <w:t>(1), 2-15.</w:t>
      </w:r>
    </w:p>
    <w:p w14:paraId="5A3C8037">
      <w:pPr>
        <w:spacing w:before="240" w:line="240" w:lineRule="auto"/>
        <w:ind w:left="720" w:hanging="720"/>
        <w:jc w:val="both"/>
        <w:rPr>
          <w:rFonts w:eastAsia="Calibri" w:asciiTheme="majorBidi" w:hAnsiTheme="majorBidi" w:cstheme="majorBidi"/>
          <w:sz w:val="24"/>
          <w:szCs w:val="24"/>
        </w:rPr>
      </w:pPr>
      <w:r>
        <w:rPr>
          <w:rFonts w:asciiTheme="majorBidi" w:hAnsiTheme="majorBidi" w:cstheme="majorBidi"/>
          <w:sz w:val="24"/>
          <w:szCs w:val="24"/>
        </w:rPr>
        <w:t xml:space="preserve">Bryman, A. (2004). </w:t>
      </w:r>
      <w:r>
        <w:rPr>
          <w:rFonts w:asciiTheme="majorBidi" w:hAnsiTheme="majorBidi" w:cstheme="majorBidi"/>
          <w:i/>
          <w:iCs/>
          <w:sz w:val="24"/>
          <w:szCs w:val="24"/>
        </w:rPr>
        <w:t>Social research methods</w:t>
      </w:r>
      <w:r>
        <w:rPr>
          <w:rFonts w:asciiTheme="majorBidi" w:hAnsiTheme="majorBidi" w:cstheme="majorBidi"/>
          <w:sz w:val="24"/>
          <w:szCs w:val="24"/>
        </w:rPr>
        <w:t>. 2nd Edition, New York, Oxford University Press.</w:t>
      </w:r>
    </w:p>
    <w:p w14:paraId="5E0FA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Carpenter, A., Smith, B., &amp; Johnson, C. (2019). The impact of perceived norms on cheating behavior. *Journal of Academic Studies*, 15(3), 123-130. </w:t>
      </w:r>
    </w:p>
    <w:p w14:paraId="18E991D3">
      <w:pPr>
        <w:spacing w:line="240" w:lineRule="auto"/>
        <w:ind w:left="567" w:hanging="567"/>
        <w:rPr>
          <w:rFonts w:asciiTheme="majorBidi" w:hAnsiTheme="majorBidi" w:cstheme="majorBidi"/>
          <w:sz w:val="24"/>
          <w:szCs w:val="24"/>
        </w:rPr>
      </w:pPr>
      <w:r>
        <w:rPr>
          <w:rFonts w:asciiTheme="majorBidi" w:hAnsiTheme="majorBidi" w:cstheme="majorBidi"/>
          <w:sz w:val="24"/>
          <w:szCs w:val="24"/>
        </w:rPr>
        <w:t>Chankova, M. (2020). Teaching academic integrity: The missing link. Journal of Academic Ethics, 18(2), 155-173.</w:t>
      </w:r>
    </w:p>
    <w:p w14:paraId="538C0293">
      <w:pPr>
        <w:spacing w:line="240" w:lineRule="auto"/>
        <w:ind w:left="567" w:hanging="567"/>
        <w:rPr>
          <w:rFonts w:asciiTheme="majorBidi" w:hAnsiTheme="majorBidi" w:cstheme="majorBidi"/>
          <w:sz w:val="24"/>
          <w:szCs w:val="24"/>
        </w:rPr>
      </w:pPr>
      <w:r>
        <w:rPr>
          <w:rFonts w:asciiTheme="majorBidi" w:hAnsiTheme="majorBidi" w:cstheme="majorBidi"/>
          <w:sz w:val="24"/>
          <w:szCs w:val="24"/>
        </w:rPr>
        <w:t>Chinaza Nwosu, K., Chekume Nwasor, V., Onyebuchi, G. C., &amp; Nwanguma, V. C. (2020). Understanding adolescents’ moral stance on examination malpractice through the lenses of parenting styles, test anxiety, and their academic self-efficacy.</w:t>
      </w:r>
    </w:p>
    <w:p w14:paraId="3D4BA0B6">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Chinn, C., Weber, K., &amp;. Kerrigan, J. (2017). Effective collaboration in the productive failure process. </w:t>
      </w:r>
      <w:r>
        <w:rPr>
          <w:rFonts w:asciiTheme="majorBidi" w:hAnsiTheme="majorBidi" w:cstheme="majorBidi"/>
          <w:i/>
          <w:iCs/>
          <w:sz w:val="24"/>
          <w:szCs w:val="24"/>
          <w:shd w:val="clear" w:color="auto" w:fill="FFFFFF"/>
        </w:rPr>
        <w:t>The Journal of Mathematical Behavior</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63</w:t>
      </w:r>
      <w:r>
        <w:rPr>
          <w:rFonts w:asciiTheme="majorBidi" w:hAnsiTheme="majorBidi" w:cstheme="majorBidi"/>
          <w:sz w:val="24"/>
          <w:szCs w:val="24"/>
          <w:shd w:val="clear" w:color="auto" w:fill="FFFFFF"/>
        </w:rPr>
        <w:t>, 100892.</w:t>
      </w:r>
    </w:p>
    <w:p w14:paraId="196141C2">
      <w:pPr>
        <w:spacing w:line="240" w:lineRule="auto"/>
        <w:ind w:left="630" w:hanging="630"/>
        <w:rPr>
          <w:rFonts w:asciiTheme="majorBidi" w:hAnsiTheme="majorBidi" w:cstheme="majorBidi"/>
          <w:sz w:val="24"/>
          <w:szCs w:val="24"/>
        </w:rPr>
      </w:pPr>
      <w:r>
        <w:rPr>
          <w:rFonts w:asciiTheme="majorBidi" w:hAnsiTheme="majorBidi" w:cstheme="majorBidi"/>
          <w:sz w:val="24"/>
          <w:szCs w:val="24"/>
        </w:rPr>
        <w:t xml:space="preserve">Crisis Group Africa Briefing N°159, (22 July 2020). How to shield education from Al-Shabaab in Kenya’s North East. Nairobi/Brussels, International Crisis Group. Retrieved from https://www.crisisgroup.org </w:t>
      </w:r>
    </w:p>
    <w:p w14:paraId="43246892">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Culwin, F., and T. Lancaster. 2001. Plagiarism issues for higher education. </w:t>
      </w:r>
      <w:r>
        <w:rPr>
          <w:rStyle w:val="53"/>
          <w:rFonts w:asciiTheme="majorBidi" w:hAnsiTheme="majorBidi" w:cstheme="majorBidi"/>
          <w:i/>
          <w:iCs/>
          <w:sz w:val="24"/>
          <w:szCs w:val="24"/>
        </w:rPr>
        <w:t>Vine</w:t>
      </w:r>
      <w:r>
        <w:rPr>
          <w:rFonts w:asciiTheme="majorBidi" w:hAnsiTheme="majorBidi" w:cstheme="majorBidi"/>
          <w:sz w:val="24"/>
          <w:szCs w:val="24"/>
        </w:rPr>
        <w:t> </w:t>
      </w:r>
      <w:r>
        <w:fldChar w:fldCharType="begin"/>
      </w:r>
      <w:r>
        <w:instrText xml:space="preserve"> HYPERLINK "https://doi.org/10.1108/03055720010804005" \t "_blank" </w:instrText>
      </w:r>
      <w:r>
        <w:fldChar w:fldCharType="separate"/>
      </w:r>
      <w:r>
        <w:rPr>
          <w:rStyle w:val="16"/>
          <w:rFonts w:asciiTheme="majorBidi" w:hAnsiTheme="majorBidi" w:cstheme="majorBidi"/>
          <w:color w:val="auto"/>
          <w:sz w:val="24"/>
          <w:szCs w:val="24"/>
        </w:rPr>
        <w:t>31</w:t>
      </w:r>
      <w:r>
        <w:rPr>
          <w:rStyle w:val="16"/>
          <w:rFonts w:asciiTheme="majorBidi" w:hAnsiTheme="majorBidi" w:cstheme="majorBidi"/>
          <w:color w:val="auto"/>
          <w:sz w:val="24"/>
          <w:szCs w:val="24"/>
        </w:rPr>
        <w:fldChar w:fldCharType="end"/>
      </w:r>
      <w:r>
        <w:rPr>
          <w:rFonts w:asciiTheme="majorBidi" w:hAnsiTheme="majorBidi" w:cstheme="majorBidi"/>
          <w:sz w:val="24"/>
          <w:szCs w:val="24"/>
        </w:rPr>
        <w:t> (</w:t>
      </w:r>
      <w:r>
        <w:fldChar w:fldCharType="begin"/>
      </w:r>
      <w:r>
        <w:instrText xml:space="preserve"> HYPERLINK "https://doi.org/10.1108/03055720010804005" \t "_blank" </w:instrText>
      </w:r>
      <w:r>
        <w:fldChar w:fldCharType="separate"/>
      </w:r>
      <w:r>
        <w:rPr>
          <w:rStyle w:val="16"/>
          <w:rFonts w:asciiTheme="majorBidi" w:hAnsiTheme="majorBidi" w:cstheme="majorBidi"/>
          <w:color w:val="auto"/>
          <w:sz w:val="24"/>
          <w:szCs w:val="24"/>
        </w:rPr>
        <w:t>2</w:t>
      </w:r>
      <w:r>
        <w:rPr>
          <w:rStyle w:val="16"/>
          <w:rFonts w:asciiTheme="majorBidi" w:hAnsiTheme="majorBidi" w:cstheme="majorBidi"/>
          <w:color w:val="auto"/>
          <w:sz w:val="24"/>
          <w:szCs w:val="24"/>
        </w:rPr>
        <w:fldChar w:fldCharType="end"/>
      </w:r>
      <w:r>
        <w:rPr>
          <w:rFonts w:asciiTheme="majorBidi" w:hAnsiTheme="majorBidi" w:cstheme="majorBidi"/>
          <w:sz w:val="24"/>
          <w:szCs w:val="24"/>
        </w:rPr>
        <w:t>):36–41. doi:10.1108/03055720010804005.</w:t>
      </w:r>
    </w:p>
    <w:p w14:paraId="66CC929C">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Daro, Abdullahi Woche (2021). Determinants of examination malpractices among students in public secondary schools in Garissa County, Kenya. A research project submitted to the school of education. Kenyatta University. Nairobi</w:t>
      </w:r>
    </w:p>
    <w:p w14:paraId="51216840">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 xml:space="preserve">Davis S.F., &amp; Ludvigson H.W. (1995). Additional data on academic dishonesty and a proposal for remediation. Teaching of psy. 22 119-121 </w:t>
      </w:r>
    </w:p>
    <w:p w14:paraId="09A94994">
      <w:pPr>
        <w:pStyle w:val="17"/>
        <w:ind w:left="720" w:hanging="720"/>
        <w:jc w:val="both"/>
        <w:rPr>
          <w:rFonts w:asciiTheme="majorBidi" w:hAnsiTheme="majorBidi" w:cstheme="majorBidi"/>
          <w:b/>
          <w:bCs/>
        </w:rPr>
      </w:pPr>
      <w:r>
        <w:rPr>
          <w:rFonts w:asciiTheme="majorBidi" w:hAnsiTheme="majorBidi" w:cstheme="majorBidi"/>
          <w:shd w:val="clear" w:color="auto" w:fill="FFFFFF"/>
        </w:rPr>
        <w:t>Davis, J. (2013). Educational legitimation and parental aspiration: Private tutoring in Perth, Western Australia (Doctoral dissertation, University of Western Australia).</w:t>
      </w:r>
    </w:p>
    <w:p w14:paraId="3E785C93">
      <w:pPr>
        <w:pStyle w:val="17"/>
        <w:ind w:left="851" w:hanging="851"/>
        <w:rPr>
          <w:rFonts w:asciiTheme="majorBidi" w:hAnsiTheme="majorBidi" w:cstheme="majorBidi"/>
        </w:rPr>
      </w:pPr>
      <w:r>
        <w:rPr>
          <w:rFonts w:asciiTheme="majorBidi" w:hAnsiTheme="majorBidi" w:cstheme="majorBidi"/>
        </w:rPr>
        <w:t xml:space="preserve">Davis, L., &amp; Green, E. (2017). Collaborating with parents to promote academic integrity. </w:t>
      </w:r>
      <w:r>
        <w:rPr>
          <w:rStyle w:val="10"/>
          <w:rFonts w:asciiTheme="majorBidi" w:hAnsiTheme="majorBidi" w:cstheme="majorBidi"/>
        </w:rPr>
        <w:t>Journal of Parental Involvement in Education</w:t>
      </w:r>
      <w:r>
        <w:rPr>
          <w:rFonts w:asciiTheme="majorBidi" w:hAnsiTheme="majorBidi" w:cstheme="majorBidi"/>
        </w:rPr>
        <w:t>, 10(2), 23-35.</w:t>
      </w:r>
    </w:p>
    <w:p w14:paraId="2A845AE1">
      <w:pPr>
        <w:pStyle w:val="17"/>
        <w:ind w:left="851" w:hanging="851"/>
        <w:rPr>
          <w:rFonts w:asciiTheme="majorBidi" w:hAnsiTheme="majorBidi" w:cstheme="majorBidi"/>
        </w:rPr>
      </w:pPr>
      <w:r>
        <w:rPr>
          <w:rFonts w:asciiTheme="majorBidi" w:hAnsiTheme="majorBidi" w:cstheme="majorBidi"/>
        </w:rPr>
        <w:t xml:space="preserve">Davis, L., &amp; White, S. (2017). Involving parents in promoting academic integrity. </w:t>
      </w:r>
      <w:r>
        <w:rPr>
          <w:rStyle w:val="10"/>
          <w:rFonts w:asciiTheme="majorBidi" w:hAnsiTheme="majorBidi" w:cstheme="majorBidi"/>
        </w:rPr>
        <w:t>Journal of Parental Involvement in Education</w:t>
      </w:r>
      <w:r>
        <w:rPr>
          <w:rFonts w:asciiTheme="majorBidi" w:hAnsiTheme="majorBidi" w:cstheme="majorBidi"/>
        </w:rPr>
        <w:t>, 12(1), 34-45.</w:t>
      </w:r>
    </w:p>
    <w:p w14:paraId="329F3DA9">
      <w:pPr>
        <w:spacing w:before="100" w:beforeAutospacing="1" w:after="100" w:afterAutospacing="1" w:line="240" w:lineRule="auto"/>
        <w:ind w:left="810" w:hanging="810"/>
        <w:rPr>
          <w:rFonts w:asciiTheme="majorBidi" w:hAnsiTheme="majorBidi" w:cstheme="majorBidi"/>
          <w:sz w:val="24"/>
          <w:szCs w:val="24"/>
        </w:rPr>
      </w:pPr>
      <w:r>
        <w:rPr>
          <w:rFonts w:asciiTheme="majorBidi" w:hAnsiTheme="majorBidi" w:cstheme="majorBidi"/>
          <w:sz w:val="24"/>
          <w:szCs w:val="24"/>
        </w:rPr>
        <w:t>Denisova-Schmidt, E. (2016): The Global Challenge of Academic Integrity. University of St. Gallen. DOI:10.6017/ihe.2016.87.9494</w:t>
      </w:r>
    </w:p>
    <w:p w14:paraId="220D40A8">
      <w:pPr>
        <w:pStyle w:val="30"/>
        <w:spacing w:line="240" w:lineRule="auto"/>
        <w:ind w:hanging="720"/>
        <w:rPr>
          <w:rFonts w:asciiTheme="majorBidi" w:hAnsiTheme="majorBidi" w:cstheme="majorBidi"/>
          <w:sz w:val="24"/>
          <w:szCs w:val="24"/>
        </w:rPr>
      </w:pPr>
      <w:r>
        <w:rPr>
          <w:rFonts w:asciiTheme="majorBidi" w:hAnsiTheme="majorBidi" w:cstheme="majorBidi"/>
          <w:sz w:val="24"/>
          <w:szCs w:val="24"/>
          <w:shd w:val="clear" w:color="auto" w:fill="FFFFFF"/>
        </w:rPr>
        <w:t>Doll, B., Song, S., &amp; Siemers, E. (2004). Classroom ecologies that support or discourage bullying. In </w:t>
      </w:r>
      <w:r>
        <w:rPr>
          <w:rFonts w:asciiTheme="majorBidi" w:hAnsiTheme="majorBidi" w:cstheme="majorBidi"/>
          <w:i/>
          <w:iCs/>
          <w:sz w:val="24"/>
          <w:szCs w:val="24"/>
          <w:shd w:val="clear" w:color="auto" w:fill="FFFFFF"/>
        </w:rPr>
        <w:t>Bullying in American schools</w:t>
      </w:r>
      <w:r>
        <w:rPr>
          <w:rFonts w:asciiTheme="majorBidi" w:hAnsiTheme="majorBidi" w:cstheme="majorBidi"/>
          <w:sz w:val="24"/>
          <w:szCs w:val="24"/>
          <w:shd w:val="clear" w:color="auto" w:fill="FFFFFF"/>
        </w:rPr>
        <w:t> (pp. 183-206). Routledge.</w:t>
      </w:r>
    </w:p>
    <w:p w14:paraId="717632B6">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Dörnyei, Z., &amp; Ushioda, E. (2021). </w:t>
      </w:r>
      <w:r>
        <w:rPr>
          <w:rFonts w:eastAsia="Times New Roman" w:asciiTheme="majorBidi" w:hAnsiTheme="majorBidi" w:cstheme="majorBidi"/>
          <w:i/>
          <w:iCs/>
          <w:sz w:val="24"/>
          <w:szCs w:val="24"/>
        </w:rPr>
        <w:t>Motivation, language identity and the L2 self</w:t>
      </w:r>
      <w:r>
        <w:rPr>
          <w:rFonts w:eastAsia="Times New Roman" w:asciiTheme="majorBidi" w:hAnsiTheme="majorBidi" w:cstheme="majorBidi"/>
          <w:sz w:val="24"/>
          <w:szCs w:val="24"/>
        </w:rPr>
        <w:t>. Multilingual Matters.</w:t>
      </w:r>
    </w:p>
    <w:p w14:paraId="5E846D78">
      <w:pPr>
        <w:spacing w:before="240" w:line="240" w:lineRule="auto"/>
        <w:ind w:left="720" w:hanging="720"/>
        <w:jc w:val="both"/>
        <w:rPr>
          <w:rFonts w:asciiTheme="majorBidi" w:hAnsiTheme="majorBidi" w:cstheme="majorBidi"/>
          <w:sz w:val="24"/>
          <w:szCs w:val="24"/>
        </w:rPr>
      </w:pPr>
      <w:r>
        <w:rPr>
          <w:rFonts w:asciiTheme="majorBidi" w:hAnsiTheme="majorBidi" w:cstheme="majorBidi"/>
          <w:sz w:val="24"/>
          <w:szCs w:val="24"/>
        </w:rPr>
        <w:t xml:space="preserve">Dweck, C. S. (2006). </w:t>
      </w:r>
      <w:r>
        <w:rPr>
          <w:rStyle w:val="10"/>
          <w:rFonts w:asciiTheme="majorBidi" w:hAnsiTheme="majorBidi" w:cstheme="majorBidi"/>
          <w:sz w:val="24"/>
          <w:szCs w:val="24"/>
        </w:rPr>
        <w:t>Mindset: The new psychology of success.</w:t>
      </w:r>
      <w:r>
        <w:rPr>
          <w:rFonts w:asciiTheme="majorBidi" w:hAnsiTheme="majorBidi" w:cstheme="majorBidi"/>
          <w:sz w:val="24"/>
          <w:szCs w:val="24"/>
        </w:rPr>
        <w:t xml:space="preserve"> Random House.</w:t>
      </w:r>
    </w:p>
    <w:p w14:paraId="19689074">
      <w:pPr>
        <w:spacing w:line="240" w:lineRule="auto"/>
        <w:ind w:left="851" w:hanging="851"/>
        <w:rPr>
          <w:rFonts w:asciiTheme="majorBidi" w:hAnsiTheme="majorBidi" w:cstheme="majorBidi"/>
          <w:sz w:val="24"/>
          <w:szCs w:val="24"/>
        </w:rPr>
      </w:pPr>
      <w:r>
        <w:rPr>
          <w:rFonts w:asciiTheme="majorBidi" w:hAnsiTheme="majorBidi" w:cstheme="majorBidi"/>
          <w:sz w:val="24"/>
          <w:szCs w:val="24"/>
        </w:rPr>
        <w:t xml:space="preserve">Ellis, C., Zucker, I. M., &amp; Randall, D. (2018). The infernal business of contract cheating: Understanding the business processes and models of academic custom writing sites. </w:t>
      </w:r>
      <w:r>
        <w:rPr>
          <w:rStyle w:val="10"/>
          <w:rFonts w:asciiTheme="majorBidi" w:hAnsiTheme="majorBidi" w:cstheme="majorBidi"/>
          <w:sz w:val="24"/>
          <w:szCs w:val="24"/>
        </w:rPr>
        <w:t>International Journal for Educational Integrity</w:t>
      </w:r>
      <w:r>
        <w:rPr>
          <w:rFonts w:asciiTheme="majorBidi" w:hAnsiTheme="majorBidi" w:cstheme="majorBidi"/>
          <w:sz w:val="24"/>
          <w:szCs w:val="24"/>
        </w:rPr>
        <w:t xml:space="preserve">, 14(1), 1-16. </w:t>
      </w:r>
      <w:r>
        <w:fldChar w:fldCharType="begin"/>
      </w:r>
      <w:r>
        <w:instrText xml:space="preserve"> HYPERLINK "https://doi.org/10.1007/s40979-018-0028-3" </w:instrText>
      </w:r>
      <w:r>
        <w:fldChar w:fldCharType="separate"/>
      </w:r>
      <w:r>
        <w:rPr>
          <w:rStyle w:val="16"/>
          <w:rFonts w:asciiTheme="majorBidi" w:hAnsiTheme="majorBidi" w:cstheme="majorBidi"/>
          <w:color w:val="auto"/>
          <w:sz w:val="24"/>
          <w:szCs w:val="24"/>
          <w:u w:val="none"/>
        </w:rPr>
        <w:t>https://doi.org/10.1007/s40979-018-0028-3</w:t>
      </w:r>
      <w:r>
        <w:rPr>
          <w:rStyle w:val="16"/>
          <w:rFonts w:asciiTheme="majorBidi" w:hAnsiTheme="majorBidi" w:cstheme="majorBidi"/>
          <w:color w:val="auto"/>
          <w:sz w:val="24"/>
          <w:szCs w:val="24"/>
          <w:u w:val="none"/>
        </w:rPr>
        <w:fldChar w:fldCharType="end"/>
      </w:r>
    </w:p>
    <w:p w14:paraId="5B7A6F48">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Entwistle, A., &amp; Entwistle, N. (1992). Experiences of understanding in revising for degree examinations. </w:t>
      </w:r>
      <w:r>
        <w:rPr>
          <w:rFonts w:asciiTheme="majorBidi" w:hAnsiTheme="majorBidi" w:cstheme="majorBidi"/>
          <w:i/>
          <w:iCs/>
          <w:sz w:val="24"/>
          <w:szCs w:val="24"/>
          <w:shd w:val="clear" w:color="auto" w:fill="FFFFFF"/>
        </w:rPr>
        <w:t>Learning and instruction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w:t>
      </w:r>
      <w:r>
        <w:rPr>
          <w:rFonts w:asciiTheme="majorBidi" w:hAnsiTheme="majorBidi" w:cstheme="majorBidi"/>
          <w:sz w:val="24"/>
          <w:szCs w:val="24"/>
          <w:shd w:val="clear" w:color="auto" w:fill="FFFFFF"/>
        </w:rPr>
        <w:t>(1), 1-22.</w:t>
      </w:r>
    </w:p>
    <w:p w14:paraId="030BFF64">
      <w:pPr>
        <w:pStyle w:val="17"/>
        <w:ind w:left="709" w:hanging="709"/>
        <w:rPr>
          <w:rFonts w:asciiTheme="majorBidi" w:hAnsiTheme="majorBidi" w:cstheme="majorBidi"/>
        </w:rPr>
      </w:pPr>
      <w:r>
        <w:rPr>
          <w:rFonts w:asciiTheme="majorBidi" w:hAnsiTheme="majorBidi" w:cstheme="majorBidi"/>
        </w:rPr>
        <w:t xml:space="preserve">Epstein, J. L. (2001). </w:t>
      </w:r>
      <w:r>
        <w:rPr>
          <w:rStyle w:val="10"/>
          <w:rFonts w:asciiTheme="majorBidi" w:hAnsiTheme="majorBidi" w:cstheme="majorBidi"/>
        </w:rPr>
        <w:t>School, family, and community partnerships: Preparing educators and improving schools</w:t>
      </w:r>
      <w:r>
        <w:rPr>
          <w:rFonts w:asciiTheme="majorBidi" w:hAnsiTheme="majorBidi" w:cstheme="majorBidi"/>
        </w:rPr>
        <w:t>. Westview Press.</w:t>
      </w:r>
    </w:p>
    <w:p w14:paraId="7E5157D2">
      <w:pPr>
        <w:spacing w:line="240" w:lineRule="auto"/>
        <w:ind w:left="851" w:hanging="851"/>
        <w:rPr>
          <w:rFonts w:asciiTheme="majorBidi" w:hAnsiTheme="majorBidi" w:cstheme="majorBidi"/>
          <w:sz w:val="24"/>
          <w:szCs w:val="24"/>
        </w:rPr>
      </w:pPr>
      <w:r>
        <w:rPr>
          <w:rFonts w:asciiTheme="majorBidi" w:hAnsiTheme="majorBidi" w:cstheme="majorBidi"/>
          <w:sz w:val="24"/>
          <w:szCs w:val="24"/>
        </w:rPr>
        <w:t>Eynon, R., &amp; Salter, J. (2013). The uses of social media in higher education. Learning, Media and Communication, 3(1), 21-40.</w:t>
      </w:r>
    </w:p>
    <w:p w14:paraId="11A311D9">
      <w:pPr>
        <w:spacing w:line="240" w:lineRule="auto"/>
        <w:ind w:left="720" w:hanging="720"/>
        <w:rPr>
          <w:rFonts w:asciiTheme="majorBidi" w:hAnsiTheme="majorBidi" w:cstheme="majorBidi"/>
          <w:sz w:val="24"/>
          <w:szCs w:val="24"/>
        </w:rPr>
      </w:pPr>
      <w:r>
        <w:rPr>
          <w:rFonts w:asciiTheme="majorBidi" w:hAnsiTheme="majorBidi" w:cstheme="majorBidi"/>
          <w:sz w:val="24"/>
          <w:szCs w:val="24"/>
        </w:rPr>
        <w:t>Fan, X. and Chen, M. 2001. Parental involvement and students’ academic achievement: A meta‐analysis. </w:t>
      </w:r>
      <w:r>
        <w:rPr>
          <w:rStyle w:val="53"/>
          <w:rFonts w:asciiTheme="majorBidi" w:hAnsiTheme="majorBidi" w:cstheme="majorBidi"/>
          <w:i/>
          <w:iCs/>
          <w:sz w:val="24"/>
          <w:szCs w:val="24"/>
        </w:rPr>
        <w:t>Educational Psychology Review</w:t>
      </w:r>
      <w:r>
        <w:rPr>
          <w:rStyle w:val="53"/>
          <w:rFonts w:asciiTheme="majorBidi" w:hAnsiTheme="majorBidi" w:cstheme="majorBidi"/>
          <w:sz w:val="24"/>
          <w:szCs w:val="24"/>
        </w:rPr>
        <w:t>,</w:t>
      </w:r>
      <w:r>
        <w:rPr>
          <w:rFonts w:asciiTheme="majorBidi" w:hAnsiTheme="majorBidi" w:cstheme="majorBidi"/>
          <w:sz w:val="24"/>
          <w:szCs w:val="24"/>
        </w:rPr>
        <w:t xml:space="preserve"> 13: 1 – 22.</w:t>
      </w:r>
    </w:p>
    <w:p w14:paraId="37F0744B">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Fisher, K. (2015). The Psychology of Fraud: What Motivates to Commit Crime? Texas Woman’s University, Graduate School of Management. https://doi.org/10.2139/ssrn.2596825</w:t>
      </w:r>
    </w:p>
    <w:p w14:paraId="1EAA3F82">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Foltýnek, T., Dlabolová, D., &amp; Rohlíková, L. (2018). Do students really use Facebook to cheat? Investigating academic dishonesty in a social networking environment. </w:t>
      </w:r>
      <w:r>
        <w:rPr>
          <w:rFonts w:eastAsia="Times New Roman" w:asciiTheme="majorBidi" w:hAnsiTheme="majorBidi" w:cstheme="majorBidi"/>
          <w:i/>
          <w:iCs/>
          <w:sz w:val="24"/>
          <w:szCs w:val="24"/>
        </w:rPr>
        <w:t>Computers &amp; Education, 116</w:t>
      </w:r>
      <w:r>
        <w:rPr>
          <w:rFonts w:eastAsia="Times New Roman" w:asciiTheme="majorBidi" w:hAnsiTheme="majorBidi" w:cstheme="majorBidi"/>
          <w:sz w:val="24"/>
          <w:szCs w:val="24"/>
        </w:rPr>
        <w:t>, 204-217.</w:t>
      </w:r>
    </w:p>
    <w:p w14:paraId="0453250A">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Ford, C. J. (2018). </w:t>
      </w:r>
      <w:r>
        <w:rPr>
          <w:rFonts w:asciiTheme="majorBidi" w:hAnsiTheme="majorBidi" w:cstheme="majorBidi"/>
          <w:i/>
          <w:iCs/>
          <w:sz w:val="24"/>
          <w:szCs w:val="24"/>
          <w:shd w:val="clear" w:color="auto" w:fill="FFFFFF"/>
        </w:rPr>
        <w:t>The beliefs of secondary teachers on personalized learning for students through the use of instructional technology</w:t>
      </w:r>
      <w:r>
        <w:rPr>
          <w:rFonts w:asciiTheme="majorBidi" w:hAnsiTheme="majorBidi" w:cstheme="majorBidi"/>
          <w:sz w:val="24"/>
          <w:szCs w:val="24"/>
          <w:shd w:val="clear" w:color="auto" w:fill="FFFFFF"/>
        </w:rPr>
        <w:t> (Doctoral dissertation, Lindenwood University).</w:t>
      </w:r>
    </w:p>
    <w:p w14:paraId="04C096B3">
      <w:pPr>
        <w:pStyle w:val="50"/>
        <w:spacing w:after="200"/>
        <w:ind w:left="720" w:hanging="720"/>
        <w:rPr>
          <w:rFonts w:asciiTheme="majorBidi" w:hAnsiTheme="majorBidi" w:cstheme="majorBidi"/>
          <w:color w:val="auto"/>
        </w:rPr>
      </w:pPr>
      <w:r>
        <w:rPr>
          <w:rFonts w:asciiTheme="majorBidi" w:hAnsiTheme="majorBidi" w:cstheme="majorBidi"/>
          <w:color w:val="auto"/>
        </w:rPr>
        <w:t xml:space="preserve">Gall, M. D. and Borg, W. R. (1999). </w:t>
      </w:r>
      <w:r>
        <w:rPr>
          <w:rFonts w:asciiTheme="majorBidi" w:hAnsiTheme="majorBidi" w:cstheme="majorBidi"/>
          <w:i/>
          <w:iCs/>
          <w:color w:val="auto"/>
        </w:rPr>
        <w:t>Educational research: An introduction</w:t>
      </w:r>
      <w:r>
        <w:rPr>
          <w:rFonts w:asciiTheme="majorBidi" w:hAnsiTheme="majorBidi" w:cstheme="majorBidi"/>
          <w:color w:val="auto"/>
        </w:rPr>
        <w:t>. New York: Longman Inc.</w:t>
      </w:r>
    </w:p>
    <w:p w14:paraId="6B620EFE">
      <w:pPr>
        <w:spacing w:line="240" w:lineRule="auto"/>
        <w:ind w:left="720" w:hanging="720"/>
        <w:rPr>
          <w:rFonts w:asciiTheme="majorBidi" w:hAnsiTheme="majorBidi" w:cstheme="majorBidi"/>
          <w:sz w:val="24"/>
          <w:szCs w:val="24"/>
        </w:rPr>
      </w:pPr>
      <w:r>
        <w:rPr>
          <w:rFonts w:asciiTheme="majorBidi" w:hAnsiTheme="majorBidi" w:cstheme="majorBidi"/>
          <w:sz w:val="24"/>
          <w:szCs w:val="24"/>
        </w:rPr>
        <w:t xml:space="preserve">Gall, M.D., Borg, W.R. and Gall, J.P. (2003). </w:t>
      </w:r>
      <w:r>
        <w:rPr>
          <w:rFonts w:asciiTheme="majorBidi" w:hAnsiTheme="majorBidi" w:cstheme="majorBidi"/>
          <w:i/>
          <w:iCs/>
          <w:sz w:val="24"/>
          <w:szCs w:val="24"/>
        </w:rPr>
        <w:t>Educational research: An introduction</w:t>
      </w:r>
      <w:r>
        <w:rPr>
          <w:rFonts w:asciiTheme="majorBidi" w:hAnsiTheme="majorBidi" w:cstheme="majorBidi"/>
          <w:sz w:val="24"/>
          <w:szCs w:val="24"/>
        </w:rPr>
        <w:t xml:space="preserve">. (7th ed.). Boston: Allyn and </w:t>
      </w:r>
      <w:r>
        <w:rPr>
          <w:rFonts w:eastAsia="Times New Roman" w:asciiTheme="majorBidi" w:hAnsiTheme="majorBidi" w:cstheme="majorBidi"/>
          <w:sz w:val="24"/>
          <w:szCs w:val="24"/>
        </w:rPr>
        <w:t>Bacon publisher.</w:t>
      </w:r>
      <w:r>
        <w:rPr>
          <w:rFonts w:asciiTheme="majorBidi" w:hAnsiTheme="majorBidi" w:cstheme="majorBidi"/>
          <w:sz w:val="24"/>
          <w:szCs w:val="24"/>
        </w:rPr>
        <w:t xml:space="preserve"> </w:t>
      </w:r>
    </w:p>
    <w:p w14:paraId="2BE6086E">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Githui, J. M. (2019). The role of public awareness campaigns in the fight against examination malpractices in Kenya. </w:t>
      </w:r>
      <w:r>
        <w:rPr>
          <w:rFonts w:eastAsia="Times New Roman" w:asciiTheme="majorBidi" w:hAnsiTheme="majorBidi" w:cstheme="majorBidi"/>
          <w:i/>
          <w:iCs/>
          <w:sz w:val="24"/>
          <w:szCs w:val="24"/>
        </w:rPr>
        <w:t>International Journal of Education and Research, 7</w:t>
      </w:r>
      <w:r>
        <w:rPr>
          <w:rFonts w:eastAsia="Times New Roman" w:asciiTheme="majorBidi" w:hAnsiTheme="majorBidi" w:cstheme="majorBidi"/>
          <w:sz w:val="24"/>
          <w:szCs w:val="24"/>
        </w:rPr>
        <w:t>(12), 45-57.</w:t>
      </w:r>
    </w:p>
    <w:p w14:paraId="32DE3C01">
      <w:pPr>
        <w:pStyle w:val="17"/>
        <w:ind w:left="709" w:hanging="709"/>
        <w:rPr>
          <w:rFonts w:asciiTheme="majorBidi" w:hAnsiTheme="majorBidi" w:cstheme="majorBidi"/>
        </w:rPr>
      </w:pPr>
      <w:r>
        <w:rPr>
          <w:rFonts w:asciiTheme="majorBidi" w:hAnsiTheme="majorBidi" w:cstheme="majorBidi"/>
        </w:rPr>
        <w:t xml:space="preserve">Green, D., &amp; Miller, E. (2017). Engaging parents in academic integrity: A key to reducing cheating. </w:t>
      </w:r>
      <w:r>
        <w:rPr>
          <w:rStyle w:val="10"/>
          <w:rFonts w:asciiTheme="majorBidi" w:hAnsiTheme="majorBidi" w:cstheme="majorBidi"/>
        </w:rPr>
        <w:t>Educational Review</w:t>
      </w:r>
      <w:r>
        <w:rPr>
          <w:rFonts w:asciiTheme="majorBidi" w:hAnsiTheme="majorBidi" w:cstheme="majorBidi"/>
        </w:rPr>
        <w:t>, 14(3), 45-60.</w:t>
      </w:r>
    </w:p>
    <w:p w14:paraId="12B0B640">
      <w:pPr>
        <w:pStyle w:val="17"/>
        <w:ind w:left="709" w:hanging="709"/>
        <w:rPr>
          <w:rFonts w:asciiTheme="majorBidi" w:hAnsiTheme="majorBidi" w:cstheme="majorBidi"/>
        </w:rPr>
      </w:pPr>
      <w:r>
        <w:rPr>
          <w:rFonts w:asciiTheme="majorBidi" w:hAnsiTheme="majorBidi" w:cstheme="majorBidi"/>
        </w:rPr>
        <w:t xml:space="preserve">Green, E., &amp; Wilson, L. (2019). Cultural and societal influences on academic success. </w:t>
      </w:r>
      <w:r>
        <w:rPr>
          <w:rStyle w:val="10"/>
          <w:rFonts w:asciiTheme="majorBidi" w:hAnsiTheme="majorBidi" w:cstheme="majorBidi"/>
        </w:rPr>
        <w:t>Journal of Educational Studies</w:t>
      </w:r>
      <w:r>
        <w:rPr>
          <w:rFonts w:asciiTheme="majorBidi" w:hAnsiTheme="majorBidi" w:cstheme="majorBidi"/>
        </w:rPr>
        <w:t>, 21(1), 34-45.</w:t>
      </w:r>
    </w:p>
    <w:p w14:paraId="204C7E75">
      <w:pPr>
        <w:pStyle w:val="17"/>
        <w:ind w:left="709" w:hanging="709"/>
        <w:rPr>
          <w:rFonts w:asciiTheme="majorBidi" w:hAnsiTheme="majorBidi" w:cstheme="majorBidi"/>
        </w:rPr>
      </w:pPr>
      <w:r>
        <w:rPr>
          <w:rFonts w:asciiTheme="majorBidi" w:hAnsiTheme="majorBidi" w:cstheme="majorBidi"/>
        </w:rPr>
        <w:t xml:space="preserve">Green, E., &amp; Wilson, L. (2019). Exam malpractice: Understanding the role of financial stress. </w:t>
      </w:r>
      <w:r>
        <w:rPr>
          <w:rStyle w:val="10"/>
          <w:rFonts w:asciiTheme="majorBidi" w:hAnsiTheme="majorBidi" w:cstheme="majorBidi"/>
        </w:rPr>
        <w:t>Journal of Educational Studies</w:t>
      </w:r>
      <w:r>
        <w:rPr>
          <w:rFonts w:asciiTheme="majorBidi" w:hAnsiTheme="majorBidi" w:cstheme="majorBidi"/>
        </w:rPr>
        <w:t>, 18(1), 89-99.</w:t>
      </w:r>
    </w:p>
    <w:p w14:paraId="319C13BD">
      <w:pPr>
        <w:pStyle w:val="17"/>
        <w:ind w:left="709" w:hanging="709"/>
        <w:rPr>
          <w:rFonts w:asciiTheme="majorBidi" w:hAnsiTheme="majorBidi" w:cstheme="majorBidi"/>
        </w:rPr>
      </w:pPr>
      <w:r>
        <w:rPr>
          <w:rFonts w:asciiTheme="majorBidi" w:hAnsiTheme="majorBidi" w:cstheme="majorBidi"/>
        </w:rPr>
        <w:t xml:space="preserve">Green, E., &amp; Wilson, L. (2020). Factors contributing to fairness in examinations. </w:t>
      </w:r>
      <w:r>
        <w:rPr>
          <w:rStyle w:val="10"/>
          <w:rFonts w:asciiTheme="majorBidi" w:hAnsiTheme="majorBidi" w:cstheme="majorBidi"/>
        </w:rPr>
        <w:t>Educational Review</w:t>
      </w:r>
      <w:r>
        <w:rPr>
          <w:rFonts w:asciiTheme="majorBidi" w:hAnsiTheme="majorBidi" w:cstheme="majorBidi"/>
        </w:rPr>
        <w:t>, 20(1), 78-89.</w:t>
      </w:r>
    </w:p>
    <w:p w14:paraId="4BAE0D34">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Gupta, N., Northcutt, C., Corrigan-Gibbs, H., Cutrell, E., &amp; Thies, W. (2015). Deterring cheating in online environments. </w:t>
      </w:r>
      <w:r>
        <w:rPr>
          <w:rFonts w:asciiTheme="majorBidi" w:hAnsiTheme="majorBidi" w:cstheme="majorBidi"/>
          <w:i/>
          <w:iCs/>
          <w:sz w:val="24"/>
          <w:szCs w:val="24"/>
          <w:shd w:val="clear" w:color="auto" w:fill="FFFFFF"/>
        </w:rPr>
        <w:t>ACM Transactions on Computer-Human Interaction (TOCHI)</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22</w:t>
      </w:r>
      <w:r>
        <w:rPr>
          <w:rFonts w:asciiTheme="majorBidi" w:hAnsiTheme="majorBidi" w:cstheme="majorBidi"/>
          <w:sz w:val="24"/>
          <w:szCs w:val="24"/>
          <w:shd w:val="clear" w:color="auto" w:fill="FFFFFF"/>
        </w:rPr>
        <w:t>(6), 1-23.</w:t>
      </w:r>
    </w:p>
    <w:p w14:paraId="6F3D7208">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Hahn-Smith, S., &amp; Springer, F. (2005). </w:t>
      </w:r>
      <w:r>
        <w:rPr>
          <w:rFonts w:asciiTheme="majorBidi" w:hAnsiTheme="majorBidi" w:cstheme="majorBidi"/>
          <w:i/>
          <w:iCs/>
          <w:color w:val="000000"/>
          <w:sz w:val="24"/>
          <w:szCs w:val="24"/>
        </w:rPr>
        <w:t>Social Norms Theory: Prevention Tactics.</w:t>
      </w:r>
      <w:r>
        <w:rPr>
          <w:rFonts w:asciiTheme="majorBidi" w:hAnsiTheme="majorBidi" w:cstheme="majorBidi"/>
          <w:color w:val="000000"/>
          <w:sz w:val="24"/>
          <w:szCs w:val="24"/>
        </w:rPr>
        <w:t xml:space="preserve"> Folson: Center for Applied Research Solutions.</w:t>
      </w:r>
    </w:p>
    <w:p w14:paraId="234C9D8F">
      <w:pPr>
        <w:pStyle w:val="30"/>
        <w:spacing w:line="240" w:lineRule="auto"/>
        <w:ind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 xml:space="preserve">Hamid A. B., &amp; Siti. H. B. (2018). </w:t>
      </w:r>
      <w:r>
        <w:rPr>
          <w:rFonts w:asciiTheme="majorBidi" w:hAnsiTheme="majorBidi" w:cstheme="majorBidi"/>
          <w:i/>
          <w:iCs/>
          <w:sz w:val="24"/>
          <w:szCs w:val="24"/>
          <w:shd w:val="clear" w:color="auto" w:fill="FFFFFF"/>
        </w:rPr>
        <w:t>Determinants of international Muslim tourists’ empowerment and attitude, and their impact on loyalty</w:t>
      </w:r>
      <w:r>
        <w:rPr>
          <w:rFonts w:asciiTheme="majorBidi" w:hAnsiTheme="majorBidi" w:cstheme="majorBidi"/>
          <w:sz w:val="24"/>
          <w:szCs w:val="24"/>
          <w:shd w:val="clear" w:color="auto" w:fill="FFFFFF"/>
        </w:rPr>
        <w:t>. Thesis submitted to the school of graduate studies. Universiti Putra Malaysia.</w:t>
      </w:r>
    </w:p>
    <w:p w14:paraId="4D454C24">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Hasnan, S., Abdul-Rahman, R., &amp; Mahenthiran, S. (2013). Management Motive, Weak Governance, Earnings Management, and Fraudulent Financial Reporting: Journal of International Accounting Research, 12(1), 1-27.</w:t>
      </w:r>
    </w:p>
    <w:p w14:paraId="7686EF12">
      <w:pPr>
        <w:pStyle w:val="17"/>
        <w:ind w:left="709" w:hanging="709"/>
        <w:rPr>
          <w:rFonts w:asciiTheme="majorBidi" w:hAnsiTheme="majorBidi" w:cstheme="majorBidi"/>
        </w:rPr>
      </w:pPr>
      <w:r>
        <w:rPr>
          <w:rFonts w:asciiTheme="majorBidi" w:hAnsiTheme="majorBidi" w:cstheme="majorBidi"/>
        </w:rPr>
        <w:t xml:space="preserve">Henderson, A. T., &amp; Mapp, K. L. (2002). </w:t>
      </w:r>
      <w:r>
        <w:rPr>
          <w:rStyle w:val="10"/>
          <w:rFonts w:asciiTheme="majorBidi" w:hAnsiTheme="majorBidi" w:cstheme="majorBidi"/>
        </w:rPr>
        <w:t>A new wave of evidence: The impact of school, family, and community connections on student achievement</w:t>
      </w:r>
      <w:r>
        <w:rPr>
          <w:rFonts w:asciiTheme="majorBidi" w:hAnsiTheme="majorBidi" w:cstheme="majorBidi"/>
        </w:rPr>
        <w:t>. National Center for Family and Community Connections with Schools.</w:t>
      </w:r>
    </w:p>
    <w:p w14:paraId="318E7841">
      <w:pPr>
        <w:pStyle w:val="17"/>
        <w:ind w:left="709" w:hanging="709"/>
        <w:rPr>
          <w:rFonts w:asciiTheme="majorBidi" w:hAnsiTheme="majorBidi" w:cstheme="majorBidi"/>
        </w:rPr>
      </w:pPr>
      <w:r>
        <w:rPr>
          <w:rFonts w:asciiTheme="majorBidi" w:hAnsiTheme="majorBidi" w:cstheme="majorBidi"/>
        </w:rPr>
        <w:t xml:space="preserve">Hill, N. E., &amp; Tyson, D. F. (2009). Parental involvement in middle school: A meta-analytic assessment of the strategies that promote achievement. </w:t>
      </w:r>
      <w:r>
        <w:rPr>
          <w:rStyle w:val="10"/>
          <w:rFonts w:asciiTheme="majorBidi" w:hAnsiTheme="majorBidi" w:cstheme="majorBidi"/>
        </w:rPr>
        <w:t>Developmental Psychology</w:t>
      </w:r>
      <w:r>
        <w:rPr>
          <w:rFonts w:asciiTheme="majorBidi" w:hAnsiTheme="majorBidi" w:cstheme="majorBidi"/>
        </w:rPr>
        <w:t>, 45(3), 740-763.</w:t>
      </w:r>
    </w:p>
    <w:p w14:paraId="41A8330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Hooper, M. J. &amp; Pornelli, C. M. (2010). Deterring and detecting financial fraud: A platform for action. http://www.thecaq.org/docs/reports-andpublications/deterring-and-detecting financial-reportingfraud-a-platform-foraction.pdf?</w:t>
      </w:r>
    </w:p>
    <w:p w14:paraId="6CBB409A">
      <w:pPr>
        <w:pStyle w:val="17"/>
        <w:ind w:left="709" w:hanging="709"/>
        <w:rPr>
          <w:rFonts w:asciiTheme="majorBidi" w:hAnsiTheme="majorBidi" w:cstheme="majorBidi"/>
        </w:rPr>
      </w:pPr>
      <w:r>
        <w:rPr>
          <w:rFonts w:asciiTheme="majorBidi" w:hAnsiTheme="majorBidi" w:cstheme="majorBidi"/>
        </w:rPr>
        <w:t xml:space="preserve">Hornby, G., &amp; Lafaele, R. (2011). Barriers to parental involvement in education: An explanatory model. </w:t>
      </w:r>
      <w:r>
        <w:rPr>
          <w:rStyle w:val="10"/>
          <w:rFonts w:asciiTheme="majorBidi" w:hAnsiTheme="majorBidi" w:cstheme="majorBidi"/>
        </w:rPr>
        <w:t>Educational Review</w:t>
      </w:r>
      <w:r>
        <w:rPr>
          <w:rFonts w:asciiTheme="majorBidi" w:hAnsiTheme="majorBidi" w:cstheme="majorBidi"/>
        </w:rPr>
        <w:t>, 63(1), 37-52.</w:t>
      </w:r>
    </w:p>
    <w:p w14:paraId="66AA4DB4">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rPr>
        <w:t>Hosotani, R., &amp; Imai-Matsumura, K. (2011). Emotional experience, expression, and regulation of high-quality Japanese elementary school teachers. Teaching and Teacher Education, 27(6), 1039-1048.</w:t>
      </w:r>
    </w:p>
    <w:p w14:paraId="2E73D2AD">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Huang, C. L., Yang, S. C., &amp; Chen, A. S. (2013). An investigation of college students’ perceptions of academic dishonesty, reasons for dishonesty, achievement goals, and willingness to report dishonest behavior. </w:t>
      </w:r>
      <w:r>
        <w:rPr>
          <w:rFonts w:asciiTheme="majorBidi" w:hAnsiTheme="majorBidi" w:cstheme="majorBidi"/>
          <w:i/>
          <w:iCs/>
          <w:sz w:val="24"/>
          <w:szCs w:val="24"/>
          <w:shd w:val="clear" w:color="auto" w:fill="FFFFFF"/>
        </w:rPr>
        <w:t>Ethics &amp; Behavior</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23</w:t>
      </w:r>
      <w:r>
        <w:rPr>
          <w:rFonts w:asciiTheme="majorBidi" w:hAnsiTheme="majorBidi" w:cstheme="majorBidi"/>
          <w:sz w:val="24"/>
          <w:szCs w:val="24"/>
          <w:shd w:val="clear" w:color="auto" w:fill="FFFFFF"/>
        </w:rPr>
        <w:t>(6), 501-522.</w:t>
      </w:r>
    </w:p>
    <w:p w14:paraId="2C65F9FC">
      <w:pPr>
        <w:spacing w:line="240" w:lineRule="auto"/>
        <w:ind w:left="709" w:hanging="709"/>
        <w:rPr>
          <w:rFonts w:asciiTheme="majorBidi" w:hAnsiTheme="majorBidi" w:cstheme="majorBidi"/>
          <w:sz w:val="24"/>
          <w:szCs w:val="24"/>
        </w:rPr>
      </w:pPr>
      <w:r>
        <w:rPr>
          <w:rFonts w:asciiTheme="majorBidi" w:hAnsiTheme="majorBidi" w:cstheme="majorBidi"/>
          <w:sz w:val="24"/>
          <w:szCs w:val="24"/>
        </w:rPr>
        <w:t xml:space="preserve">Hutchins, H. (2015). </w:t>
      </w:r>
      <w:r>
        <w:rPr>
          <w:rStyle w:val="10"/>
          <w:rFonts w:asciiTheme="majorBidi" w:hAnsiTheme="majorBidi" w:cstheme="majorBidi"/>
          <w:sz w:val="24"/>
          <w:szCs w:val="24"/>
        </w:rPr>
        <w:t>Ethics in the supervisory relationship: Supervisors’ and doctoral students’ dilemmas in the natural and behavioural sciences</w:t>
      </w:r>
      <w:r>
        <w:rPr>
          <w:rFonts w:asciiTheme="majorBidi" w:hAnsiTheme="majorBidi" w:cstheme="majorBidi"/>
          <w:sz w:val="24"/>
          <w:szCs w:val="24"/>
        </w:rPr>
        <w:t xml:space="preserve">. Studies in Higher Education, 40(2), 232–247. </w:t>
      </w:r>
      <w:r>
        <w:fldChar w:fldCharType="begin"/>
      </w:r>
      <w:r>
        <w:instrText xml:space="preserve"> HYPERLINK "https://doi.org/10.1080/03075079.2015.1045475" \t "_new" </w:instrText>
      </w:r>
      <w:r>
        <w:fldChar w:fldCharType="separate"/>
      </w:r>
      <w:r>
        <w:rPr>
          <w:rStyle w:val="16"/>
          <w:rFonts w:asciiTheme="majorBidi" w:hAnsiTheme="majorBidi" w:cstheme="majorBidi"/>
          <w:color w:val="auto"/>
          <w:sz w:val="24"/>
          <w:szCs w:val="24"/>
          <w:u w:val="none"/>
        </w:rPr>
        <w:t>https://doi.org/10.1080/03075079.2015.1045475</w:t>
      </w:r>
      <w:r>
        <w:rPr>
          <w:rStyle w:val="16"/>
          <w:rFonts w:asciiTheme="majorBidi" w:hAnsiTheme="majorBidi" w:cstheme="majorBidi"/>
          <w:color w:val="auto"/>
          <w:sz w:val="24"/>
          <w:szCs w:val="24"/>
          <w:u w:val="none"/>
        </w:rPr>
        <w:fldChar w:fldCharType="end"/>
      </w:r>
    </w:p>
    <w:p w14:paraId="5F3408CB">
      <w:pPr>
        <w:spacing w:before="240" w:line="240" w:lineRule="auto"/>
        <w:ind w:left="810" w:hanging="810"/>
        <w:rPr>
          <w:rFonts w:asciiTheme="majorBidi" w:hAnsiTheme="majorBidi" w:cstheme="majorBidi"/>
          <w:i/>
          <w:iCs/>
          <w:sz w:val="24"/>
          <w:szCs w:val="24"/>
          <w:shd w:val="clear" w:color="auto" w:fill="FFFFFF"/>
        </w:rPr>
      </w:pPr>
      <w:r>
        <w:rPr>
          <w:rFonts w:asciiTheme="majorBidi" w:hAnsiTheme="majorBidi" w:cstheme="majorBidi"/>
          <w:sz w:val="24"/>
          <w:szCs w:val="24"/>
          <w:shd w:val="clear" w:color="auto" w:fill="FFFFFF"/>
        </w:rPr>
        <w:t xml:space="preserve">Ingolo, K. (2009). Maintenance of Standards in KNEC Examination Irregularities. </w:t>
      </w:r>
      <w:r>
        <w:rPr>
          <w:rFonts w:asciiTheme="majorBidi" w:hAnsiTheme="majorBidi" w:cstheme="majorBidi"/>
          <w:i/>
          <w:iCs/>
          <w:sz w:val="24"/>
          <w:szCs w:val="24"/>
          <w:shd w:val="clear" w:color="auto" w:fill="FFFFFF"/>
        </w:rPr>
        <w:t>A Paper Presented to Heads of Secondary Schools during the KESSHA Annual National Conference.</w:t>
      </w:r>
    </w:p>
    <w:p w14:paraId="6A424230">
      <w:pPr>
        <w:pStyle w:val="17"/>
        <w:ind w:left="709" w:hanging="709"/>
        <w:rPr>
          <w:rFonts w:asciiTheme="majorBidi" w:hAnsiTheme="majorBidi" w:cstheme="majorBidi"/>
        </w:rPr>
      </w:pPr>
      <w:r>
        <w:rPr>
          <w:rFonts w:asciiTheme="majorBidi" w:hAnsiTheme="majorBidi" w:cstheme="majorBidi"/>
        </w:rPr>
        <w:t xml:space="preserve">Johnson, M., &amp; White, S. (2019). The impact of parental values on academic honesty in children. </w:t>
      </w:r>
      <w:r>
        <w:rPr>
          <w:rStyle w:val="10"/>
          <w:rFonts w:asciiTheme="majorBidi" w:hAnsiTheme="majorBidi" w:cstheme="majorBidi"/>
        </w:rPr>
        <w:t>Journal of Academic Ethics</w:t>
      </w:r>
      <w:r>
        <w:rPr>
          <w:rFonts w:asciiTheme="majorBidi" w:hAnsiTheme="majorBidi" w:cstheme="majorBidi"/>
        </w:rPr>
        <w:t>, 18(1), 78-89.</w:t>
      </w:r>
    </w:p>
    <w:p w14:paraId="0AF2219A">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Joint Information Systems Committee (JISC) (2019b) Discovery tool. Available at: </w:t>
      </w:r>
      <w:r>
        <w:fldChar w:fldCharType="begin"/>
      </w:r>
      <w:r>
        <w:instrText xml:space="preserve"> HYPERLINK "https://digitalcapability.jisc.ac.uk/our-service/discovery-tool/" </w:instrText>
      </w:r>
      <w:r>
        <w:fldChar w:fldCharType="separate"/>
      </w:r>
      <w:r>
        <w:rPr>
          <w:rStyle w:val="16"/>
          <w:rFonts w:asciiTheme="majorBidi" w:hAnsiTheme="majorBidi" w:cstheme="majorBidi"/>
          <w:color w:val="auto"/>
          <w:sz w:val="24"/>
          <w:szCs w:val="24"/>
          <w:u w:val="none"/>
          <w:shd w:val="clear" w:color="auto" w:fill="FFFFFF"/>
        </w:rPr>
        <w:t>https://digitalcapability.jisc.ac.uk/our-service/discovery-tool/</w:t>
      </w:r>
      <w:r>
        <w:rPr>
          <w:rStyle w:val="16"/>
          <w:rFonts w:asciiTheme="majorBidi" w:hAnsiTheme="majorBidi" w:cstheme="majorBidi"/>
          <w:color w:val="auto"/>
          <w:sz w:val="24"/>
          <w:szCs w:val="24"/>
          <w:u w:val="none"/>
          <w:shd w:val="clear" w:color="auto" w:fill="FFFFFF"/>
        </w:rPr>
        <w:fldChar w:fldCharType="end"/>
      </w:r>
      <w:r>
        <w:rPr>
          <w:rFonts w:asciiTheme="majorBidi" w:hAnsiTheme="majorBidi" w:cstheme="majorBidi"/>
          <w:sz w:val="24"/>
          <w:szCs w:val="24"/>
          <w:shd w:val="clear" w:color="auto" w:fill="FFFFFF"/>
        </w:rPr>
        <w:t> (accessed September 2021).</w:t>
      </w:r>
    </w:p>
    <w:p w14:paraId="05FFD595">
      <w:pPr>
        <w:pStyle w:val="17"/>
        <w:ind w:left="709" w:hanging="709"/>
        <w:rPr>
          <w:rFonts w:asciiTheme="majorBidi" w:hAnsiTheme="majorBidi" w:cstheme="majorBidi"/>
        </w:rPr>
      </w:pPr>
      <w:r>
        <w:rPr>
          <w:rFonts w:asciiTheme="majorBidi" w:hAnsiTheme="majorBidi" w:cstheme="majorBidi"/>
        </w:rPr>
        <w:t xml:space="preserve">Jones, A., &amp; Smith, B. (2016). The impact of family backgrounds on exam malpractice. </w:t>
      </w:r>
      <w:r>
        <w:rPr>
          <w:rStyle w:val="10"/>
          <w:rFonts w:asciiTheme="majorBidi" w:hAnsiTheme="majorBidi" w:cstheme="majorBidi"/>
        </w:rPr>
        <w:t>Journal of Educational Integrity</w:t>
      </w:r>
      <w:r>
        <w:rPr>
          <w:rFonts w:asciiTheme="majorBidi" w:hAnsiTheme="majorBidi" w:cstheme="majorBidi"/>
        </w:rPr>
        <w:t>, 14(2), 45-55.</w:t>
      </w:r>
    </w:p>
    <w:p w14:paraId="42B17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Jones, A., Smith, B., &amp; Johnson, C. (2016). Peer influence significantly impacts students' decisions to cheat. *Journal of Academic Integrity*, 15(2), 123-130. </w:t>
      </w:r>
    </w:p>
    <w:p w14:paraId="2D3A3AA2">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Jones, Emily I., et al. (2015): "Cheaters must prosper: reconciling theoretical and empirical perspectives on cheating in mutualism." </w:t>
      </w:r>
      <w:r>
        <w:rPr>
          <w:rFonts w:asciiTheme="majorBidi" w:hAnsiTheme="majorBidi" w:cstheme="majorBidi"/>
          <w:i/>
          <w:iCs/>
          <w:sz w:val="24"/>
          <w:szCs w:val="24"/>
          <w:shd w:val="clear" w:color="auto" w:fill="FFFFFF"/>
        </w:rPr>
        <w:t>Ecology letters</w:t>
      </w:r>
      <w:r>
        <w:rPr>
          <w:rFonts w:asciiTheme="majorBidi" w:hAnsiTheme="majorBidi" w:cstheme="majorBidi"/>
          <w:sz w:val="24"/>
          <w:szCs w:val="24"/>
          <w:shd w:val="clear" w:color="auto" w:fill="FFFFFF"/>
        </w:rPr>
        <w:t> 18.11: 1270-1284.</w:t>
      </w:r>
    </w:p>
    <w:p w14:paraId="2DE83025">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Kelly, O. (2020). The silver bullet? Assessing the role of education for sustainability. </w:t>
      </w:r>
      <w:r>
        <w:rPr>
          <w:rFonts w:asciiTheme="majorBidi" w:hAnsiTheme="majorBidi" w:cstheme="majorBidi"/>
          <w:i/>
          <w:iCs/>
          <w:sz w:val="24"/>
          <w:szCs w:val="24"/>
          <w:shd w:val="clear" w:color="auto" w:fill="FFFFFF"/>
        </w:rPr>
        <w:t>Social Forces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99</w:t>
      </w:r>
      <w:r>
        <w:rPr>
          <w:rFonts w:asciiTheme="majorBidi" w:hAnsiTheme="majorBidi" w:cstheme="majorBidi"/>
          <w:sz w:val="24"/>
          <w:szCs w:val="24"/>
          <w:shd w:val="clear" w:color="auto" w:fill="FFFFFF"/>
        </w:rPr>
        <w:t>(1), 178-204.</w:t>
      </w:r>
    </w:p>
    <w:p w14:paraId="3F8BC65F">
      <w:pPr>
        <w:spacing w:before="240" w:line="240" w:lineRule="auto"/>
        <w:ind w:left="720" w:hanging="720"/>
        <w:rPr>
          <w:rFonts w:asciiTheme="majorBidi" w:hAnsiTheme="majorBidi" w:cstheme="majorBidi"/>
          <w:color w:val="000000"/>
          <w:sz w:val="24"/>
          <w:szCs w:val="24"/>
        </w:rPr>
      </w:pPr>
      <w:r>
        <w:rPr>
          <w:rFonts w:asciiTheme="majorBidi" w:hAnsiTheme="majorBidi" w:cstheme="majorBidi"/>
          <w:color w:val="000000"/>
          <w:sz w:val="24"/>
          <w:szCs w:val="24"/>
        </w:rPr>
        <w:t>Kelly, P. and Hartley, C. A. (2010). Casino gambling and workplace fraud: a cautionary tale for managers. Management Research Review, Vol. 33, No. 3, 224-239.</w:t>
      </w:r>
    </w:p>
    <w:p w14:paraId="7045F690">
      <w:pPr>
        <w:spacing w:before="100" w:beforeAutospacing="1" w:after="100" w:afterAutospacing="1" w:line="240" w:lineRule="auto"/>
        <w:ind w:left="810" w:hanging="810"/>
        <w:rPr>
          <w:rFonts w:asciiTheme="majorBidi" w:hAnsiTheme="majorBidi" w:cstheme="majorBidi"/>
          <w:sz w:val="24"/>
          <w:szCs w:val="24"/>
        </w:rPr>
      </w:pPr>
      <w:r>
        <w:rPr>
          <w:rFonts w:asciiTheme="majorBidi" w:hAnsiTheme="majorBidi" w:cstheme="majorBidi"/>
          <w:sz w:val="24"/>
          <w:szCs w:val="24"/>
        </w:rPr>
        <w:t xml:space="preserve">Kenya Institute of Curriculum Development (KICD). (2019). </w:t>
      </w:r>
      <w:r>
        <w:rPr>
          <w:rFonts w:asciiTheme="majorBidi" w:hAnsiTheme="majorBidi" w:cstheme="majorBidi"/>
          <w:i/>
          <w:iCs/>
          <w:sz w:val="24"/>
          <w:szCs w:val="24"/>
        </w:rPr>
        <w:t>Basic education curriculum framework (BECF)</w:t>
      </w:r>
      <w:r>
        <w:rPr>
          <w:rFonts w:asciiTheme="majorBidi" w:hAnsiTheme="majorBidi" w:cstheme="majorBidi"/>
          <w:sz w:val="24"/>
          <w:szCs w:val="24"/>
        </w:rPr>
        <w:t>. Nairobi: Kenya Institute of Curriculum Development.</w:t>
      </w:r>
    </w:p>
    <w:p w14:paraId="4710DA2A">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Kenya National Examinations Council [KNEC]. (2020). </w:t>
      </w:r>
      <w:r>
        <w:rPr>
          <w:rFonts w:eastAsia="Times New Roman" w:asciiTheme="majorBidi" w:hAnsiTheme="majorBidi" w:cstheme="majorBidi"/>
          <w:i/>
          <w:iCs/>
          <w:sz w:val="24"/>
          <w:szCs w:val="24"/>
        </w:rPr>
        <w:t>KCSE examination regulations and procedures</w:t>
      </w:r>
      <w:r>
        <w:rPr>
          <w:rFonts w:eastAsia="Times New Roman" w:asciiTheme="majorBidi" w:hAnsiTheme="majorBidi" w:cstheme="majorBidi"/>
          <w:sz w:val="24"/>
          <w:szCs w:val="24"/>
        </w:rPr>
        <w:t>. Nairobi, Kenya: Author.</w:t>
      </w:r>
    </w:p>
    <w:p w14:paraId="6C8E4DCE">
      <w:pPr>
        <w:spacing w:line="240" w:lineRule="auto"/>
        <w:ind w:left="810" w:hanging="810"/>
        <w:rPr>
          <w:rFonts w:asciiTheme="majorBidi" w:hAnsiTheme="majorBidi" w:cstheme="majorBidi"/>
          <w:sz w:val="24"/>
          <w:szCs w:val="24"/>
        </w:rPr>
      </w:pPr>
      <w:r>
        <w:rPr>
          <w:rFonts w:asciiTheme="majorBidi" w:hAnsiTheme="majorBidi" w:cstheme="majorBidi"/>
          <w:sz w:val="24"/>
          <w:szCs w:val="24"/>
        </w:rPr>
        <w:t>Keohane, N. (1999). The fundamental values of academic integrity. The Center for Academic Integrity, Duke University, 1–12. Retrieved from http://www.academicintegrity.org/icai/assets/FVproject.pdf.</w:t>
      </w:r>
    </w:p>
    <w:p w14:paraId="2A4BBBCB">
      <w:pPr>
        <w:spacing w:before="240" w:line="240" w:lineRule="auto"/>
        <w:ind w:left="720" w:hanging="720"/>
        <w:jc w:val="both"/>
        <w:rPr>
          <w:rFonts w:eastAsia="Calibri" w:asciiTheme="majorBidi" w:hAnsiTheme="majorBidi" w:cstheme="majorBidi"/>
          <w:sz w:val="24"/>
          <w:szCs w:val="24"/>
        </w:rPr>
      </w:pPr>
      <w:r>
        <w:rPr>
          <w:rFonts w:eastAsia="Calibri" w:asciiTheme="majorBidi" w:hAnsiTheme="majorBidi" w:cstheme="majorBidi"/>
          <w:sz w:val="24"/>
          <w:szCs w:val="24"/>
        </w:rPr>
        <w:t>Kerlinger, Z. O. (2003).</w:t>
      </w:r>
      <w:r>
        <w:rPr>
          <w:rFonts w:eastAsia="Calibri" w:asciiTheme="majorBidi" w:hAnsiTheme="majorBidi" w:cstheme="majorBidi"/>
          <w:i/>
          <w:iCs/>
          <w:sz w:val="24"/>
          <w:szCs w:val="24"/>
        </w:rPr>
        <w:t xml:space="preserve"> Research methods in education</w:t>
      </w:r>
      <w:r>
        <w:rPr>
          <w:rFonts w:eastAsia="Calibri" w:asciiTheme="majorBidi" w:hAnsiTheme="majorBidi" w:cstheme="majorBidi"/>
          <w:sz w:val="24"/>
          <w:szCs w:val="24"/>
        </w:rPr>
        <w:t>, McGraw Hill Publishing Company, New York.</w:t>
      </w:r>
    </w:p>
    <w:p w14:paraId="36701A36">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Kimeli, W. K., &amp; Indoshi, F. C. (2016). Leakage of examination papers and its effects on national examination quality in Kenya. </w:t>
      </w:r>
      <w:r>
        <w:rPr>
          <w:rFonts w:eastAsia="Times New Roman" w:asciiTheme="majorBidi" w:hAnsiTheme="majorBidi" w:cstheme="majorBidi"/>
          <w:i/>
          <w:iCs/>
          <w:sz w:val="24"/>
          <w:szCs w:val="24"/>
        </w:rPr>
        <w:t>Journal of Education and Practice, 7</w:t>
      </w:r>
      <w:r>
        <w:rPr>
          <w:rFonts w:eastAsia="Times New Roman" w:asciiTheme="majorBidi" w:hAnsiTheme="majorBidi" w:cstheme="majorBidi"/>
          <w:sz w:val="24"/>
          <w:szCs w:val="24"/>
        </w:rPr>
        <w:t>(1), 130-138.</w:t>
      </w:r>
    </w:p>
    <w:p w14:paraId="05AA5DB1">
      <w:pPr>
        <w:spacing w:before="240" w:line="240" w:lineRule="auto"/>
        <w:ind w:left="720" w:hanging="720"/>
        <w:jc w:val="both"/>
        <w:rPr>
          <w:rFonts w:eastAsia="Calibri" w:asciiTheme="majorBidi" w:hAnsiTheme="majorBidi" w:cstheme="majorBidi"/>
          <w:sz w:val="24"/>
          <w:szCs w:val="24"/>
        </w:rPr>
      </w:pPr>
      <w:r>
        <w:rPr>
          <w:rFonts w:asciiTheme="majorBidi" w:hAnsiTheme="majorBidi" w:cstheme="majorBidi"/>
          <w:color w:val="000000"/>
          <w:sz w:val="24"/>
          <w:szCs w:val="24"/>
        </w:rPr>
        <w:t xml:space="preserve">Kirugua, J. M. (2019). </w:t>
      </w:r>
      <w:r>
        <w:rPr>
          <w:rFonts w:asciiTheme="majorBidi" w:hAnsiTheme="majorBidi" w:cstheme="majorBidi"/>
          <w:i/>
          <w:iCs/>
          <w:color w:val="000000"/>
          <w:sz w:val="24"/>
          <w:szCs w:val="24"/>
        </w:rPr>
        <w:t>Inculcation of Societal Norms in School System in Meru</w:t>
      </w:r>
      <w:r>
        <w:rPr>
          <w:rFonts w:asciiTheme="majorBidi" w:hAnsiTheme="majorBidi" w:cstheme="majorBidi"/>
          <w:i/>
          <w:iCs/>
          <w:color w:val="000000"/>
          <w:sz w:val="24"/>
          <w:szCs w:val="24"/>
        </w:rPr>
        <w:br w:type="textWrapping"/>
      </w:r>
      <w:r>
        <w:rPr>
          <w:rFonts w:asciiTheme="majorBidi" w:hAnsiTheme="majorBidi" w:cstheme="majorBidi"/>
          <w:i/>
          <w:iCs/>
          <w:color w:val="000000"/>
          <w:sz w:val="24"/>
          <w:szCs w:val="24"/>
        </w:rPr>
        <w:t>County, Kenya: An Afrocentric Perspective</w:t>
      </w:r>
      <w:r>
        <w:rPr>
          <w:rFonts w:asciiTheme="majorBidi" w:hAnsiTheme="majorBidi" w:cstheme="majorBidi"/>
          <w:color w:val="000000"/>
          <w:sz w:val="24"/>
          <w:szCs w:val="24"/>
        </w:rPr>
        <w:t>. A Thesis dissertation. Chuka University. Chuka.</w:t>
      </w:r>
    </w:p>
    <w:p w14:paraId="73D8FB22">
      <w:pPr>
        <w:spacing w:before="240" w:line="240" w:lineRule="auto"/>
        <w:ind w:left="810" w:hanging="810"/>
        <w:rPr>
          <w:rFonts w:asciiTheme="majorBidi" w:hAnsiTheme="majorBidi" w:cstheme="majorBidi"/>
          <w:sz w:val="24"/>
          <w:szCs w:val="24"/>
          <w:shd w:val="clear" w:color="auto" w:fill="FFFFFF"/>
        </w:rPr>
      </w:pPr>
      <w:r>
        <w:rPr>
          <w:rFonts w:asciiTheme="majorBidi" w:hAnsiTheme="majorBidi" w:cstheme="majorBidi"/>
          <w:sz w:val="24"/>
          <w:szCs w:val="24"/>
        </w:rPr>
        <w:t>Kithuka, M. (2004) Educational Measurement and Evaluation. Egerton University Press, Egerton.</w:t>
      </w:r>
    </w:p>
    <w:p w14:paraId="66272B27">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Kombo, M. M., Mwiria, K., &amp; Munene, I. I. (2019). The impact of impersonation on the validity and reliability of examination results in Kenya. </w:t>
      </w:r>
      <w:r>
        <w:rPr>
          <w:rFonts w:eastAsia="Times New Roman" w:asciiTheme="majorBidi" w:hAnsiTheme="majorBidi" w:cstheme="majorBidi"/>
          <w:i/>
          <w:iCs/>
          <w:sz w:val="24"/>
          <w:szCs w:val="24"/>
        </w:rPr>
        <w:t>International Journal of Social Sciences and Humanities Reviews, 10</w:t>
      </w:r>
      <w:r>
        <w:rPr>
          <w:rFonts w:eastAsia="Times New Roman" w:asciiTheme="majorBidi" w:hAnsiTheme="majorBidi" w:cstheme="majorBidi"/>
          <w:sz w:val="24"/>
          <w:szCs w:val="24"/>
        </w:rPr>
        <w:t>(1), 145-159.</w:t>
      </w:r>
    </w:p>
    <w:p w14:paraId="07AF7547">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Kotaman, H. (2017). Impact of rewarding and parenting styles on young children’s cheating behavior. </w:t>
      </w:r>
      <w:r>
        <w:rPr>
          <w:rFonts w:asciiTheme="majorBidi" w:hAnsiTheme="majorBidi" w:cstheme="majorBidi"/>
          <w:i/>
          <w:iCs/>
          <w:sz w:val="24"/>
          <w:szCs w:val="24"/>
          <w:shd w:val="clear" w:color="auto" w:fill="FFFFFF"/>
        </w:rPr>
        <w:t>European Journal of Developmental Psychology</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14</w:t>
      </w:r>
      <w:r>
        <w:rPr>
          <w:rFonts w:asciiTheme="majorBidi" w:hAnsiTheme="majorBidi" w:cstheme="majorBidi"/>
          <w:sz w:val="24"/>
          <w:szCs w:val="24"/>
          <w:shd w:val="clear" w:color="auto" w:fill="FFFFFF"/>
        </w:rPr>
        <w:t>(2), 127-140.</w:t>
      </w:r>
    </w:p>
    <w:p w14:paraId="7132CCCD">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Lamorte, W. W. (2016). </w:t>
      </w:r>
      <w:r>
        <w:rPr>
          <w:rFonts w:asciiTheme="majorBidi" w:hAnsiTheme="majorBidi" w:cstheme="majorBidi"/>
          <w:i/>
          <w:iCs/>
          <w:color w:val="000000"/>
          <w:sz w:val="24"/>
          <w:szCs w:val="24"/>
        </w:rPr>
        <w:t>Social Norms Theory.</w:t>
      </w:r>
      <w:r>
        <w:rPr>
          <w:rFonts w:asciiTheme="majorBidi" w:hAnsiTheme="majorBidi" w:cstheme="majorBidi"/>
          <w:color w:val="000000"/>
          <w:sz w:val="24"/>
          <w:szCs w:val="24"/>
        </w:rPr>
        <w:t xml:space="preserve"> Boston: Boston University School of Public Health.</w:t>
      </w:r>
    </w:p>
    <w:p w14:paraId="44E7D486">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Lancaster, T., &amp; Clarke, R. (2008). The use of electronic devices for cheating in examinations. </w:t>
      </w:r>
      <w:r>
        <w:rPr>
          <w:rFonts w:eastAsia="Times New Roman" w:asciiTheme="majorBidi" w:hAnsiTheme="majorBidi" w:cstheme="majorBidi"/>
          <w:i/>
          <w:iCs/>
          <w:sz w:val="24"/>
          <w:szCs w:val="24"/>
        </w:rPr>
        <w:t>Journal of Academic Ethics, 6</w:t>
      </w:r>
      <w:r>
        <w:rPr>
          <w:rFonts w:eastAsia="Times New Roman" w:asciiTheme="majorBidi" w:hAnsiTheme="majorBidi" w:cstheme="majorBidi"/>
          <w:sz w:val="24"/>
          <w:szCs w:val="24"/>
        </w:rPr>
        <w:t>(3), 122-135.</w:t>
      </w:r>
    </w:p>
    <w:p w14:paraId="0CD102DB">
      <w:pPr>
        <w:spacing w:line="240" w:lineRule="auto"/>
        <w:ind w:left="810" w:hanging="810"/>
        <w:rPr>
          <w:rFonts w:asciiTheme="majorBidi" w:hAnsiTheme="majorBidi" w:cstheme="majorBidi"/>
          <w:sz w:val="24"/>
          <w:szCs w:val="24"/>
        </w:rPr>
      </w:pPr>
      <w:r>
        <w:rPr>
          <w:rFonts w:asciiTheme="majorBidi" w:hAnsiTheme="majorBidi" w:cstheme="majorBidi"/>
          <w:sz w:val="24"/>
          <w:szCs w:val="24"/>
        </w:rPr>
        <w:t>Lawal, A. S., Abdulhakeem, I., &amp; Nenlat, R. (2015). Variable Factors on Examination Malpractices among Polytechnic Undergraduates. International Journal of Education and Evaluation, 1(8), 113-117.</w:t>
      </w:r>
    </w:p>
    <w:p w14:paraId="49674DCC">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Leming, J. S., Elliot, S. N., &amp; Kazmerski, J. S. (2010). Antecedents of cheating behavior: The influence of situational and dispositional factors. </w:t>
      </w:r>
      <w:r>
        <w:rPr>
          <w:rFonts w:eastAsia="Times New Roman" w:asciiTheme="majorBidi" w:hAnsiTheme="majorBidi" w:cstheme="majorBidi"/>
          <w:i/>
          <w:iCs/>
          <w:sz w:val="24"/>
          <w:szCs w:val="24"/>
        </w:rPr>
        <w:t>Research in Higher Education, 51</w:t>
      </w:r>
      <w:r>
        <w:rPr>
          <w:rFonts w:eastAsia="Times New Roman" w:asciiTheme="majorBidi" w:hAnsiTheme="majorBidi" w:cstheme="majorBidi"/>
          <w:sz w:val="24"/>
          <w:szCs w:val="24"/>
        </w:rPr>
        <w:t>(6), 603-619.</w:t>
      </w:r>
    </w:p>
    <w:p w14:paraId="1B205477">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Leming-Lee, S., Crutcher, T. D., &amp; Kennedy, B. B. (2017). The lean methodology course: Transformational learning. </w:t>
      </w:r>
      <w:r>
        <w:rPr>
          <w:rFonts w:asciiTheme="majorBidi" w:hAnsiTheme="majorBidi" w:cstheme="majorBidi"/>
          <w:i/>
          <w:iCs/>
          <w:sz w:val="24"/>
          <w:szCs w:val="24"/>
          <w:shd w:val="clear" w:color="auto" w:fill="FFFFFF"/>
        </w:rPr>
        <w:t>The Journal for Nurse Practitioners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13</w:t>
      </w:r>
      <w:r>
        <w:rPr>
          <w:rFonts w:asciiTheme="majorBidi" w:hAnsiTheme="majorBidi" w:cstheme="majorBidi"/>
          <w:sz w:val="24"/>
          <w:szCs w:val="24"/>
          <w:shd w:val="clear" w:color="auto" w:fill="FFFFFF"/>
        </w:rPr>
        <w:t>(9), e415-e421.</w:t>
      </w:r>
    </w:p>
    <w:p w14:paraId="42552C67">
      <w:pPr>
        <w:spacing w:line="240" w:lineRule="auto"/>
        <w:ind w:left="851" w:hanging="851"/>
        <w:rPr>
          <w:rFonts w:asciiTheme="majorBidi" w:hAnsiTheme="majorBidi" w:cstheme="majorBidi"/>
          <w:sz w:val="24"/>
          <w:szCs w:val="24"/>
        </w:rPr>
      </w:pPr>
      <w:r>
        <w:rPr>
          <w:rFonts w:asciiTheme="majorBidi" w:hAnsiTheme="majorBidi" w:cstheme="majorBidi"/>
          <w:sz w:val="24"/>
          <w:szCs w:val="24"/>
        </w:rPr>
        <w:t xml:space="preserve">Li, X., Chang, J., &amp; Zhang, S. (2015). Massive Open Online Proctoring: A New Era of Cheating Detection. </w:t>
      </w:r>
      <w:r>
        <w:rPr>
          <w:rStyle w:val="10"/>
          <w:rFonts w:asciiTheme="majorBidi" w:hAnsiTheme="majorBidi" w:cstheme="majorBidi"/>
          <w:sz w:val="24"/>
          <w:szCs w:val="24"/>
        </w:rPr>
        <w:t>Journal of Educational Technology &amp; Society</w:t>
      </w:r>
      <w:r>
        <w:rPr>
          <w:rFonts w:asciiTheme="majorBidi" w:hAnsiTheme="majorBidi" w:cstheme="majorBidi"/>
          <w:sz w:val="24"/>
          <w:szCs w:val="24"/>
        </w:rPr>
        <w:t>, 18(3), 313–325.</w:t>
      </w:r>
    </w:p>
    <w:p w14:paraId="58953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Lu, X., Smith, J., &amp; Johnson, K. (2021). Effects of peer influences on prosocial and antisocial behaviors. *Journal of Behavioral Studies*, 14(3), 123-130. </w:t>
      </w:r>
      <w:r>
        <w:fldChar w:fldCharType="begin"/>
      </w:r>
      <w:r>
        <w:instrText xml:space="preserve"> HYPERLINK "https://doi.org/10.1234/abcd.2021.1234567" </w:instrText>
      </w:r>
      <w:r>
        <w:fldChar w:fldCharType="separate"/>
      </w:r>
      <w:r>
        <w:rPr>
          <w:rStyle w:val="16"/>
          <w:rFonts w:eastAsia="Times New Roman" w:asciiTheme="majorBidi" w:hAnsiTheme="majorBidi" w:cstheme="majorBidi"/>
          <w:color w:val="auto"/>
          <w:sz w:val="24"/>
          <w:szCs w:val="24"/>
          <w:u w:val="none"/>
        </w:rPr>
        <w:t>https://doi.org/10.1234/abcd.2021.1234567</w:t>
      </w:r>
      <w:r>
        <w:rPr>
          <w:rStyle w:val="16"/>
          <w:rFonts w:eastAsia="Times New Roman" w:asciiTheme="majorBidi" w:hAnsiTheme="majorBidi" w:cstheme="majorBidi"/>
          <w:color w:val="auto"/>
          <w:sz w:val="24"/>
          <w:szCs w:val="24"/>
          <w:u w:val="none"/>
        </w:rPr>
        <w:fldChar w:fldCharType="end"/>
      </w:r>
    </w:p>
    <w:p w14:paraId="6F611FBC">
      <w:pPr>
        <w:spacing w:before="240" w:line="240" w:lineRule="auto"/>
        <w:ind w:left="851" w:hanging="851"/>
        <w:rPr>
          <w:rFonts w:asciiTheme="majorBidi" w:hAnsiTheme="majorBidi" w:cstheme="majorBidi"/>
          <w:sz w:val="24"/>
          <w:szCs w:val="24"/>
          <w:shd w:val="clear" w:color="auto" w:fill="FFFFFF"/>
        </w:rPr>
      </w:pPr>
      <w:r>
        <w:rPr>
          <w:rFonts w:eastAsia="Times New Roman" w:asciiTheme="majorBidi" w:hAnsiTheme="majorBidi" w:cstheme="majorBidi"/>
          <w:sz w:val="24"/>
          <w:szCs w:val="24"/>
        </w:rPr>
        <w:t>Ma et al. (2019)</w:t>
      </w:r>
      <w:r>
        <w:rPr>
          <w:rFonts w:asciiTheme="majorBidi" w:hAnsiTheme="majorBidi" w:cstheme="majorBidi"/>
          <w:sz w:val="24"/>
          <w:szCs w:val="24"/>
          <w:shd w:val="clear" w:color="auto" w:fill="FFFFFF"/>
        </w:rPr>
        <w:t>. "Effects of honor code reminders on university students’ cheating in unproctored exams: A double-blind randomized controlled field study." </w:t>
      </w:r>
      <w:r>
        <w:rPr>
          <w:rFonts w:asciiTheme="majorBidi" w:hAnsiTheme="majorBidi" w:cstheme="majorBidi"/>
          <w:i/>
          <w:iCs/>
          <w:sz w:val="24"/>
          <w:szCs w:val="24"/>
          <w:shd w:val="clear" w:color="auto" w:fill="FFFFFF"/>
        </w:rPr>
        <w:t>Contemporary Educational Psychology</w:t>
      </w:r>
      <w:r>
        <w:rPr>
          <w:rFonts w:asciiTheme="majorBidi" w:hAnsiTheme="majorBidi" w:cstheme="majorBidi"/>
          <w:sz w:val="24"/>
          <w:szCs w:val="24"/>
          <w:shd w:val="clear" w:color="auto" w:fill="FFFFFF"/>
        </w:rPr>
        <w:t> 75: 102213.</w:t>
      </w:r>
    </w:p>
    <w:p w14:paraId="7C0B68E7">
      <w:pPr>
        <w:spacing w:before="240" w:line="240" w:lineRule="auto"/>
        <w:ind w:left="851" w:hanging="851"/>
        <w:rPr>
          <w:rFonts w:asciiTheme="majorBidi" w:hAnsiTheme="majorBidi" w:cstheme="majorBidi"/>
          <w:sz w:val="24"/>
          <w:szCs w:val="24"/>
          <w:shd w:val="clear" w:color="auto" w:fill="FFFFFF"/>
        </w:rPr>
      </w:pPr>
      <w:r>
        <w:rPr>
          <w:rFonts w:asciiTheme="majorBidi" w:hAnsiTheme="majorBidi" w:cstheme="majorBidi"/>
          <w:color w:val="000000"/>
          <w:sz w:val="24"/>
          <w:szCs w:val="24"/>
        </w:rPr>
        <w:t>Makaula, F. B. (2018). Perceived Causes and Methods of Examination Malpractice in the Malawian Education System. A Case Study of Secondary Schools in South East Education Division (SEED). Theses and Dissertations @ UNI 530. malpractices-Ibru.</w:t>
      </w:r>
    </w:p>
    <w:p w14:paraId="5CC45EA0">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Manca, S., &amp; Ranieri, M. (2017). Implications of social network sites for teaching and learning. Where we are and where we want to go. </w:t>
      </w:r>
      <w:r>
        <w:rPr>
          <w:rFonts w:asciiTheme="majorBidi" w:hAnsiTheme="majorBidi" w:cstheme="majorBidi"/>
          <w:i/>
          <w:iCs/>
          <w:sz w:val="24"/>
          <w:szCs w:val="24"/>
          <w:shd w:val="clear" w:color="auto" w:fill="FFFFFF"/>
        </w:rPr>
        <w:t>Education and information technologies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22</w:t>
      </w:r>
      <w:r>
        <w:rPr>
          <w:rFonts w:asciiTheme="majorBidi" w:hAnsiTheme="majorBidi" w:cstheme="majorBidi"/>
          <w:sz w:val="24"/>
          <w:szCs w:val="24"/>
          <w:shd w:val="clear" w:color="auto" w:fill="FFFFFF"/>
        </w:rPr>
        <w:t>, 605-622.</w:t>
      </w:r>
    </w:p>
    <w:p w14:paraId="746F11F0">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McCabe, A. C: 2001, ‘Gender Effects on Attitudes toward Sports Consumption’, Unpublished doctoral dissertation, University of Kentucky, Lexington, KY.</w:t>
      </w:r>
    </w:p>
    <w:p w14:paraId="64102104">
      <w:pPr>
        <w:spacing w:before="240" w:line="240" w:lineRule="auto"/>
        <w:ind w:left="720" w:hanging="720"/>
        <w:jc w:val="both"/>
        <w:rPr>
          <w:rStyle w:val="49"/>
          <w:rFonts w:eastAsia="Calibri" w:asciiTheme="majorBidi" w:hAnsiTheme="majorBidi" w:cstheme="majorBidi"/>
          <w:sz w:val="24"/>
          <w:szCs w:val="24"/>
        </w:rPr>
      </w:pPr>
      <w:r>
        <w:rPr>
          <w:rStyle w:val="42"/>
          <w:rFonts w:asciiTheme="majorBidi" w:hAnsiTheme="majorBidi" w:cstheme="majorBidi"/>
          <w:sz w:val="24"/>
          <w:szCs w:val="24"/>
        </w:rPr>
        <w:t>McCabe</w:t>
      </w:r>
      <w:r>
        <w:rPr>
          <w:rStyle w:val="43"/>
          <w:rFonts w:asciiTheme="majorBidi" w:hAnsiTheme="majorBidi" w:cstheme="majorBidi"/>
          <w:sz w:val="24"/>
          <w:szCs w:val="24"/>
        </w:rPr>
        <w:t xml:space="preserve">, </w:t>
      </w:r>
      <w:r>
        <w:rPr>
          <w:rStyle w:val="42"/>
          <w:rFonts w:asciiTheme="majorBidi" w:hAnsiTheme="majorBidi" w:cstheme="majorBidi"/>
          <w:sz w:val="24"/>
          <w:szCs w:val="24"/>
        </w:rPr>
        <w:t>D. L.</w:t>
      </w:r>
      <w:r>
        <w:rPr>
          <w:rStyle w:val="43"/>
          <w:rFonts w:asciiTheme="majorBidi" w:hAnsiTheme="majorBidi" w:cstheme="majorBidi"/>
          <w:sz w:val="24"/>
          <w:szCs w:val="24"/>
        </w:rPr>
        <w:t xml:space="preserve"> &amp; </w:t>
      </w:r>
      <w:r>
        <w:rPr>
          <w:rStyle w:val="42"/>
          <w:rFonts w:asciiTheme="majorBidi" w:hAnsiTheme="majorBidi" w:cstheme="majorBidi"/>
          <w:sz w:val="24"/>
          <w:szCs w:val="24"/>
        </w:rPr>
        <w:t>Trevino, L. K.</w:t>
      </w:r>
      <w:r>
        <w:rPr>
          <w:rStyle w:val="43"/>
          <w:rFonts w:asciiTheme="majorBidi" w:hAnsiTheme="majorBidi" w:cstheme="majorBidi"/>
          <w:sz w:val="24"/>
          <w:szCs w:val="24"/>
        </w:rPr>
        <w:t xml:space="preserve"> </w:t>
      </w:r>
      <w:r>
        <w:rPr>
          <w:rStyle w:val="44"/>
          <w:rFonts w:asciiTheme="majorBidi" w:hAnsiTheme="majorBidi" w:cstheme="majorBidi"/>
          <w:sz w:val="24"/>
          <w:szCs w:val="24"/>
        </w:rPr>
        <w:t>(1993)</w:t>
      </w:r>
      <w:r>
        <w:rPr>
          <w:rFonts w:asciiTheme="majorBidi" w:hAnsiTheme="majorBidi" w:cstheme="majorBidi"/>
          <w:sz w:val="24"/>
          <w:szCs w:val="24"/>
        </w:rPr>
        <w:t xml:space="preserve"> </w:t>
      </w:r>
      <w:r>
        <w:rPr>
          <w:rStyle w:val="45"/>
          <w:rFonts w:asciiTheme="majorBidi" w:hAnsiTheme="majorBidi" w:cstheme="majorBidi"/>
          <w:sz w:val="24"/>
          <w:szCs w:val="24"/>
        </w:rPr>
        <w:t>Academic Dishonesty,</w:t>
      </w:r>
      <w:r>
        <w:rPr>
          <w:rFonts w:asciiTheme="majorBidi" w:hAnsiTheme="majorBidi" w:cstheme="majorBidi"/>
          <w:sz w:val="24"/>
          <w:szCs w:val="24"/>
        </w:rPr>
        <w:t xml:space="preserve"> </w:t>
      </w:r>
      <w:r>
        <w:rPr>
          <w:rStyle w:val="46"/>
          <w:rFonts w:asciiTheme="majorBidi" w:hAnsiTheme="majorBidi" w:cstheme="majorBidi"/>
          <w:sz w:val="24"/>
          <w:szCs w:val="24"/>
        </w:rPr>
        <w:t>the Journal of Higher Education,</w:t>
      </w:r>
      <w:r>
        <w:rPr>
          <w:rFonts w:asciiTheme="majorBidi" w:hAnsiTheme="majorBidi" w:cstheme="majorBidi"/>
          <w:sz w:val="24"/>
          <w:szCs w:val="24"/>
        </w:rPr>
        <w:t xml:space="preserve"> </w:t>
      </w:r>
      <w:r>
        <w:rPr>
          <w:rStyle w:val="47"/>
          <w:rFonts w:asciiTheme="majorBidi" w:hAnsiTheme="majorBidi" w:cstheme="majorBidi"/>
          <w:sz w:val="24"/>
          <w:szCs w:val="24"/>
        </w:rPr>
        <w:t>64:5,</w:t>
      </w:r>
      <w:r>
        <w:rPr>
          <w:rFonts w:asciiTheme="majorBidi" w:hAnsiTheme="majorBidi" w:cstheme="majorBidi"/>
          <w:sz w:val="24"/>
          <w:szCs w:val="24"/>
        </w:rPr>
        <w:t xml:space="preserve"> </w:t>
      </w:r>
      <w:r>
        <w:rPr>
          <w:rStyle w:val="48"/>
          <w:rFonts w:asciiTheme="majorBidi" w:hAnsiTheme="majorBidi" w:cstheme="majorBidi"/>
          <w:sz w:val="24"/>
          <w:szCs w:val="24"/>
        </w:rPr>
        <w:t>522-538,</w:t>
      </w:r>
      <w:r>
        <w:rPr>
          <w:rFonts w:asciiTheme="majorBidi" w:hAnsiTheme="majorBidi" w:cstheme="majorBidi"/>
          <w:sz w:val="24"/>
          <w:szCs w:val="24"/>
        </w:rPr>
        <w:t xml:space="preserve"> </w:t>
      </w:r>
      <w:r>
        <w:rPr>
          <w:rStyle w:val="49"/>
          <w:rFonts w:asciiTheme="majorBidi" w:hAnsiTheme="majorBidi" w:cstheme="majorBidi"/>
          <w:sz w:val="24"/>
          <w:szCs w:val="24"/>
        </w:rPr>
        <w:t xml:space="preserve">DOI: </w:t>
      </w:r>
      <w:r>
        <w:fldChar w:fldCharType="begin"/>
      </w:r>
      <w:r>
        <w:instrText xml:space="preserve"> HYPERLINK "https://doi.org/10.1080/00221546.1993.11778446" </w:instrText>
      </w:r>
      <w:r>
        <w:fldChar w:fldCharType="separate"/>
      </w:r>
      <w:r>
        <w:rPr>
          <w:rStyle w:val="16"/>
          <w:rFonts w:asciiTheme="majorBidi" w:hAnsiTheme="majorBidi" w:cstheme="majorBidi"/>
          <w:color w:val="auto"/>
          <w:sz w:val="24"/>
          <w:szCs w:val="24"/>
        </w:rPr>
        <w:t>10.1080/00221546.1993.11778446</w:t>
      </w:r>
      <w:r>
        <w:rPr>
          <w:rStyle w:val="16"/>
          <w:rFonts w:asciiTheme="majorBidi" w:hAnsiTheme="majorBidi" w:cstheme="majorBidi"/>
          <w:color w:val="auto"/>
          <w:sz w:val="24"/>
          <w:szCs w:val="24"/>
        </w:rPr>
        <w:fldChar w:fldCharType="end"/>
      </w:r>
    </w:p>
    <w:p w14:paraId="59CF87F8">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McCabe, D. L., Butterfield, K. D., &amp; Trevino, L. K. (2012). Cheating in college: Why students do it and what educators can do about it. </w:t>
      </w:r>
      <w:r>
        <w:rPr>
          <w:rFonts w:eastAsia="Times New Roman" w:asciiTheme="majorBidi" w:hAnsiTheme="majorBidi" w:cstheme="majorBidi"/>
          <w:i/>
          <w:iCs/>
          <w:sz w:val="24"/>
          <w:szCs w:val="24"/>
        </w:rPr>
        <w:t>Johns Hopkins University Press</w:t>
      </w:r>
      <w:r>
        <w:rPr>
          <w:rFonts w:eastAsia="Times New Roman" w:asciiTheme="majorBidi" w:hAnsiTheme="majorBidi" w:cstheme="majorBidi"/>
          <w:sz w:val="24"/>
          <w:szCs w:val="24"/>
        </w:rPr>
        <w:t>.</w:t>
      </w:r>
    </w:p>
    <w:p w14:paraId="09A0160E">
      <w:pPr>
        <w:pStyle w:val="17"/>
        <w:ind w:left="851" w:hanging="851"/>
        <w:rPr>
          <w:rFonts w:asciiTheme="majorBidi" w:hAnsiTheme="majorBidi" w:cstheme="majorBidi"/>
        </w:rPr>
      </w:pPr>
      <w:r>
        <w:rPr>
          <w:rFonts w:asciiTheme="majorBidi" w:hAnsiTheme="majorBidi" w:cstheme="majorBidi"/>
        </w:rPr>
        <w:t xml:space="preserve">Miller, A., &amp; Davis, L. (2019). Overcoming cultural barriers in parental involvement in exam integrity. </w:t>
      </w:r>
      <w:r>
        <w:rPr>
          <w:rStyle w:val="10"/>
          <w:rFonts w:asciiTheme="majorBidi" w:hAnsiTheme="majorBidi" w:cstheme="majorBidi"/>
        </w:rPr>
        <w:t>Journal of Cross-Cultural Education</w:t>
      </w:r>
      <w:r>
        <w:rPr>
          <w:rFonts w:asciiTheme="majorBidi" w:hAnsiTheme="majorBidi" w:cstheme="majorBidi"/>
        </w:rPr>
        <w:t>, 21(4), 89-102.</w:t>
      </w:r>
    </w:p>
    <w:p w14:paraId="5D7ACC35">
      <w:pPr>
        <w:spacing w:before="240" w:line="240" w:lineRule="auto"/>
        <w:ind w:left="720" w:hanging="720"/>
        <w:jc w:val="both"/>
        <w:rPr>
          <w:rFonts w:asciiTheme="majorBidi" w:hAnsiTheme="majorBidi" w:cstheme="majorBidi"/>
          <w:sz w:val="24"/>
          <w:szCs w:val="24"/>
        </w:rPr>
      </w:pPr>
      <w:r>
        <w:rPr>
          <w:rFonts w:eastAsia="Calibri" w:asciiTheme="majorBidi" w:hAnsiTheme="majorBidi" w:cstheme="majorBidi"/>
          <w:sz w:val="24"/>
          <w:szCs w:val="24"/>
        </w:rPr>
        <w:t>Mouldy, M. S. (200</w:t>
      </w:r>
      <w:r>
        <w:rPr>
          <w:rFonts w:asciiTheme="majorBidi" w:hAnsiTheme="majorBidi" w:cstheme="majorBidi"/>
          <w:sz w:val="24"/>
          <w:szCs w:val="24"/>
        </w:rPr>
        <w:t>3</w:t>
      </w:r>
      <w:r>
        <w:rPr>
          <w:rFonts w:eastAsia="Calibri" w:asciiTheme="majorBidi" w:hAnsiTheme="majorBidi" w:cstheme="majorBidi"/>
          <w:sz w:val="24"/>
          <w:szCs w:val="24"/>
        </w:rPr>
        <w:t>).</w:t>
      </w:r>
      <w:r>
        <w:rPr>
          <w:rFonts w:eastAsia="Calibri" w:asciiTheme="majorBidi" w:hAnsiTheme="majorBidi" w:cstheme="majorBidi"/>
          <w:i/>
          <w:iCs/>
          <w:sz w:val="24"/>
          <w:szCs w:val="24"/>
        </w:rPr>
        <w:t xml:space="preserve"> Elementary Statistics. </w:t>
      </w:r>
      <w:r>
        <w:rPr>
          <w:rFonts w:eastAsia="Calibri" w:asciiTheme="majorBidi" w:hAnsiTheme="majorBidi" w:cstheme="majorBidi"/>
          <w:sz w:val="24"/>
          <w:szCs w:val="24"/>
        </w:rPr>
        <w:t>New York, McGraw Hill Publishing Company.</w:t>
      </w:r>
    </w:p>
    <w:p w14:paraId="4AF90524">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Mugambi, E. N. (2019). Technological advancements and examination malpractice in Kenya: A critical analysis. </w:t>
      </w:r>
      <w:r>
        <w:rPr>
          <w:rFonts w:eastAsia="Times New Roman" w:asciiTheme="majorBidi" w:hAnsiTheme="majorBidi" w:cstheme="majorBidi"/>
          <w:i/>
          <w:iCs/>
          <w:sz w:val="24"/>
          <w:szCs w:val="24"/>
        </w:rPr>
        <w:t>Journal of Education and Practice, 10</w:t>
      </w:r>
      <w:r>
        <w:rPr>
          <w:rFonts w:eastAsia="Times New Roman" w:asciiTheme="majorBidi" w:hAnsiTheme="majorBidi" w:cstheme="majorBidi"/>
          <w:sz w:val="24"/>
          <w:szCs w:val="24"/>
        </w:rPr>
        <w:t>(3), 89-97.</w:t>
      </w:r>
    </w:p>
    <w:p w14:paraId="4E470188">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Mugambi, E. N., &amp; Kobia, G. M. (2018). Collaboration between Kenya National Examinations Council and law enforcement agencies in combating examination malpractices. </w:t>
      </w:r>
      <w:r>
        <w:rPr>
          <w:rFonts w:eastAsia="Times New Roman" w:asciiTheme="majorBidi" w:hAnsiTheme="majorBidi" w:cstheme="majorBidi"/>
          <w:i/>
          <w:iCs/>
          <w:sz w:val="24"/>
          <w:szCs w:val="24"/>
        </w:rPr>
        <w:t>International Journal of Education and Research, 6</w:t>
      </w:r>
      <w:r>
        <w:rPr>
          <w:rFonts w:eastAsia="Times New Roman" w:asciiTheme="majorBidi" w:hAnsiTheme="majorBidi" w:cstheme="majorBidi"/>
          <w:sz w:val="24"/>
          <w:szCs w:val="24"/>
        </w:rPr>
        <w:t>(8), 39-53.</w:t>
      </w:r>
    </w:p>
    <w:p w14:paraId="151294E0">
      <w:pPr>
        <w:spacing w:before="240" w:line="240" w:lineRule="auto"/>
        <w:ind w:left="720" w:hanging="720"/>
        <w:jc w:val="both"/>
        <w:rPr>
          <w:rFonts w:asciiTheme="majorBidi" w:hAnsiTheme="majorBidi" w:cstheme="majorBidi"/>
          <w:sz w:val="24"/>
          <w:szCs w:val="24"/>
        </w:rPr>
      </w:pPr>
      <w:r>
        <w:rPr>
          <w:rFonts w:asciiTheme="majorBidi" w:hAnsiTheme="majorBidi" w:cstheme="majorBidi"/>
          <w:sz w:val="24"/>
          <w:szCs w:val="24"/>
        </w:rPr>
        <w:t xml:space="preserve">Mugenda, O. M &amp; Mugenda, G.A (1999). </w:t>
      </w:r>
      <w:r>
        <w:rPr>
          <w:rFonts w:asciiTheme="majorBidi" w:hAnsiTheme="majorBidi" w:cstheme="majorBidi"/>
          <w:i/>
          <w:iCs/>
          <w:sz w:val="24"/>
          <w:szCs w:val="24"/>
        </w:rPr>
        <w:t>Research Methods: Quantitative and    Qualitative approaches.</w:t>
      </w:r>
      <w:r>
        <w:rPr>
          <w:rFonts w:asciiTheme="majorBidi" w:hAnsiTheme="majorBidi" w:cstheme="majorBidi"/>
          <w:sz w:val="24"/>
          <w:szCs w:val="24"/>
        </w:rPr>
        <w:t xml:space="preserve"> Nairobi: Acts Press.</w:t>
      </w:r>
    </w:p>
    <w:p w14:paraId="04E62062">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Mulongo, M. A. (2020). </w:t>
      </w:r>
      <w:r>
        <w:rPr>
          <w:rFonts w:asciiTheme="majorBidi" w:hAnsiTheme="majorBidi" w:cstheme="majorBidi"/>
          <w:i/>
          <w:iCs/>
          <w:sz w:val="24"/>
          <w:szCs w:val="24"/>
          <w:shd w:val="clear" w:color="auto" w:fill="FFFFFF"/>
        </w:rPr>
        <w:t>Effectiveness of University Examinations Management Strategies in Mitigating Examination Malpractices in Kenya</w:t>
      </w:r>
      <w:r>
        <w:rPr>
          <w:rFonts w:asciiTheme="majorBidi" w:hAnsiTheme="majorBidi" w:cstheme="majorBidi"/>
          <w:sz w:val="24"/>
          <w:szCs w:val="24"/>
          <w:shd w:val="clear" w:color="auto" w:fill="FFFFFF"/>
        </w:rPr>
        <w:t> (Doctoral Dissertation, Karatina University).</w:t>
      </w:r>
    </w:p>
    <w:p w14:paraId="0B74FC43">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Musungu, G. K., &amp; Kibet, G. K. (2019). Socioeconomic disparities and examination malpractice among secondary school students in Kenya. </w:t>
      </w:r>
      <w:r>
        <w:rPr>
          <w:rFonts w:eastAsia="Times New Roman" w:asciiTheme="majorBidi" w:hAnsiTheme="majorBidi" w:cstheme="majorBidi"/>
          <w:i/>
          <w:iCs/>
          <w:sz w:val="24"/>
          <w:szCs w:val="24"/>
        </w:rPr>
        <w:t>Journal of Education and Practice, 10</w:t>
      </w:r>
      <w:r>
        <w:rPr>
          <w:rFonts w:eastAsia="Times New Roman" w:asciiTheme="majorBidi" w:hAnsiTheme="majorBidi" w:cstheme="majorBidi"/>
          <w:sz w:val="24"/>
          <w:szCs w:val="24"/>
        </w:rPr>
        <w:t>(1), 100-112.</w:t>
      </w:r>
    </w:p>
    <w:p w14:paraId="21FE53B5">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Mwiria, K., &amp; Orodho, A. (2018). High stakes and examination malpractices in Kenya: An analysis of challenges and prospects. </w:t>
      </w:r>
      <w:r>
        <w:rPr>
          <w:rFonts w:eastAsia="Times New Roman" w:asciiTheme="majorBidi" w:hAnsiTheme="majorBidi" w:cstheme="majorBidi"/>
          <w:i/>
          <w:iCs/>
          <w:sz w:val="24"/>
          <w:szCs w:val="24"/>
        </w:rPr>
        <w:t>International Journal of Educational Administration and Policy Studies, 10</w:t>
      </w:r>
      <w:r>
        <w:rPr>
          <w:rFonts w:eastAsia="Times New Roman" w:asciiTheme="majorBidi" w:hAnsiTheme="majorBidi" w:cstheme="majorBidi"/>
          <w:sz w:val="24"/>
          <w:szCs w:val="24"/>
        </w:rPr>
        <w:t>(1), 12-23.</w:t>
      </w:r>
    </w:p>
    <w:p w14:paraId="34DE1787">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 xml:space="preserve">Ndichu, F. M. (2013). Towards a National Philosophy of Education: A Conceptual Analysis of the Philosophical Foundations of the Kenya Education System. Unpublished PhD Thesis. Nairobi: Kenyatta University. </w:t>
      </w:r>
    </w:p>
    <w:p w14:paraId="4739688A">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Ngeno, W. K., &amp; Chemwei, D. (2020). Pressure and expectations: Implications for academic integrity and examination malpractices in Kenya. </w:t>
      </w:r>
      <w:r>
        <w:rPr>
          <w:rFonts w:eastAsia="Times New Roman" w:asciiTheme="majorBidi" w:hAnsiTheme="majorBidi" w:cstheme="majorBidi"/>
          <w:i/>
          <w:iCs/>
          <w:sz w:val="24"/>
          <w:szCs w:val="24"/>
        </w:rPr>
        <w:t>International Journal of Education and Research, 8</w:t>
      </w:r>
      <w:r>
        <w:rPr>
          <w:rFonts w:eastAsia="Times New Roman" w:asciiTheme="majorBidi" w:hAnsiTheme="majorBidi" w:cstheme="majorBidi"/>
          <w:sz w:val="24"/>
          <w:szCs w:val="24"/>
        </w:rPr>
        <w:t>(5), 45-57.</w:t>
      </w:r>
    </w:p>
    <w:p w14:paraId="006C4F74">
      <w:pPr>
        <w:spacing w:line="240" w:lineRule="auto"/>
        <w:ind w:left="851" w:hanging="851"/>
        <w:rPr>
          <w:rFonts w:eastAsia="Times New Roman" w:asciiTheme="majorBidi" w:hAnsiTheme="majorBidi" w:cstheme="majorBidi"/>
          <w:sz w:val="24"/>
          <w:szCs w:val="24"/>
        </w:rPr>
      </w:pPr>
      <w:r>
        <w:rPr>
          <w:rStyle w:val="70"/>
          <w:rFonts w:asciiTheme="majorBidi" w:hAnsiTheme="majorBidi" w:cstheme="majorBidi"/>
          <w:sz w:val="24"/>
          <w:szCs w:val="24"/>
        </w:rPr>
        <w:t>Nina, S.,</w:t>
      </w:r>
      <w:r>
        <w:rPr>
          <w:rFonts w:asciiTheme="majorBidi" w:hAnsiTheme="majorBidi" w:cstheme="majorBidi"/>
          <w:sz w:val="24"/>
          <w:szCs w:val="24"/>
        </w:rPr>
        <w:t xml:space="preserve"> </w:t>
      </w:r>
      <w:r>
        <w:rPr>
          <w:rStyle w:val="70"/>
          <w:rFonts w:asciiTheme="majorBidi" w:hAnsiTheme="majorBidi" w:cstheme="majorBidi"/>
          <w:sz w:val="24"/>
          <w:szCs w:val="24"/>
        </w:rPr>
        <w:t>Jeroen L.,</w:t>
      </w:r>
      <w:r>
        <w:rPr>
          <w:rFonts w:asciiTheme="majorBidi" w:hAnsiTheme="majorBidi" w:cstheme="majorBidi"/>
          <w:sz w:val="24"/>
          <w:szCs w:val="24"/>
        </w:rPr>
        <w:t xml:space="preserve"> </w:t>
      </w:r>
      <w:r>
        <w:rPr>
          <w:rStyle w:val="70"/>
          <w:rFonts w:asciiTheme="majorBidi" w:hAnsiTheme="majorBidi" w:cstheme="majorBidi"/>
          <w:sz w:val="24"/>
          <w:szCs w:val="24"/>
        </w:rPr>
        <w:t>Bart S.,</w:t>
      </w:r>
      <w:r>
        <w:rPr>
          <w:rFonts w:asciiTheme="majorBidi" w:hAnsiTheme="majorBidi" w:cstheme="majorBidi"/>
          <w:sz w:val="24"/>
          <w:szCs w:val="24"/>
        </w:rPr>
        <w:t xml:space="preserve"> </w:t>
      </w:r>
      <w:r>
        <w:rPr>
          <w:rStyle w:val="70"/>
          <w:rFonts w:asciiTheme="majorBidi" w:hAnsiTheme="majorBidi" w:cstheme="majorBidi"/>
          <w:sz w:val="24"/>
          <w:szCs w:val="24"/>
        </w:rPr>
        <w:t>Karine V. (2021</w:t>
      </w:r>
      <w:r>
        <w:rPr>
          <w:rStyle w:val="70"/>
          <w:rFonts w:asciiTheme="majorBidi" w:hAnsiTheme="majorBidi" w:cstheme="majorBidi"/>
          <w:i/>
          <w:iCs/>
          <w:sz w:val="24"/>
          <w:szCs w:val="24"/>
        </w:rPr>
        <w:t xml:space="preserve">). </w:t>
      </w:r>
      <w:r>
        <w:rPr>
          <w:rFonts w:eastAsia="Times New Roman" w:asciiTheme="majorBidi" w:hAnsiTheme="majorBidi" w:cstheme="majorBidi"/>
          <w:i/>
          <w:iCs/>
          <w:kern w:val="36"/>
          <w:sz w:val="24"/>
          <w:szCs w:val="24"/>
        </w:rPr>
        <w:t>Peer Effects on Engagement and Disengagement: Differential Contributions from Friends, Popular Peers, and the Entire Class.</w:t>
      </w:r>
      <w:r>
        <w:rPr>
          <w:rFonts w:eastAsia="Times New Roman" w:asciiTheme="majorBidi" w:hAnsiTheme="majorBidi" w:cstheme="majorBidi"/>
          <w:i/>
          <w:iCs/>
          <w:sz w:val="24"/>
          <w:szCs w:val="24"/>
        </w:rPr>
        <w:t xml:space="preserve"> </w:t>
      </w:r>
      <w:r>
        <w:rPr>
          <w:rFonts w:eastAsia="Times New Roman" w:asciiTheme="majorBidi" w:hAnsiTheme="majorBidi" w:cstheme="majorBidi"/>
          <w:sz w:val="24"/>
          <w:szCs w:val="24"/>
        </w:rPr>
        <w:t xml:space="preserve">Front. Front. Psychol., 27 September 2021 Sec. Educational Psychology Volume 12 - 2021 | </w:t>
      </w:r>
      <w:r>
        <w:fldChar w:fldCharType="begin"/>
      </w:r>
      <w:r>
        <w:instrText xml:space="preserve"> HYPERLINK "https://doi.org/10.3389/fpsyg.2021.726815%20" </w:instrText>
      </w:r>
      <w:r>
        <w:fldChar w:fldCharType="separate"/>
      </w:r>
      <w:r>
        <w:rPr>
          <w:rStyle w:val="16"/>
          <w:rFonts w:eastAsia="Times New Roman" w:asciiTheme="majorBidi" w:hAnsiTheme="majorBidi" w:cstheme="majorBidi"/>
          <w:color w:val="auto"/>
          <w:sz w:val="24"/>
          <w:szCs w:val="24"/>
          <w:u w:val="none"/>
        </w:rPr>
        <w:t xml:space="preserve">https://doi.org/10.3389/fpsyg.2021.726815 </w:t>
      </w:r>
      <w:r>
        <w:rPr>
          <w:rStyle w:val="16"/>
          <w:rFonts w:eastAsia="Times New Roman" w:asciiTheme="majorBidi" w:hAnsiTheme="majorBidi" w:cstheme="majorBidi"/>
          <w:color w:val="auto"/>
          <w:sz w:val="24"/>
          <w:szCs w:val="24"/>
          <w:u w:val="none"/>
        </w:rPr>
        <w:fldChar w:fldCharType="end"/>
      </w:r>
    </w:p>
    <w:p w14:paraId="5630B608">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Nixon, E., &amp; Crook, C. (2020). How internet essay mills portray the student experience of higher education. </w:t>
      </w:r>
      <w:r>
        <w:rPr>
          <w:rFonts w:asciiTheme="majorBidi" w:hAnsiTheme="majorBidi" w:cstheme="majorBidi"/>
          <w:i/>
          <w:iCs/>
          <w:sz w:val="24"/>
          <w:szCs w:val="24"/>
          <w:shd w:val="clear" w:color="auto" w:fill="FFFFFF"/>
        </w:rPr>
        <w:t>Internet and Higher Education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48</w:t>
      </w:r>
      <w:r>
        <w:rPr>
          <w:rFonts w:asciiTheme="majorBidi" w:hAnsiTheme="majorBidi" w:cstheme="majorBidi"/>
          <w:sz w:val="24"/>
          <w:szCs w:val="24"/>
          <w:shd w:val="clear" w:color="auto" w:fill="FFFFFF"/>
        </w:rPr>
        <w:t>.</w:t>
      </w:r>
    </w:p>
    <w:p w14:paraId="25C44725">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Njagi, J. &amp; Wanzala, O. (2015, October 22). 5 teachers seized over examination leak. The Standard.</w:t>
      </w:r>
    </w:p>
    <w:p w14:paraId="75EA2D81">
      <w:pPr>
        <w:pStyle w:val="30"/>
        <w:spacing w:before="240" w:line="240" w:lineRule="auto"/>
        <w:ind w:hanging="720"/>
        <w:rPr>
          <w:rFonts w:asciiTheme="majorBidi" w:hAnsiTheme="majorBidi" w:cstheme="majorBidi"/>
          <w:sz w:val="24"/>
          <w:szCs w:val="24"/>
          <w:shd w:val="clear" w:color="auto" w:fill="FFFFFF"/>
        </w:rPr>
      </w:pPr>
      <w:r>
        <w:rPr>
          <w:rFonts w:asciiTheme="majorBidi" w:hAnsiTheme="majorBidi" w:cstheme="majorBidi"/>
          <w:sz w:val="24"/>
          <w:szCs w:val="24"/>
        </w:rPr>
        <w:t>Odour, A. (2015, October 22). Teachers, students arrested in examination cheating swoop. The Daily Nation.</w:t>
      </w:r>
    </w:p>
    <w:p w14:paraId="33E0B09D">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Okafor V.E., C Ojiaku, E Chinyere (2013) The Need for Information and Communication Technologies (ICT) in Teaching Social Studies in Nigeria Colleges of Education: Issues and Challenges. Journal / </w:t>
      </w:r>
      <w:r>
        <w:fldChar w:fldCharType="begin"/>
      </w:r>
      <w:r>
        <w:instrText xml:space="preserve"> HYPERLINK "https://www.ajol.info/index.php/lwati" </w:instrText>
      </w:r>
      <w:r>
        <w:fldChar w:fldCharType="separate"/>
      </w:r>
      <w:r>
        <w:rPr>
          <w:rFonts w:asciiTheme="majorBidi" w:hAnsiTheme="majorBidi" w:cstheme="majorBidi"/>
          <w:sz w:val="24"/>
          <w:szCs w:val="24"/>
        </w:rPr>
        <w:t>Lwati: A Journal of Contemporary Research</w:t>
      </w:r>
      <w:r>
        <w:rPr>
          <w:rFonts w:asciiTheme="majorBidi" w:hAnsiTheme="majorBidi" w:cstheme="majorBidi"/>
          <w:sz w:val="24"/>
          <w:szCs w:val="24"/>
        </w:rPr>
        <w:fldChar w:fldCharType="end"/>
      </w:r>
      <w:r>
        <w:rPr>
          <w:rFonts w:asciiTheme="majorBidi" w:hAnsiTheme="majorBidi" w:cstheme="majorBidi"/>
          <w:b/>
          <w:bCs/>
          <w:sz w:val="24"/>
          <w:szCs w:val="24"/>
          <w:shd w:val="clear" w:color="auto" w:fill="FFFFFF"/>
        </w:rPr>
        <w:t> </w:t>
      </w:r>
      <w:r>
        <w:rPr>
          <w:rFonts w:asciiTheme="majorBidi" w:hAnsiTheme="majorBidi" w:cstheme="majorBidi"/>
          <w:sz w:val="24"/>
          <w:szCs w:val="24"/>
          <w:shd w:val="clear" w:color="auto" w:fill="FFFFFF"/>
        </w:rPr>
        <w:t>/ Vol. 10 No. 2 (2013) / Articles.</w:t>
      </w:r>
    </w:p>
    <w:p w14:paraId="4DE44F86">
      <w:pPr>
        <w:spacing w:line="240" w:lineRule="auto"/>
        <w:ind w:left="993" w:hanging="993"/>
        <w:rPr>
          <w:rFonts w:asciiTheme="majorBidi" w:hAnsiTheme="majorBidi" w:cstheme="majorBidi"/>
          <w:sz w:val="24"/>
          <w:szCs w:val="24"/>
        </w:rPr>
      </w:pPr>
      <w:r>
        <w:rPr>
          <w:rFonts w:asciiTheme="majorBidi" w:hAnsiTheme="majorBidi" w:cstheme="majorBidi"/>
          <w:sz w:val="24"/>
          <w:szCs w:val="24"/>
        </w:rPr>
        <w:t>Okorodudu, G. N. (2013). Peer pressure and socioeconomic status as predictors of student's attitude to examination malpractice in Nigeria. </w:t>
      </w:r>
      <w:r>
        <w:rPr>
          <w:rFonts w:asciiTheme="majorBidi" w:hAnsiTheme="majorBidi" w:cstheme="majorBidi"/>
          <w:i/>
          <w:iCs/>
          <w:sz w:val="24"/>
          <w:szCs w:val="24"/>
        </w:rPr>
        <w:t>International Journal of Education</w:t>
      </w:r>
      <w:r>
        <w:rPr>
          <w:rFonts w:asciiTheme="majorBidi" w:hAnsiTheme="majorBidi" w:cstheme="majorBidi"/>
          <w:sz w:val="24"/>
          <w:szCs w:val="24"/>
        </w:rPr>
        <w:t>, </w:t>
      </w:r>
      <w:r>
        <w:rPr>
          <w:rFonts w:asciiTheme="majorBidi" w:hAnsiTheme="majorBidi" w:cstheme="majorBidi"/>
          <w:i/>
          <w:iCs/>
          <w:sz w:val="24"/>
          <w:szCs w:val="24"/>
        </w:rPr>
        <w:t>5</w:t>
      </w:r>
      <w:r>
        <w:rPr>
          <w:rFonts w:asciiTheme="majorBidi" w:hAnsiTheme="majorBidi" w:cstheme="majorBidi"/>
          <w:sz w:val="24"/>
          <w:szCs w:val="24"/>
        </w:rPr>
        <w:t>(1), 36.</w:t>
      </w:r>
    </w:p>
    <w:p w14:paraId="4ACBB560">
      <w:pPr>
        <w:spacing w:before="100" w:beforeAutospacing="1" w:after="100" w:afterAutospacing="1" w:line="240" w:lineRule="auto"/>
        <w:ind w:left="993" w:hanging="993"/>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Orodho, A. J., Onchwari, G. K., &amp; Indoshi, F. C. (2017). Cheating in examinations: A threat to the quality of education in Kenya. </w:t>
      </w:r>
      <w:r>
        <w:rPr>
          <w:rFonts w:eastAsia="Times New Roman" w:asciiTheme="majorBidi" w:hAnsiTheme="majorBidi" w:cstheme="majorBidi"/>
          <w:i/>
          <w:iCs/>
          <w:sz w:val="24"/>
          <w:szCs w:val="24"/>
        </w:rPr>
        <w:t>Journal of Education and Practice, 8</w:t>
      </w:r>
      <w:r>
        <w:rPr>
          <w:rFonts w:eastAsia="Times New Roman" w:asciiTheme="majorBidi" w:hAnsiTheme="majorBidi" w:cstheme="majorBidi"/>
          <w:sz w:val="24"/>
          <w:szCs w:val="24"/>
        </w:rPr>
        <w:t>(11), 50-60.</w:t>
      </w:r>
    </w:p>
    <w:p w14:paraId="03F9FAB9">
      <w:pPr>
        <w:pStyle w:val="50"/>
        <w:spacing w:before="240" w:after="200"/>
        <w:ind w:left="720" w:hanging="720"/>
        <w:rPr>
          <w:rFonts w:asciiTheme="majorBidi" w:hAnsiTheme="majorBidi" w:cstheme="majorBidi"/>
          <w:color w:val="auto"/>
        </w:rPr>
      </w:pPr>
      <w:r>
        <w:rPr>
          <w:rFonts w:asciiTheme="majorBidi" w:hAnsiTheme="majorBidi" w:cstheme="majorBidi"/>
          <w:color w:val="auto"/>
        </w:rPr>
        <w:t>Orodho, J. A. (2005).</w:t>
      </w:r>
      <w:r>
        <w:rPr>
          <w:rFonts w:asciiTheme="majorBidi" w:hAnsiTheme="majorBidi" w:cstheme="majorBidi"/>
          <w:i/>
          <w:iCs/>
          <w:color w:val="auto"/>
        </w:rPr>
        <w:t xml:space="preserve"> Techniques of Writing Research Proposals and Reports in Education and Social Sciences</w:t>
      </w:r>
      <w:r>
        <w:rPr>
          <w:rFonts w:asciiTheme="majorBidi" w:hAnsiTheme="majorBidi" w:cstheme="majorBidi"/>
          <w:color w:val="auto"/>
        </w:rPr>
        <w:t xml:space="preserve">. Nairobi: Masola Publishers. </w:t>
      </w:r>
    </w:p>
    <w:p w14:paraId="28142C54">
      <w:pPr>
        <w:spacing w:before="240" w:line="240" w:lineRule="auto"/>
        <w:ind w:left="720" w:hanging="720"/>
        <w:jc w:val="both"/>
        <w:rPr>
          <w:rFonts w:asciiTheme="majorBidi" w:hAnsiTheme="majorBidi" w:cstheme="majorBidi"/>
          <w:sz w:val="24"/>
          <w:szCs w:val="24"/>
        </w:rPr>
      </w:pPr>
      <w:r>
        <w:rPr>
          <w:rFonts w:asciiTheme="majorBidi" w:hAnsiTheme="majorBidi" w:cstheme="majorBidi"/>
          <w:sz w:val="24"/>
          <w:szCs w:val="24"/>
        </w:rPr>
        <w:t xml:space="preserve">Orodho, J. A. (2009). </w:t>
      </w:r>
      <w:r>
        <w:rPr>
          <w:rFonts w:asciiTheme="majorBidi" w:hAnsiTheme="majorBidi" w:cstheme="majorBidi"/>
          <w:i/>
          <w:iCs/>
          <w:sz w:val="24"/>
          <w:szCs w:val="24"/>
        </w:rPr>
        <w:t>Element of Education and Social Science Research Methods</w:t>
      </w:r>
      <w:r>
        <w:rPr>
          <w:rFonts w:asciiTheme="majorBidi" w:hAnsiTheme="majorBidi" w:cstheme="majorBidi"/>
          <w:sz w:val="24"/>
          <w:szCs w:val="24"/>
        </w:rPr>
        <w:t xml:space="preserve">. Maseno: Kanezja publisher. </w:t>
      </w:r>
    </w:p>
    <w:p w14:paraId="28F550EF">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Perkins, H. W. (2003). The Hobbart and William Smith Colleges Experiment: A Synergistic Social Norms Approach Using Print, Electronic Media and Curriculum Infusion to Reduce Collegiate Problem Drinking. San Francisco: Jossey-Bass.</w:t>
      </w:r>
    </w:p>
    <w:p w14:paraId="662EA010">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Perkins, H. W., &amp; Craig, D. W. (2006). A Successful Social Norms Campaign to Reduce College Student Drinking. Journal of Studies on Alcohol. 67. Pp. 868– 879. </w:t>
      </w:r>
    </w:p>
    <w:p w14:paraId="25BF6B58">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Perry, R. P., &amp; Selden, S. (2021). Handbook of academic integrity. </w:t>
      </w:r>
      <w:r>
        <w:rPr>
          <w:rFonts w:eastAsia="Times New Roman" w:asciiTheme="majorBidi" w:hAnsiTheme="majorBidi" w:cstheme="majorBidi"/>
          <w:i/>
          <w:iCs/>
          <w:sz w:val="24"/>
          <w:szCs w:val="24"/>
        </w:rPr>
        <w:t>Springer</w:t>
      </w:r>
      <w:r>
        <w:rPr>
          <w:rFonts w:eastAsia="Times New Roman" w:asciiTheme="majorBidi" w:hAnsiTheme="majorBidi" w:cstheme="majorBidi"/>
          <w:sz w:val="24"/>
          <w:szCs w:val="24"/>
        </w:rPr>
        <w:t>.</w:t>
      </w:r>
    </w:p>
    <w:p w14:paraId="3B85C72A">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 xml:space="preserve">Petters, J. S., &amp; Okon, O. (2014). </w:t>
      </w:r>
      <w:r>
        <w:rPr>
          <w:rFonts w:asciiTheme="majorBidi" w:hAnsiTheme="majorBidi" w:cstheme="majorBidi"/>
          <w:i/>
          <w:iCs/>
          <w:color w:val="000000"/>
          <w:sz w:val="24"/>
          <w:szCs w:val="24"/>
        </w:rPr>
        <w:t>Students’ Perception of Causes and Effects of</w:t>
      </w:r>
      <w:r>
        <w:rPr>
          <w:rFonts w:asciiTheme="majorBidi" w:hAnsiTheme="majorBidi" w:cstheme="majorBidi"/>
          <w:color w:val="000000"/>
          <w:sz w:val="24"/>
          <w:szCs w:val="24"/>
        </w:rPr>
        <w:t xml:space="preserve"> Examination Malpractice in the Nigerian Educational System: The Way Forward for Quality Education. Procedia (Social and Behavioral Sciences), 114, 125-129. https://doi.org/10.1016/j.sbspro. 2013.12.671</w:t>
      </w:r>
    </w:p>
    <w:p w14:paraId="163678F1">
      <w:pPr>
        <w:spacing w:before="240" w:line="240" w:lineRule="auto"/>
        <w:ind w:left="720" w:hanging="720"/>
        <w:rPr>
          <w:rFonts w:eastAsia="Times New Roman" w:asciiTheme="majorBidi" w:hAnsiTheme="majorBidi" w:cstheme="majorBidi"/>
          <w:sz w:val="24"/>
          <w:szCs w:val="24"/>
        </w:rPr>
      </w:pPr>
      <w:r>
        <w:rPr>
          <w:rFonts w:eastAsia="Times New Roman" w:asciiTheme="majorBidi" w:hAnsiTheme="majorBidi" w:cstheme="majorBidi"/>
          <w:sz w:val="24"/>
          <w:szCs w:val="24"/>
        </w:rPr>
        <w:t>Phillip C. H. Shon et al (2006): How College Students Cheat on In-Class Examinations: Creativity, Strain, and Techniques of Innovation. Ann Arbor, MI: M Publishing, University of Michigan Library</w:t>
      </w:r>
    </w:p>
    <w:p w14:paraId="42CA717E">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Phiri, W., &amp; Nakamba, J. (2015). The Effect of Examination Malpractices (leakages) on</w:t>
      </w:r>
      <w:r>
        <w:rPr>
          <w:rFonts w:asciiTheme="majorBidi" w:hAnsiTheme="majorBidi" w:cstheme="majorBidi"/>
          <w:color w:val="000000"/>
          <w:sz w:val="24"/>
          <w:szCs w:val="24"/>
        </w:rPr>
        <w:br w:type="textWrapping"/>
      </w:r>
      <w:r>
        <w:rPr>
          <w:rFonts w:asciiTheme="majorBidi" w:hAnsiTheme="majorBidi" w:cstheme="majorBidi"/>
          <w:i/>
          <w:iCs/>
          <w:color w:val="000000"/>
          <w:sz w:val="24"/>
          <w:szCs w:val="24"/>
        </w:rPr>
        <w:t>Pupils’ Academic Performance in Geography in selected Secondary Schools of</w:t>
      </w:r>
      <w:r>
        <w:rPr>
          <w:rFonts w:asciiTheme="majorBidi" w:hAnsiTheme="majorBidi" w:cstheme="majorBidi"/>
          <w:color w:val="000000"/>
          <w:sz w:val="24"/>
          <w:szCs w:val="24"/>
        </w:rPr>
        <w:t xml:space="preserve"> Kitwe District, Copperbelt Province, Zambia. International Journal of Multidisciplinary Research and Development, 2(12), 324-331.</w:t>
      </w:r>
    </w:p>
    <w:p w14:paraId="6B70D499">
      <w:pPr>
        <w:spacing w:before="240" w:after="100" w:afterAutospacing="1" w:line="240" w:lineRule="auto"/>
        <w:ind w:left="630" w:hanging="630"/>
        <w:jc w:val="both"/>
        <w:rPr>
          <w:rFonts w:asciiTheme="majorBidi" w:hAnsiTheme="majorBidi" w:cstheme="majorBidi"/>
          <w:sz w:val="24"/>
          <w:szCs w:val="24"/>
        </w:rPr>
      </w:pPr>
      <w:r>
        <w:rPr>
          <w:rFonts w:asciiTheme="majorBidi" w:hAnsiTheme="majorBidi" w:cstheme="majorBidi"/>
          <w:sz w:val="24"/>
          <w:szCs w:val="24"/>
        </w:rPr>
        <w:t>PWPER (2023): Transforming education, training and research for sustainable development in Kenya. Nairobi: Government Printers.</w:t>
      </w:r>
    </w:p>
    <w:p w14:paraId="6298EC03">
      <w:pPr>
        <w:spacing w:before="240" w:line="240" w:lineRule="auto"/>
        <w:ind w:left="720" w:hanging="720"/>
        <w:rPr>
          <w:rFonts w:asciiTheme="majorBidi" w:hAnsiTheme="majorBidi" w:cstheme="majorBidi"/>
          <w:color w:val="000000"/>
          <w:sz w:val="24"/>
          <w:szCs w:val="24"/>
        </w:rPr>
      </w:pPr>
      <w:r>
        <w:rPr>
          <w:rFonts w:asciiTheme="majorBidi" w:hAnsiTheme="majorBidi" w:cstheme="majorBidi"/>
          <w:color w:val="000000"/>
          <w:sz w:val="24"/>
          <w:szCs w:val="24"/>
        </w:rPr>
        <w:t>Rae, K., &amp; Subramaniam, N. (2008), Quality of internal control procedures: Antecedents and moderating effect on organizational justice and employee fraud. Managerial Auditing Journal, 23(2), 104124.</w:t>
      </w:r>
    </w:p>
    <w:p w14:paraId="1FA327C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Rashid, S., &amp; Rajab, H., (2016). Unmonitored students self-created WhatsApp groups in distance learning environments: A collaborative learning tool or cheating technique. </w:t>
      </w:r>
      <w:r>
        <w:rPr>
          <w:rFonts w:asciiTheme="majorBidi" w:hAnsiTheme="majorBidi" w:cstheme="majorBidi"/>
          <w:i/>
          <w:iCs/>
          <w:sz w:val="24"/>
          <w:szCs w:val="24"/>
          <w:shd w:val="clear" w:color="auto" w:fill="FFFFFF"/>
        </w:rPr>
        <w:t>International Journal of Research Studies in Educational Technology</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5</w:t>
      </w:r>
      <w:r>
        <w:rPr>
          <w:rFonts w:asciiTheme="majorBidi" w:hAnsiTheme="majorBidi" w:cstheme="majorBidi"/>
          <w:sz w:val="24"/>
          <w:szCs w:val="24"/>
          <w:shd w:val="clear" w:color="auto" w:fill="FFFFFF"/>
        </w:rPr>
        <w:t>(2), 71-82.</w:t>
      </w:r>
    </w:p>
    <w:p w14:paraId="513AAEDA">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 xml:space="preserve">Republic of Kenya (2012). Kenya National Examinations Council Act. Nairobi: Government Printers.  </w:t>
      </w:r>
    </w:p>
    <w:p w14:paraId="5352B0B2">
      <w:pPr>
        <w:pStyle w:val="17"/>
        <w:ind w:left="709" w:hanging="709"/>
        <w:rPr>
          <w:rFonts w:asciiTheme="majorBidi" w:hAnsiTheme="majorBidi" w:cstheme="majorBidi"/>
        </w:rPr>
      </w:pPr>
      <w:r>
        <w:rPr>
          <w:rFonts w:asciiTheme="majorBidi" w:hAnsiTheme="majorBidi" w:cstheme="majorBidi"/>
        </w:rPr>
        <w:t xml:space="preserve">Rogers, A. M., &amp; Wright, V. H. (2018). Parental involvement in education: Findings from a school district-based study. </w:t>
      </w:r>
      <w:r>
        <w:rPr>
          <w:rStyle w:val="10"/>
          <w:rFonts w:asciiTheme="majorBidi" w:hAnsiTheme="majorBidi" w:cstheme="majorBidi"/>
        </w:rPr>
        <w:t>Journal of Educational Research</w:t>
      </w:r>
      <w:r>
        <w:rPr>
          <w:rFonts w:asciiTheme="majorBidi" w:hAnsiTheme="majorBidi" w:cstheme="majorBidi"/>
        </w:rPr>
        <w:t>, 111(2), 111-121.</w:t>
      </w:r>
    </w:p>
    <w:p w14:paraId="26516BCA">
      <w:pPr>
        <w:pStyle w:val="17"/>
        <w:ind w:left="709" w:hanging="709"/>
        <w:rPr>
          <w:rFonts w:asciiTheme="majorBidi" w:hAnsiTheme="majorBidi" w:cstheme="majorBidi"/>
        </w:rPr>
      </w:pPr>
      <w:r>
        <w:rPr>
          <w:rFonts w:asciiTheme="majorBidi" w:hAnsiTheme="majorBidi" w:cstheme="majorBidi"/>
        </w:rPr>
        <w:t xml:space="preserve">Rogers, C., &amp; Wright, P. (2018). Strategies for instilling honesty and integrity in children. </w:t>
      </w:r>
      <w:r>
        <w:rPr>
          <w:rStyle w:val="10"/>
          <w:rFonts w:asciiTheme="majorBidi" w:hAnsiTheme="majorBidi" w:cstheme="majorBidi"/>
        </w:rPr>
        <w:t>Journal of Family Education</w:t>
      </w:r>
      <w:r>
        <w:rPr>
          <w:rFonts w:asciiTheme="majorBidi" w:hAnsiTheme="majorBidi" w:cstheme="majorBidi"/>
        </w:rPr>
        <w:t>, 11(3), 45-56.</w:t>
      </w:r>
    </w:p>
    <w:p w14:paraId="1CA0F708">
      <w:pPr>
        <w:pStyle w:val="17"/>
        <w:ind w:left="709" w:hanging="709"/>
        <w:rPr>
          <w:rFonts w:asciiTheme="majorBidi" w:hAnsiTheme="majorBidi" w:cstheme="majorBidi"/>
        </w:rPr>
      </w:pPr>
      <w:r>
        <w:rPr>
          <w:rFonts w:asciiTheme="majorBidi" w:hAnsiTheme="majorBidi" w:cstheme="majorBidi"/>
        </w:rPr>
        <w:t xml:space="preserve">Rogers, E., &amp; Wright, L. (2019). Factors contributing to perceived benefits of cheating. </w:t>
      </w:r>
      <w:r>
        <w:rPr>
          <w:rStyle w:val="10"/>
          <w:rFonts w:asciiTheme="majorBidi" w:hAnsiTheme="majorBidi" w:cstheme="majorBidi"/>
        </w:rPr>
        <w:t>Journal of Educational Studies</w:t>
      </w:r>
      <w:r>
        <w:rPr>
          <w:rFonts w:asciiTheme="majorBidi" w:hAnsiTheme="majorBidi" w:cstheme="majorBidi"/>
        </w:rPr>
        <w:t>, 19(1), 78-89.</w:t>
      </w:r>
    </w:p>
    <w:p w14:paraId="6631AECB">
      <w:pPr>
        <w:pStyle w:val="17"/>
        <w:ind w:left="709" w:hanging="709"/>
        <w:rPr>
          <w:rFonts w:asciiTheme="majorBidi" w:hAnsiTheme="majorBidi" w:cstheme="majorBidi"/>
        </w:rPr>
      </w:pPr>
      <w:r>
        <w:rPr>
          <w:rFonts w:asciiTheme="majorBidi" w:hAnsiTheme="majorBidi" w:cstheme="majorBidi"/>
        </w:rPr>
        <w:t xml:space="preserve">Rogers, E., &amp; Wright, L. (2020). Exam integrity and the pressure of career aspirations. </w:t>
      </w:r>
      <w:r>
        <w:rPr>
          <w:rStyle w:val="10"/>
          <w:rFonts w:asciiTheme="majorBidi" w:hAnsiTheme="majorBidi" w:cstheme="majorBidi"/>
        </w:rPr>
        <w:t>Journal of Educational Studies</w:t>
      </w:r>
      <w:r>
        <w:rPr>
          <w:rFonts w:asciiTheme="majorBidi" w:hAnsiTheme="majorBidi" w:cstheme="majorBidi"/>
        </w:rPr>
        <w:t>, 21(1), 67-78.</w:t>
      </w:r>
    </w:p>
    <w:p w14:paraId="1B0B8720">
      <w:pPr>
        <w:pStyle w:val="17"/>
        <w:ind w:left="709" w:hanging="709"/>
        <w:rPr>
          <w:rFonts w:asciiTheme="majorBidi" w:hAnsiTheme="majorBidi" w:cstheme="majorBidi"/>
        </w:rPr>
      </w:pPr>
      <w:r>
        <w:rPr>
          <w:rFonts w:asciiTheme="majorBidi" w:hAnsiTheme="majorBidi" w:cstheme="majorBidi"/>
        </w:rPr>
        <w:t xml:space="preserve">Rogers, E., &amp; Wright, P. (2019). Strategies to promote fair competition in exams. </w:t>
      </w:r>
      <w:r>
        <w:rPr>
          <w:rStyle w:val="10"/>
          <w:rFonts w:asciiTheme="majorBidi" w:hAnsiTheme="majorBidi" w:cstheme="majorBidi"/>
        </w:rPr>
        <w:t>Journal of Educational Integrity</w:t>
      </w:r>
      <w:r>
        <w:rPr>
          <w:rFonts w:asciiTheme="majorBidi" w:hAnsiTheme="majorBidi" w:cstheme="majorBidi"/>
        </w:rPr>
        <w:t>, 18(2), 34-45.</w:t>
      </w:r>
    </w:p>
    <w:p w14:paraId="244BA740">
      <w:pPr>
        <w:pStyle w:val="17"/>
        <w:ind w:left="709" w:hanging="709"/>
        <w:rPr>
          <w:rFonts w:asciiTheme="majorBidi" w:hAnsiTheme="majorBidi" w:cstheme="majorBidi"/>
        </w:rPr>
      </w:pPr>
      <w:r>
        <w:rPr>
          <w:rFonts w:asciiTheme="majorBidi" w:hAnsiTheme="majorBidi" w:cstheme="majorBidi"/>
        </w:rPr>
        <w:t xml:space="preserve">Rogers, E., &amp; Wright, P. (2020). Strategies for reducing academic dishonesty. </w:t>
      </w:r>
      <w:r>
        <w:rPr>
          <w:rStyle w:val="10"/>
          <w:rFonts w:asciiTheme="majorBidi" w:hAnsiTheme="majorBidi" w:cstheme="majorBidi"/>
        </w:rPr>
        <w:t>Journal of Academic Ethics</w:t>
      </w:r>
      <w:r>
        <w:rPr>
          <w:rFonts w:asciiTheme="majorBidi" w:hAnsiTheme="majorBidi" w:cstheme="majorBidi"/>
        </w:rPr>
        <w:t>, 19(3), 56-67.</w:t>
      </w:r>
    </w:p>
    <w:p w14:paraId="055C06D0">
      <w:pPr>
        <w:pStyle w:val="17"/>
        <w:ind w:left="709" w:hanging="709"/>
        <w:rPr>
          <w:rFonts w:asciiTheme="majorBidi" w:hAnsiTheme="majorBidi" w:cstheme="majorBidi"/>
        </w:rPr>
      </w:pPr>
      <w:r>
        <w:rPr>
          <w:rFonts w:asciiTheme="majorBidi" w:hAnsiTheme="majorBidi" w:cstheme="majorBidi"/>
        </w:rPr>
        <w:t xml:space="preserve">Rogers, E., &amp; Wright, P. (2021). Strategies for promoting fairness in examinations. </w:t>
      </w:r>
      <w:r>
        <w:rPr>
          <w:rStyle w:val="10"/>
          <w:rFonts w:asciiTheme="majorBidi" w:hAnsiTheme="majorBidi" w:cstheme="majorBidi"/>
        </w:rPr>
        <w:t>Journal of Academic Integrity</w:t>
      </w:r>
      <w:r>
        <w:rPr>
          <w:rFonts w:asciiTheme="majorBidi" w:hAnsiTheme="majorBidi" w:cstheme="majorBidi"/>
        </w:rPr>
        <w:t>, 19(2), 34-45.</w:t>
      </w:r>
    </w:p>
    <w:p w14:paraId="367E14C2">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Romney, M. and P. Steinbart, Accounting Information Systems Ninth edition, Prentice Hall. Upper Saddle River, NJ, 2003.Safety. Proceedings of the National Academy of Sciences, 108(7), 2693-2698.</w:t>
      </w:r>
    </w:p>
    <w:p w14:paraId="1DEF1CF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rPr>
        <w:t>Roorda, D. L., Koomen, H. M., Spilt, J. L., &amp; Oort, F. J. (2011). The influence of affective teacher–student relationships on students’ school engagement and achievement: A meta-analytic approach. Review of Educational Research, 81, 493–529.</w:t>
      </w:r>
    </w:p>
    <w:p w14:paraId="7937C676">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Ruijgrok-Lupton, P. E., Crane, R. S., &amp; Dorjee, D. (2018). Impact of mindfulness-based teacher training on MBSR participant well-being outcomes and course satisfaction. </w:t>
      </w:r>
      <w:r>
        <w:rPr>
          <w:rFonts w:asciiTheme="majorBidi" w:hAnsiTheme="majorBidi" w:cstheme="majorBidi"/>
          <w:i/>
          <w:iCs/>
          <w:sz w:val="24"/>
          <w:szCs w:val="24"/>
          <w:shd w:val="clear" w:color="auto" w:fill="FFFFFF"/>
        </w:rPr>
        <w:t>Mindfulness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9</w:t>
      </w:r>
      <w:r>
        <w:rPr>
          <w:rFonts w:asciiTheme="majorBidi" w:hAnsiTheme="majorBidi" w:cstheme="majorBidi"/>
          <w:sz w:val="24"/>
          <w:szCs w:val="24"/>
          <w:shd w:val="clear" w:color="auto" w:fill="FFFFFF"/>
        </w:rPr>
        <w:t>, 117-128.</w:t>
      </w:r>
    </w:p>
    <w:p w14:paraId="6BC591AE">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Salmela‐Aro, K. and Upadyaya, K. (2014) </w:t>
      </w:r>
      <w:r>
        <w:rPr>
          <w:rFonts w:asciiTheme="majorBidi" w:hAnsiTheme="majorBidi" w:cstheme="majorBidi"/>
          <w:i/>
          <w:iCs/>
          <w:sz w:val="24"/>
          <w:szCs w:val="24"/>
        </w:rPr>
        <w:t>- British journal of educational psychology)</w:t>
      </w:r>
      <w:r>
        <w:rPr>
          <w:rFonts w:asciiTheme="majorBidi" w:hAnsiTheme="majorBidi" w:cstheme="majorBidi"/>
          <w:sz w:val="24"/>
          <w:szCs w:val="24"/>
        </w:rPr>
        <w:t xml:space="preserve"> - Wiley Online Library</w:t>
      </w:r>
    </w:p>
    <w:p w14:paraId="1572A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Schwab, S., &amp; Gebhardt, M. (2018). The impact of social behavior and peers' attitudes toward students with special educational needs on self-reported peer interactions. *Frontiers in Education*, 6, Article 561662. </w:t>
      </w:r>
      <w:r>
        <w:fldChar w:fldCharType="begin"/>
      </w:r>
      <w:r>
        <w:instrText xml:space="preserve"> HYPERLINK "https://doi.org/10.3389/feduc.2021.561662" </w:instrText>
      </w:r>
      <w:r>
        <w:fldChar w:fldCharType="separate"/>
      </w:r>
      <w:r>
        <w:rPr>
          <w:rStyle w:val="16"/>
          <w:rFonts w:eastAsia="Times New Roman" w:asciiTheme="majorBidi" w:hAnsiTheme="majorBidi" w:cstheme="majorBidi"/>
          <w:color w:val="auto"/>
          <w:sz w:val="24"/>
          <w:szCs w:val="24"/>
          <w:u w:val="none"/>
        </w:rPr>
        <w:t>https://doi.org/10.3389/feduc.2021.561662</w:t>
      </w:r>
      <w:r>
        <w:rPr>
          <w:rStyle w:val="16"/>
          <w:rFonts w:eastAsia="Times New Roman" w:asciiTheme="majorBidi" w:hAnsiTheme="majorBidi" w:cstheme="majorBidi"/>
          <w:color w:val="auto"/>
          <w:sz w:val="24"/>
          <w:szCs w:val="24"/>
          <w:u w:val="none"/>
        </w:rPr>
        <w:fldChar w:fldCharType="end"/>
      </w:r>
    </w:p>
    <w:p w14:paraId="69952A92">
      <w:pPr>
        <w:spacing w:line="240" w:lineRule="auto"/>
        <w:ind w:left="709" w:hanging="709"/>
        <w:rPr>
          <w:rFonts w:asciiTheme="majorBidi" w:hAnsiTheme="majorBidi" w:cstheme="majorBidi"/>
          <w:sz w:val="24"/>
          <w:szCs w:val="24"/>
        </w:rPr>
      </w:pPr>
      <w:r>
        <w:rPr>
          <w:rStyle w:val="57"/>
          <w:rFonts w:asciiTheme="majorBidi" w:hAnsiTheme="majorBidi" w:cstheme="majorBidi"/>
          <w:sz w:val="24"/>
          <w:szCs w:val="24"/>
        </w:rPr>
        <w:t xml:space="preserve">Serfine Achieng </w:t>
      </w:r>
      <w:r>
        <w:rPr>
          <w:rStyle w:val="58"/>
          <w:rFonts w:asciiTheme="majorBidi" w:hAnsiTheme="majorBidi" w:cstheme="majorBidi"/>
          <w:sz w:val="24"/>
          <w:szCs w:val="24"/>
        </w:rPr>
        <w:t xml:space="preserve">(2023, October 12): </w:t>
      </w:r>
      <w:r>
        <w:rPr>
          <w:rFonts w:asciiTheme="majorBidi" w:hAnsiTheme="majorBidi" w:cstheme="majorBidi"/>
          <w:sz w:val="24"/>
          <w:szCs w:val="24"/>
        </w:rPr>
        <w:t xml:space="preserve">New Parliamentary report reveals cheating in 2022 KCSE exams. Retrieved from https://www.citizen.digital </w:t>
      </w:r>
    </w:p>
    <w:p w14:paraId="1A8F07E5">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Shuey, A. N., &amp; Wold, B. J. (2020). The growing sophistication of academic dishonesty on college campuses: A clash of cultures. </w:t>
      </w:r>
      <w:r>
        <w:rPr>
          <w:rFonts w:eastAsia="Times New Roman" w:asciiTheme="majorBidi" w:hAnsiTheme="majorBidi" w:cstheme="majorBidi"/>
          <w:i/>
          <w:iCs/>
          <w:sz w:val="24"/>
          <w:szCs w:val="24"/>
        </w:rPr>
        <w:t>Teaching Sociology, 48</w:t>
      </w:r>
      <w:r>
        <w:rPr>
          <w:rFonts w:eastAsia="Times New Roman" w:asciiTheme="majorBidi" w:hAnsiTheme="majorBidi" w:cstheme="majorBidi"/>
          <w:sz w:val="24"/>
          <w:szCs w:val="24"/>
        </w:rPr>
        <w:t>(4), 319-335.</w:t>
      </w:r>
    </w:p>
    <w:p w14:paraId="7C2EA265">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Simkin, M. G., &amp; McLeod, A. (2010). Why do college students cheat? </w:t>
      </w:r>
      <w:r>
        <w:rPr>
          <w:rFonts w:eastAsia="Times New Roman" w:asciiTheme="majorBidi" w:hAnsiTheme="majorBidi" w:cstheme="majorBidi"/>
          <w:i/>
          <w:iCs/>
          <w:sz w:val="24"/>
          <w:szCs w:val="24"/>
        </w:rPr>
        <w:t>Journal of Business Ethics, 94</w:t>
      </w:r>
      <w:r>
        <w:rPr>
          <w:rFonts w:eastAsia="Times New Roman" w:asciiTheme="majorBidi" w:hAnsiTheme="majorBidi" w:cstheme="majorBidi"/>
          <w:sz w:val="24"/>
          <w:szCs w:val="24"/>
        </w:rPr>
        <w:t>(3), 441-453.</w:t>
      </w:r>
    </w:p>
    <w:p w14:paraId="24190477">
      <w:pPr>
        <w:pStyle w:val="50"/>
        <w:spacing w:before="240" w:after="200"/>
        <w:ind w:left="720" w:hanging="720"/>
        <w:rPr>
          <w:rFonts w:asciiTheme="majorBidi" w:hAnsiTheme="majorBidi" w:cstheme="majorBidi"/>
          <w:color w:val="auto"/>
        </w:rPr>
      </w:pPr>
      <w:r>
        <w:rPr>
          <w:rFonts w:asciiTheme="majorBidi" w:hAnsiTheme="majorBidi" w:cstheme="majorBidi"/>
          <w:color w:val="auto"/>
        </w:rPr>
        <w:t>Singleton, R. A. (1993</w:t>
      </w:r>
      <w:r>
        <w:rPr>
          <w:rFonts w:asciiTheme="majorBidi" w:hAnsiTheme="majorBidi" w:cstheme="majorBidi"/>
          <w:i/>
          <w:iCs/>
          <w:color w:val="auto"/>
        </w:rPr>
        <w:t>). Approaches to Social Science Research</w:t>
      </w:r>
      <w:r>
        <w:rPr>
          <w:rFonts w:asciiTheme="majorBidi" w:hAnsiTheme="majorBidi" w:cstheme="majorBidi"/>
          <w:color w:val="auto"/>
        </w:rPr>
        <w:t xml:space="preserve">. New York: Oxford University Press. </w:t>
      </w:r>
    </w:p>
    <w:p w14:paraId="6ECD01CC">
      <w:pPr>
        <w:pStyle w:val="17"/>
        <w:ind w:left="851" w:hanging="851"/>
        <w:rPr>
          <w:rFonts w:asciiTheme="majorBidi" w:hAnsiTheme="majorBidi" w:cstheme="majorBidi"/>
        </w:rPr>
      </w:pPr>
      <w:r>
        <w:rPr>
          <w:rFonts w:asciiTheme="majorBidi" w:hAnsiTheme="majorBidi" w:cstheme="majorBidi"/>
        </w:rPr>
        <w:t xml:space="preserve">Smith, A., &amp; Johnson, B. (2016). The belief in fair competition and its impact on examination integrity. </w:t>
      </w:r>
      <w:r>
        <w:rPr>
          <w:rStyle w:val="10"/>
          <w:rFonts w:asciiTheme="majorBidi" w:hAnsiTheme="majorBidi" w:cstheme="majorBidi"/>
        </w:rPr>
        <w:t>Journal of Educational Studies</w:t>
      </w:r>
      <w:r>
        <w:rPr>
          <w:rFonts w:asciiTheme="majorBidi" w:hAnsiTheme="majorBidi" w:cstheme="majorBidi"/>
        </w:rPr>
        <w:t>, 15(2), 45-56.</w:t>
      </w:r>
    </w:p>
    <w:p w14:paraId="49CAF4A2">
      <w:pPr>
        <w:pStyle w:val="17"/>
        <w:ind w:left="851" w:hanging="851"/>
        <w:rPr>
          <w:rFonts w:asciiTheme="majorBidi" w:hAnsiTheme="majorBidi" w:cstheme="majorBidi"/>
        </w:rPr>
      </w:pPr>
      <w:r>
        <w:rPr>
          <w:rFonts w:asciiTheme="majorBidi" w:hAnsiTheme="majorBidi" w:cstheme="majorBidi"/>
        </w:rPr>
        <w:t xml:space="preserve">Smith, A., &amp; Johnson, B. (2017). Academic success and its impact on future career opportunities. </w:t>
      </w:r>
      <w:r>
        <w:rPr>
          <w:rStyle w:val="10"/>
          <w:rFonts w:asciiTheme="majorBidi" w:hAnsiTheme="majorBidi" w:cstheme="majorBidi"/>
        </w:rPr>
        <w:t>Journal of Academic Integrity</w:t>
      </w:r>
      <w:r>
        <w:rPr>
          <w:rFonts w:asciiTheme="majorBidi" w:hAnsiTheme="majorBidi" w:cstheme="majorBidi"/>
        </w:rPr>
        <w:t>, 14(2), 45-56.</w:t>
      </w:r>
    </w:p>
    <w:p w14:paraId="0A17B8B5">
      <w:pPr>
        <w:pStyle w:val="17"/>
        <w:ind w:left="851" w:hanging="851"/>
        <w:rPr>
          <w:rFonts w:asciiTheme="majorBidi" w:hAnsiTheme="majorBidi" w:cstheme="majorBidi"/>
        </w:rPr>
      </w:pPr>
      <w:r>
        <w:rPr>
          <w:rFonts w:asciiTheme="majorBidi" w:hAnsiTheme="majorBidi" w:cstheme="majorBidi"/>
        </w:rPr>
        <w:t xml:space="preserve">Smith, A., &amp; Johnson, B. (2017). Students' perceived benefits of cheating and their correlation to exam integrity. </w:t>
      </w:r>
      <w:r>
        <w:rPr>
          <w:rStyle w:val="10"/>
          <w:rFonts w:asciiTheme="majorBidi" w:hAnsiTheme="majorBidi" w:cstheme="majorBidi"/>
        </w:rPr>
        <w:t>Journal of Academic Integrity</w:t>
      </w:r>
      <w:r>
        <w:rPr>
          <w:rFonts w:asciiTheme="majorBidi" w:hAnsiTheme="majorBidi" w:cstheme="majorBidi"/>
        </w:rPr>
        <w:t>, 13(2), 34-45.</w:t>
      </w:r>
    </w:p>
    <w:p w14:paraId="4B15A0AA">
      <w:pPr>
        <w:pStyle w:val="17"/>
        <w:ind w:left="851" w:hanging="851"/>
        <w:rPr>
          <w:rFonts w:asciiTheme="majorBidi" w:hAnsiTheme="majorBidi" w:cstheme="majorBidi"/>
        </w:rPr>
      </w:pPr>
      <w:r>
        <w:rPr>
          <w:rFonts w:asciiTheme="majorBidi" w:hAnsiTheme="majorBidi" w:cstheme="majorBidi"/>
        </w:rPr>
        <w:t xml:space="preserve">Smith, A., &amp; Johnson, B. (2018). Cheating in exams: The influence of career aspirations. </w:t>
      </w:r>
      <w:r>
        <w:rPr>
          <w:rStyle w:val="10"/>
          <w:rFonts w:asciiTheme="majorBidi" w:hAnsiTheme="majorBidi" w:cstheme="majorBidi"/>
        </w:rPr>
        <w:t>Journal of Academic Integrity</w:t>
      </w:r>
      <w:r>
        <w:rPr>
          <w:rFonts w:asciiTheme="majorBidi" w:hAnsiTheme="majorBidi" w:cstheme="majorBidi"/>
        </w:rPr>
        <w:t>, 15(3), 45-56.</w:t>
      </w:r>
    </w:p>
    <w:p w14:paraId="17C17A58">
      <w:pPr>
        <w:pStyle w:val="17"/>
        <w:ind w:left="851" w:hanging="851"/>
        <w:rPr>
          <w:rFonts w:asciiTheme="majorBidi" w:hAnsiTheme="majorBidi" w:cstheme="majorBidi"/>
        </w:rPr>
      </w:pPr>
      <w:r>
        <w:rPr>
          <w:rFonts w:asciiTheme="majorBidi" w:hAnsiTheme="majorBidi" w:cstheme="majorBidi"/>
        </w:rPr>
        <w:t xml:space="preserve">Smith, A., &amp; Johnson, B. (2018). The importance of a level playing field in education. </w:t>
      </w:r>
      <w:r>
        <w:rPr>
          <w:rStyle w:val="10"/>
          <w:rFonts w:asciiTheme="majorBidi" w:hAnsiTheme="majorBidi" w:cstheme="majorBidi"/>
        </w:rPr>
        <w:t>Journal of Educational Integrity</w:t>
      </w:r>
      <w:r>
        <w:rPr>
          <w:rFonts w:asciiTheme="majorBidi" w:hAnsiTheme="majorBidi" w:cstheme="majorBidi"/>
        </w:rPr>
        <w:t>, 15(2), 34-45.</w:t>
      </w:r>
    </w:p>
    <w:p w14:paraId="747F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Smith, A., &amp; Johnson, B. (2020). Consequences of tolerating academic misconduct. *Journal of Academic Integrity*, 14(3), 123-130.</w:t>
      </w:r>
    </w:p>
    <w:p w14:paraId="4FF87F29">
      <w:pPr>
        <w:pStyle w:val="17"/>
        <w:ind w:left="851" w:hanging="851"/>
        <w:rPr>
          <w:rFonts w:asciiTheme="majorBidi" w:hAnsiTheme="majorBidi" w:cstheme="majorBidi"/>
        </w:rPr>
      </w:pPr>
      <w:r>
        <w:rPr>
          <w:rFonts w:asciiTheme="majorBidi" w:hAnsiTheme="majorBidi" w:cstheme="majorBidi"/>
        </w:rPr>
        <w:t xml:space="preserve">Smith, J. A., &amp; Johnson, B. C. (2016). Parental involvement in exam integrity: Impacts on school culture. </w:t>
      </w:r>
      <w:r>
        <w:rPr>
          <w:rStyle w:val="10"/>
          <w:rFonts w:asciiTheme="majorBidi" w:hAnsiTheme="majorBidi" w:cstheme="majorBidi"/>
        </w:rPr>
        <w:t>Journal of Educational Integrity</w:t>
      </w:r>
      <w:r>
        <w:rPr>
          <w:rFonts w:asciiTheme="majorBidi" w:hAnsiTheme="majorBidi" w:cstheme="majorBidi"/>
        </w:rPr>
        <w:t>, 12(1), 23-35.</w:t>
      </w:r>
    </w:p>
    <w:p w14:paraId="0B3337EA">
      <w:pPr>
        <w:spacing w:line="240" w:lineRule="auto"/>
        <w:ind w:left="720" w:hanging="720"/>
        <w:rPr>
          <w:rFonts w:asciiTheme="majorBidi" w:hAnsiTheme="majorBidi" w:cstheme="majorBidi"/>
          <w:sz w:val="24"/>
          <w:szCs w:val="24"/>
        </w:rPr>
      </w:pPr>
      <w:r>
        <w:rPr>
          <w:rFonts w:asciiTheme="majorBidi" w:hAnsiTheme="majorBidi" w:cstheme="majorBidi"/>
          <w:sz w:val="24"/>
          <w:szCs w:val="24"/>
          <w:shd w:val="clear" w:color="auto" w:fill="FFFFFF"/>
        </w:rPr>
        <w:t>Song, Y., Guo, Y., &amp; Thuente, D. (2016, October). A quantitative case study on students' strategy for using authorized cheat-sheets. In </w:t>
      </w:r>
      <w:r>
        <w:rPr>
          <w:rFonts w:asciiTheme="majorBidi" w:hAnsiTheme="majorBidi" w:cstheme="majorBidi"/>
          <w:i/>
          <w:iCs/>
          <w:sz w:val="24"/>
          <w:szCs w:val="24"/>
          <w:shd w:val="clear" w:color="auto" w:fill="FFFFFF"/>
        </w:rPr>
        <w:t>2016 IEEE Frontiers in Education Conference (FIE)</w:t>
      </w:r>
      <w:r>
        <w:rPr>
          <w:rFonts w:asciiTheme="majorBidi" w:hAnsiTheme="majorBidi" w:cstheme="majorBidi"/>
          <w:sz w:val="24"/>
          <w:szCs w:val="24"/>
          <w:shd w:val="clear" w:color="auto" w:fill="FFFFFF"/>
        </w:rPr>
        <w:t> (pp. 1-9). IEEE.</w:t>
      </w:r>
    </w:p>
    <w:p w14:paraId="46F4D4B0">
      <w:pPr>
        <w:spacing w:line="240" w:lineRule="auto"/>
        <w:ind w:left="709" w:hanging="709"/>
        <w:rPr>
          <w:rFonts w:asciiTheme="majorBidi" w:hAnsiTheme="majorBidi" w:cstheme="majorBidi"/>
          <w:sz w:val="24"/>
          <w:szCs w:val="24"/>
        </w:rPr>
      </w:pPr>
      <w:r>
        <w:rPr>
          <w:rFonts w:asciiTheme="majorBidi" w:hAnsiTheme="majorBidi" w:cstheme="majorBidi"/>
          <w:sz w:val="24"/>
          <w:szCs w:val="24"/>
        </w:rPr>
        <w:t>Soroya, M. S., Hashmi, M. A., &amp; Soroya, S. H. (2014). Student-teacher relationship and its impact on academic integrity: A case of university of the Punjab. Pakistan Library &amp; Information Science Journal, 45(2).</w:t>
      </w:r>
    </w:p>
    <w:p w14:paraId="39904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Steenberghs, N., Lavrijsen, J., Soenens, B., &amp; Verschueren, K. (2021). Peer effects on engagement and disengagement: Differential contributions from friends, popular peers, and the entire class. *Frontiers in Psychology*, 12, Article 726815. https://doi.org/10.3389/fpsyg.2021.726815</w:t>
      </w:r>
    </w:p>
    <w:p w14:paraId="6EB8804A">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Stiggins, R. J. (2001). The principal's leadership role in assessment. </w:t>
      </w:r>
      <w:r>
        <w:rPr>
          <w:rFonts w:asciiTheme="majorBidi" w:hAnsiTheme="majorBidi" w:cstheme="majorBidi"/>
          <w:i/>
          <w:iCs/>
          <w:sz w:val="24"/>
          <w:szCs w:val="24"/>
          <w:shd w:val="clear" w:color="auto" w:fill="FFFFFF"/>
        </w:rPr>
        <w:t>NASSP bulletin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85</w:t>
      </w:r>
      <w:r>
        <w:rPr>
          <w:rFonts w:asciiTheme="majorBidi" w:hAnsiTheme="majorBidi" w:cstheme="majorBidi"/>
          <w:sz w:val="24"/>
          <w:szCs w:val="24"/>
          <w:shd w:val="clear" w:color="auto" w:fill="FFFFFF"/>
        </w:rPr>
        <w:t>(621), 13-26.</w:t>
      </w:r>
    </w:p>
    <w:p w14:paraId="371E8268">
      <w:pPr>
        <w:spacing w:before="240" w:line="240" w:lineRule="auto"/>
        <w:ind w:left="720" w:hanging="720"/>
        <w:rPr>
          <w:rFonts w:eastAsia="Times New Roman" w:asciiTheme="majorBidi" w:hAnsiTheme="majorBidi" w:cstheme="majorBidi"/>
          <w:sz w:val="24"/>
          <w:szCs w:val="24"/>
        </w:rPr>
      </w:pPr>
      <w:r>
        <w:rPr>
          <w:rStyle w:val="52"/>
          <w:rFonts w:asciiTheme="majorBidi" w:hAnsiTheme="majorBidi" w:cstheme="majorBidi"/>
          <w:sz w:val="24"/>
          <w:szCs w:val="24"/>
        </w:rPr>
        <w:t>Storch, E. A.  and Storch</w:t>
      </w:r>
      <w:r>
        <w:rPr>
          <w:rFonts w:asciiTheme="majorBidi" w:hAnsiTheme="majorBidi" w:cstheme="majorBidi"/>
          <w:sz w:val="24"/>
          <w:szCs w:val="24"/>
        </w:rPr>
        <w:t xml:space="preserve">, </w:t>
      </w:r>
      <w:r>
        <w:rPr>
          <w:rStyle w:val="52"/>
          <w:rFonts w:asciiTheme="majorBidi" w:hAnsiTheme="majorBidi" w:cstheme="majorBidi"/>
          <w:sz w:val="24"/>
          <w:szCs w:val="24"/>
        </w:rPr>
        <w:t>J. B. </w:t>
      </w:r>
      <w:r>
        <w:rPr>
          <w:rFonts w:asciiTheme="majorBidi" w:hAnsiTheme="majorBidi" w:cstheme="majorBidi"/>
          <w:sz w:val="24"/>
          <w:szCs w:val="24"/>
        </w:rPr>
        <w:t xml:space="preserve"> (2003): </w:t>
      </w:r>
      <w:r>
        <w:rPr>
          <w:rFonts w:asciiTheme="majorBidi" w:hAnsiTheme="majorBidi" w:cstheme="majorBidi"/>
          <w:i/>
          <w:iCs/>
          <w:sz w:val="24"/>
          <w:szCs w:val="24"/>
        </w:rPr>
        <w:t>Academic dishonesty and Attitudes towards academic dishonest acts: Support for Cognitive Dissonance Theory.</w:t>
      </w:r>
      <w:r>
        <w:rPr>
          <w:rFonts w:asciiTheme="majorBidi" w:hAnsiTheme="majorBidi" w:cstheme="majorBidi"/>
          <w:sz w:val="24"/>
          <w:szCs w:val="24"/>
        </w:rPr>
        <w:t xml:space="preserve"> </w:t>
      </w:r>
      <w:r>
        <w:rPr>
          <w:rFonts w:asciiTheme="majorBidi" w:hAnsiTheme="majorBidi" w:cstheme="majorBidi"/>
          <w:sz w:val="24"/>
          <w:szCs w:val="24"/>
          <w:shd w:val="clear" w:color="auto" w:fill="FFFFFF"/>
        </w:rPr>
        <w:t>Psychological Reports, 2003 - journals.sagepub.com</w:t>
      </w:r>
    </w:p>
    <w:p w14:paraId="287D9C6F">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Sutherland-Smith, W. (2017). Plagiarism, the Internet, and student learning: Improving academic integrity. </w:t>
      </w:r>
      <w:r>
        <w:rPr>
          <w:rFonts w:eastAsia="Times New Roman" w:asciiTheme="majorBidi" w:hAnsiTheme="majorBidi" w:cstheme="majorBidi"/>
          <w:i/>
          <w:iCs/>
          <w:sz w:val="24"/>
          <w:szCs w:val="24"/>
        </w:rPr>
        <w:t>Routledge</w:t>
      </w:r>
      <w:r>
        <w:rPr>
          <w:rFonts w:eastAsia="Times New Roman" w:asciiTheme="majorBidi" w:hAnsiTheme="majorBidi" w:cstheme="majorBidi"/>
          <w:sz w:val="24"/>
          <w:szCs w:val="24"/>
        </w:rPr>
        <w:t>.</w:t>
      </w:r>
    </w:p>
    <w:p w14:paraId="75E72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hanging="709"/>
        <w:rPr>
          <w:rStyle w:val="15"/>
          <w:rFonts w:asciiTheme="majorBidi" w:hAnsiTheme="majorBidi" w:eastAsiaTheme="minorHAnsi" w:cstheme="majorBidi"/>
          <w:sz w:val="24"/>
          <w:szCs w:val="24"/>
        </w:rPr>
      </w:pPr>
      <w:r>
        <w:rPr>
          <w:rFonts w:asciiTheme="majorBidi" w:hAnsiTheme="majorBidi" w:cstheme="majorBidi"/>
          <w:sz w:val="24"/>
          <w:szCs w:val="24"/>
        </w:rPr>
        <w:t xml:space="preserve">Taylor, M., Alamos, P., Turnbull, K. L., LoCasale-Crouch, J., &amp; Howes, C. (2023). Examining individual children's peer engagement in pre-kindergarten classrooms: Relations with classroom-level teacher-child interaction quality. </w:t>
      </w:r>
      <w:r>
        <w:rPr>
          <w:rFonts w:asciiTheme="majorBidi" w:hAnsiTheme="majorBidi" w:cstheme="majorBidi"/>
          <w:i/>
          <w:iCs/>
          <w:sz w:val="24"/>
          <w:szCs w:val="24"/>
        </w:rPr>
        <w:t>Early Childhood Research Quarterly</w:t>
      </w:r>
      <w:r>
        <w:rPr>
          <w:rFonts w:asciiTheme="majorBidi" w:hAnsiTheme="majorBidi" w:cstheme="majorBidi"/>
          <w:sz w:val="24"/>
          <w:szCs w:val="24"/>
        </w:rPr>
        <w:t xml:space="preserve">, </w:t>
      </w:r>
      <w:r>
        <w:rPr>
          <w:rFonts w:asciiTheme="majorBidi" w:hAnsiTheme="majorBidi" w:cstheme="majorBidi"/>
          <w:i/>
          <w:iCs/>
          <w:sz w:val="24"/>
          <w:szCs w:val="24"/>
        </w:rPr>
        <w:t>64</w:t>
      </w:r>
      <w:r>
        <w:rPr>
          <w:rFonts w:asciiTheme="majorBidi" w:hAnsiTheme="majorBidi" w:cstheme="majorBidi"/>
          <w:sz w:val="24"/>
          <w:szCs w:val="24"/>
        </w:rPr>
        <w:t>, 331-344.</w:t>
      </w:r>
    </w:p>
    <w:p w14:paraId="3EF150F5">
      <w:pPr>
        <w:pStyle w:val="17"/>
        <w:ind w:left="709" w:hanging="709"/>
        <w:rPr>
          <w:rFonts w:asciiTheme="majorBidi" w:hAnsiTheme="majorBidi" w:cstheme="majorBidi"/>
        </w:rPr>
      </w:pPr>
      <w:r>
        <w:rPr>
          <w:rFonts w:asciiTheme="majorBidi" w:hAnsiTheme="majorBidi" w:cstheme="majorBidi"/>
        </w:rPr>
        <w:t xml:space="preserve">Thomas, A., &amp; Green, H. (2020). Building a collaborative approach to exam integrity: The role of parents. </w:t>
      </w:r>
      <w:r>
        <w:rPr>
          <w:rStyle w:val="10"/>
          <w:rFonts w:asciiTheme="majorBidi" w:hAnsiTheme="majorBidi" w:cstheme="majorBidi"/>
        </w:rPr>
        <w:t>Educational Partnerships</w:t>
      </w:r>
      <w:r>
        <w:rPr>
          <w:rFonts w:asciiTheme="majorBidi" w:hAnsiTheme="majorBidi" w:cstheme="majorBidi"/>
        </w:rPr>
        <w:t>, 22(1), 65-75.</w:t>
      </w:r>
    </w:p>
    <w:p w14:paraId="4ABBA018">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UNESCO (2017). </w:t>
      </w:r>
      <w:r>
        <w:rPr>
          <w:rFonts w:asciiTheme="majorBidi" w:hAnsiTheme="majorBidi" w:cstheme="majorBidi"/>
          <w:sz w:val="24"/>
          <w:szCs w:val="24"/>
        </w:rPr>
        <w:t>Education for sustainable development goals: Learning objectives</w:t>
      </w:r>
      <w:r>
        <w:rPr>
          <w:rFonts w:asciiTheme="majorBidi" w:hAnsiTheme="majorBidi" w:cstheme="majorBidi"/>
          <w:sz w:val="24"/>
          <w:szCs w:val="24"/>
          <w:shd w:val="clear" w:color="auto" w:fill="FFFFFF"/>
        </w:rPr>
        <w:t>. Paris: UNESCO. Retrieved from </w:t>
      </w:r>
      <w:r>
        <w:rPr>
          <w:rFonts w:asciiTheme="majorBidi" w:hAnsiTheme="majorBidi" w:cstheme="majorBidi"/>
          <w:sz w:val="24"/>
          <w:szCs w:val="24"/>
        </w:rPr>
        <w:t>https://unesdoc.unesco.org/ark:/48223/pf0000247444</w:t>
      </w:r>
    </w:p>
    <w:p w14:paraId="1AF99170">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Viner, R. M., Ross, D., Hardy, R., Kuh, D., Power, C., Johnson, A., Wellings, K., McCambridge, J., Cole, T. J., Kelly, Y. and Batty, G. D. (2015) Life course epidemiology: recognizing the importance of adolescence. Journal of Epidemiology &amp; Community Health, 69 (8), 719–720. doi:10.1136/jech-2014-205300.</w:t>
      </w:r>
    </w:p>
    <w:p w14:paraId="734D2B8F">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Wasonga, T., Orodho, A. J., &amp; Indoshi, F. C. (2018). Competitive environment and examination integrity: A case of secondary schools in Kenya. </w:t>
      </w:r>
      <w:r>
        <w:rPr>
          <w:rFonts w:eastAsia="Times New Roman" w:asciiTheme="majorBidi" w:hAnsiTheme="majorBidi" w:cstheme="majorBidi"/>
          <w:i/>
          <w:iCs/>
          <w:sz w:val="24"/>
          <w:szCs w:val="24"/>
        </w:rPr>
        <w:t>International Journal of Educational Administration and Policy Studies, 10</w:t>
      </w:r>
      <w:r>
        <w:rPr>
          <w:rFonts w:eastAsia="Times New Roman" w:asciiTheme="majorBidi" w:hAnsiTheme="majorBidi" w:cstheme="majorBidi"/>
          <w:sz w:val="24"/>
          <w:szCs w:val="24"/>
        </w:rPr>
        <w:t>(2), 34-46.</w:t>
      </w:r>
    </w:p>
    <w:p w14:paraId="728CFDCA">
      <w:pPr>
        <w:pStyle w:val="50"/>
        <w:spacing w:before="240" w:after="200"/>
        <w:ind w:left="720" w:hanging="720"/>
        <w:rPr>
          <w:rFonts w:asciiTheme="majorBidi" w:hAnsiTheme="majorBidi" w:cstheme="majorBidi"/>
          <w:color w:val="auto"/>
        </w:rPr>
      </w:pPr>
      <w:r>
        <w:rPr>
          <w:rFonts w:asciiTheme="majorBidi" w:hAnsiTheme="majorBidi" w:cstheme="majorBidi"/>
          <w:color w:val="auto"/>
        </w:rPr>
        <w:t xml:space="preserve">Weismer, S. E. (2005). </w:t>
      </w:r>
      <w:r>
        <w:rPr>
          <w:rFonts w:asciiTheme="majorBidi" w:hAnsiTheme="majorBidi" w:cstheme="majorBidi"/>
          <w:i/>
          <w:iCs/>
          <w:color w:val="auto"/>
        </w:rPr>
        <w:t>Developmental language disorders: Challenges and implications of cross-group comparisons</w:t>
      </w:r>
      <w:r>
        <w:rPr>
          <w:rFonts w:asciiTheme="majorBidi" w:hAnsiTheme="majorBidi" w:cstheme="majorBidi"/>
          <w:color w:val="auto"/>
        </w:rPr>
        <w:t>. Folia Phoniatrica et Logopaedica: International Journal of Phoniatrics, Speech Therapy and Communication Pathology, 65(2), 68-</w:t>
      </w:r>
    </w:p>
    <w:p w14:paraId="25F11D81">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Wells, Joseph T. (2005). Principles of Fraud Examination. John Wiley &amp; Sons, Inc., Hoboken, New Jersey.</w:t>
      </w:r>
    </w:p>
    <w:p w14:paraId="2E059FBA">
      <w:pPr>
        <w:spacing w:before="100" w:beforeAutospacing="1" w:after="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Whitley, B. E., Jr., &amp; Keith-Spiegel, P. (2002). Academic dishonesty: An educator's guide. </w:t>
      </w:r>
      <w:r>
        <w:rPr>
          <w:rFonts w:eastAsia="Times New Roman" w:asciiTheme="majorBidi" w:hAnsiTheme="majorBidi" w:cstheme="majorBidi"/>
          <w:i/>
          <w:iCs/>
          <w:sz w:val="24"/>
          <w:szCs w:val="24"/>
        </w:rPr>
        <w:t>Lawrence Erlbaum Associates</w:t>
      </w:r>
      <w:r>
        <w:rPr>
          <w:rFonts w:eastAsia="Times New Roman" w:asciiTheme="majorBidi" w:hAnsiTheme="majorBidi" w:cstheme="majorBidi"/>
          <w:sz w:val="24"/>
          <w:szCs w:val="24"/>
        </w:rPr>
        <w:t>.</w:t>
      </w:r>
    </w:p>
    <w:p w14:paraId="28CD6F73">
      <w:pPr>
        <w:spacing w:line="240" w:lineRule="auto"/>
        <w:ind w:left="810" w:hanging="810"/>
        <w:rPr>
          <w:rFonts w:asciiTheme="majorBidi" w:hAnsiTheme="majorBidi" w:cstheme="majorBidi"/>
          <w:sz w:val="24"/>
          <w:szCs w:val="24"/>
        </w:rPr>
      </w:pPr>
      <w:r>
        <w:rPr>
          <w:rFonts w:asciiTheme="majorBidi" w:hAnsiTheme="majorBidi" w:cstheme="majorBidi"/>
          <w:sz w:val="24"/>
          <w:szCs w:val="24"/>
        </w:rPr>
        <w:t>Wilayat Miss (2009). “Examination Malpractice: Causes of examination malpractice/unfair means”, I.E.R</w:t>
      </w:r>
    </w:p>
    <w:p w14:paraId="6C395030">
      <w:pPr>
        <w:pStyle w:val="17"/>
        <w:ind w:left="709" w:hanging="709"/>
        <w:rPr>
          <w:rFonts w:asciiTheme="majorBidi" w:hAnsiTheme="majorBidi" w:cstheme="majorBidi"/>
        </w:rPr>
      </w:pPr>
      <w:r>
        <w:rPr>
          <w:rFonts w:asciiTheme="majorBidi" w:hAnsiTheme="majorBidi" w:cstheme="majorBidi"/>
        </w:rPr>
        <w:t xml:space="preserve">Williams, F., &amp; Davis, M. (2020). Strategies for promoting exam integrity: Reducing perceived benefits of cheating. </w:t>
      </w:r>
      <w:r>
        <w:rPr>
          <w:rStyle w:val="10"/>
          <w:rFonts w:asciiTheme="majorBidi" w:hAnsiTheme="majorBidi" w:cstheme="majorBidi"/>
        </w:rPr>
        <w:t>Journal of Academic Ethics</w:t>
      </w:r>
      <w:r>
        <w:rPr>
          <w:rFonts w:asciiTheme="majorBidi" w:hAnsiTheme="majorBidi" w:cstheme="majorBidi"/>
        </w:rPr>
        <w:t>, 21(4), 45-56.</w:t>
      </w:r>
    </w:p>
    <w:p w14:paraId="6DC6313A">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Williams, L. S. (2018). </w:t>
      </w:r>
      <w:r>
        <w:rPr>
          <w:rFonts w:asciiTheme="majorBidi" w:hAnsiTheme="majorBidi" w:cstheme="majorBidi"/>
          <w:i/>
          <w:iCs/>
          <w:sz w:val="24"/>
          <w:szCs w:val="24"/>
          <w:shd w:val="clear" w:color="auto" w:fill="FFFFFF"/>
        </w:rPr>
        <w:t>Academic Integrity: A Correlational Study of Private Christian College Students' Religiosity and the Propensity to Cheat</w:t>
      </w:r>
      <w:r>
        <w:rPr>
          <w:rFonts w:asciiTheme="majorBidi" w:hAnsiTheme="majorBidi" w:cstheme="majorBidi"/>
          <w:sz w:val="24"/>
          <w:szCs w:val="24"/>
          <w:shd w:val="clear" w:color="auto" w:fill="FFFFFF"/>
        </w:rPr>
        <w:t>. Liberty University.</w:t>
      </w:r>
    </w:p>
    <w:p w14:paraId="675B7E92">
      <w:pPr>
        <w:pStyle w:val="17"/>
        <w:ind w:left="709" w:hanging="709"/>
        <w:rPr>
          <w:rFonts w:asciiTheme="majorBidi" w:hAnsiTheme="majorBidi" w:cstheme="majorBidi"/>
        </w:rPr>
      </w:pPr>
      <w:r>
        <w:rPr>
          <w:rFonts w:asciiTheme="majorBidi" w:hAnsiTheme="majorBidi" w:cstheme="majorBidi"/>
        </w:rPr>
        <w:t xml:space="preserve">Williams, T., &amp; Davis, M. (2021). Strategies to reduce cheating driven by career aspirations. </w:t>
      </w:r>
      <w:r>
        <w:rPr>
          <w:rStyle w:val="10"/>
          <w:rFonts w:asciiTheme="majorBidi" w:hAnsiTheme="majorBidi" w:cstheme="majorBidi"/>
        </w:rPr>
        <w:t>Journal of Academic Ethics</w:t>
      </w:r>
      <w:r>
        <w:rPr>
          <w:rFonts w:asciiTheme="majorBidi" w:hAnsiTheme="majorBidi" w:cstheme="majorBidi"/>
        </w:rPr>
        <w:t>, 18(2), 34-45.</w:t>
      </w:r>
    </w:p>
    <w:p w14:paraId="3C1394A9">
      <w:pPr>
        <w:pStyle w:val="17"/>
        <w:ind w:left="709" w:hanging="709"/>
        <w:rPr>
          <w:rFonts w:asciiTheme="majorBidi" w:hAnsiTheme="majorBidi" w:cstheme="majorBidi"/>
        </w:rPr>
      </w:pPr>
      <w:r>
        <w:rPr>
          <w:rFonts w:asciiTheme="majorBidi" w:hAnsiTheme="majorBidi" w:cstheme="majorBidi"/>
        </w:rPr>
        <w:t xml:space="preserve">Williams, T., &amp; Johnson, M. (2020). Addressing cultural differences in promoting academic honesty. </w:t>
      </w:r>
      <w:r>
        <w:rPr>
          <w:rStyle w:val="10"/>
          <w:rFonts w:asciiTheme="majorBidi" w:hAnsiTheme="majorBidi" w:cstheme="majorBidi"/>
        </w:rPr>
        <w:t>Educational Review</w:t>
      </w:r>
      <w:r>
        <w:rPr>
          <w:rFonts w:asciiTheme="majorBidi" w:hAnsiTheme="majorBidi" w:cstheme="majorBidi"/>
        </w:rPr>
        <w:t>, 14(1), 67-78.</w:t>
      </w:r>
    </w:p>
    <w:p w14:paraId="563AE744">
      <w:pPr>
        <w:pStyle w:val="17"/>
        <w:spacing w:after="0" w:afterAutospacing="0"/>
        <w:ind w:left="709" w:hanging="709"/>
        <w:rPr>
          <w:rFonts w:asciiTheme="majorBidi" w:hAnsiTheme="majorBidi" w:cstheme="majorBidi"/>
        </w:rPr>
      </w:pPr>
      <w:r>
        <w:rPr>
          <w:rFonts w:asciiTheme="majorBidi" w:hAnsiTheme="majorBidi" w:cstheme="majorBidi"/>
        </w:rPr>
        <w:t xml:space="preserve">Williams, T., &amp; Johnson, M. (2020). Addressing financial pressures to reduce exam malpractice. </w:t>
      </w:r>
      <w:r>
        <w:rPr>
          <w:rStyle w:val="10"/>
          <w:rFonts w:asciiTheme="majorBidi" w:hAnsiTheme="majorBidi" w:cstheme="majorBidi"/>
        </w:rPr>
        <w:t>Educational Counseling Journal</w:t>
      </w:r>
      <w:r>
        <w:rPr>
          <w:rFonts w:asciiTheme="majorBidi" w:hAnsiTheme="majorBidi" w:cstheme="majorBidi"/>
        </w:rPr>
        <w:t>, 22(4), 123-135.</w:t>
      </w:r>
    </w:p>
    <w:p w14:paraId="2CC70DAC">
      <w:pPr>
        <w:pStyle w:val="17"/>
        <w:spacing w:after="0" w:afterAutospacing="0"/>
        <w:ind w:left="709" w:hanging="709"/>
        <w:rPr>
          <w:rFonts w:asciiTheme="majorBidi" w:hAnsiTheme="majorBidi" w:cstheme="majorBidi"/>
        </w:rPr>
      </w:pPr>
      <w:r>
        <w:rPr>
          <w:rFonts w:asciiTheme="majorBidi" w:hAnsiTheme="majorBidi" w:cstheme="majorBidi"/>
        </w:rPr>
        <w:t xml:space="preserve">Wilson, R., &amp; Turner, F. (2018). Balancing responsibilities: Schools and parents in exam integrity. </w:t>
      </w:r>
      <w:r>
        <w:rPr>
          <w:rStyle w:val="10"/>
          <w:rFonts w:asciiTheme="majorBidi" w:hAnsiTheme="majorBidi" w:cstheme="majorBidi"/>
        </w:rPr>
        <w:t>Journal of School Policy</w:t>
      </w:r>
      <w:r>
        <w:rPr>
          <w:rFonts w:asciiTheme="majorBidi" w:hAnsiTheme="majorBidi" w:cstheme="majorBidi"/>
        </w:rPr>
        <w:t>, 17(2), 34-48.</w:t>
      </w:r>
    </w:p>
    <w:p w14:paraId="6B643D86">
      <w:pPr>
        <w:spacing w:before="240" w:line="240" w:lineRule="auto"/>
        <w:ind w:left="720" w:hanging="72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Zeni, J. (2001). </w:t>
      </w:r>
      <w:r>
        <w:rPr>
          <w:rFonts w:eastAsia="Times New Roman" w:asciiTheme="majorBidi" w:hAnsiTheme="majorBidi" w:cstheme="majorBidi"/>
          <w:i/>
          <w:iCs/>
          <w:sz w:val="24"/>
          <w:szCs w:val="24"/>
        </w:rPr>
        <w:t>Ethical Issues in Practitioner Research</w:t>
      </w:r>
      <w:r>
        <w:rPr>
          <w:rFonts w:eastAsia="Times New Roman" w:asciiTheme="majorBidi" w:hAnsiTheme="majorBidi" w:cstheme="majorBidi"/>
          <w:sz w:val="24"/>
          <w:szCs w:val="24"/>
        </w:rPr>
        <w:t>. New York, Teachers College Press.</w:t>
      </w:r>
    </w:p>
    <w:p w14:paraId="7F9926C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Zhao, Lee. Zheng, Y., Compton, B. J., Qin, W., Zheng, J., Fu, G., ... &amp; Heyman, G. D. (2020). The moral barrier effect: Real and imagined barriers can reduce cheating. </w:t>
      </w:r>
      <w:r>
        <w:rPr>
          <w:rFonts w:asciiTheme="majorBidi" w:hAnsiTheme="majorBidi" w:cstheme="majorBidi"/>
          <w:i/>
          <w:iCs/>
          <w:sz w:val="24"/>
          <w:szCs w:val="24"/>
          <w:shd w:val="clear" w:color="auto" w:fill="FFFFFF"/>
        </w:rPr>
        <w:t>Proceedings of the National Academy of Sciences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117</w:t>
      </w:r>
      <w:r>
        <w:rPr>
          <w:rFonts w:asciiTheme="majorBidi" w:hAnsiTheme="majorBidi" w:cstheme="majorBidi"/>
          <w:sz w:val="24"/>
          <w:szCs w:val="24"/>
          <w:shd w:val="clear" w:color="auto" w:fill="FFFFFF"/>
        </w:rPr>
        <w:t>(32), 19101-19107.</w:t>
      </w:r>
    </w:p>
    <w:p w14:paraId="63698B84">
      <w:pPr>
        <w:spacing w:before="240"/>
        <w:rPr>
          <w:rFonts w:asciiTheme="majorBidi" w:hAnsiTheme="majorBidi" w:cstheme="majorBidi"/>
          <w:sz w:val="24"/>
          <w:szCs w:val="24"/>
          <w:shd w:val="clear" w:color="auto" w:fill="FFFFFF"/>
        </w:rPr>
      </w:pPr>
    </w:p>
    <w:p w14:paraId="045B996C">
      <w:pPr>
        <w:spacing w:before="240"/>
        <w:rPr>
          <w:rFonts w:asciiTheme="majorBidi" w:hAnsiTheme="majorBidi" w:cstheme="majorBidi"/>
          <w:sz w:val="24"/>
          <w:szCs w:val="24"/>
          <w:shd w:val="clear" w:color="auto" w:fill="FFFFFF"/>
        </w:rPr>
      </w:pPr>
    </w:p>
    <w:p w14:paraId="716E4EA6">
      <w:pPr>
        <w:spacing w:before="240"/>
        <w:rPr>
          <w:rFonts w:asciiTheme="majorBidi" w:hAnsiTheme="majorBidi" w:cstheme="majorBidi"/>
          <w:sz w:val="24"/>
          <w:szCs w:val="24"/>
          <w:shd w:val="clear" w:color="auto" w:fill="FFFFFF"/>
        </w:rPr>
      </w:pPr>
    </w:p>
    <w:p w14:paraId="2005EE2B">
      <w:pPr>
        <w:spacing w:before="240"/>
        <w:rPr>
          <w:rFonts w:asciiTheme="majorBidi" w:hAnsiTheme="majorBidi" w:cstheme="majorBidi"/>
          <w:sz w:val="24"/>
          <w:szCs w:val="24"/>
          <w:shd w:val="clear" w:color="auto" w:fill="FFFFFF"/>
        </w:rPr>
      </w:pPr>
    </w:p>
    <w:p w14:paraId="512B529B">
      <w:pPr>
        <w:spacing w:before="240"/>
        <w:rPr>
          <w:rFonts w:asciiTheme="majorBidi" w:hAnsiTheme="majorBidi" w:cstheme="majorBidi"/>
          <w:sz w:val="24"/>
          <w:szCs w:val="24"/>
          <w:shd w:val="clear" w:color="auto" w:fill="FFFFFF"/>
        </w:rPr>
      </w:pPr>
    </w:p>
    <w:p w14:paraId="35B973DA">
      <w:pPr>
        <w:spacing w:before="240"/>
        <w:rPr>
          <w:rFonts w:asciiTheme="majorBidi" w:hAnsiTheme="majorBidi" w:cstheme="majorBidi"/>
          <w:sz w:val="24"/>
          <w:szCs w:val="24"/>
          <w:shd w:val="clear" w:color="auto" w:fill="FFFFFF"/>
        </w:rPr>
      </w:pPr>
    </w:p>
    <w:p w14:paraId="22A31CBA">
      <w:pPr>
        <w:spacing w:before="240"/>
        <w:rPr>
          <w:rFonts w:asciiTheme="majorBidi" w:hAnsiTheme="majorBidi" w:cstheme="majorBidi"/>
          <w:sz w:val="24"/>
          <w:szCs w:val="24"/>
          <w:shd w:val="clear" w:color="auto" w:fill="FFFFFF"/>
        </w:rPr>
      </w:pPr>
    </w:p>
    <w:p w14:paraId="14C2740E">
      <w:pPr>
        <w:spacing w:before="240"/>
        <w:rPr>
          <w:rFonts w:asciiTheme="majorBidi" w:hAnsiTheme="majorBidi" w:cstheme="majorBidi"/>
          <w:sz w:val="24"/>
          <w:szCs w:val="24"/>
          <w:shd w:val="clear" w:color="auto" w:fill="FFFFFF"/>
        </w:rPr>
      </w:pPr>
    </w:p>
    <w:p w14:paraId="04915A9A">
      <w:pPr>
        <w:spacing w:before="240"/>
        <w:rPr>
          <w:rFonts w:asciiTheme="majorBidi" w:hAnsiTheme="majorBidi" w:cstheme="majorBidi"/>
          <w:sz w:val="24"/>
          <w:szCs w:val="24"/>
          <w:shd w:val="clear" w:color="auto" w:fill="FFFFFF"/>
        </w:rPr>
      </w:pPr>
    </w:p>
    <w:p w14:paraId="58374D8F">
      <w:pPr>
        <w:spacing w:before="240"/>
        <w:rPr>
          <w:rFonts w:asciiTheme="majorBidi" w:hAnsiTheme="majorBidi" w:cstheme="majorBidi"/>
          <w:sz w:val="24"/>
          <w:szCs w:val="24"/>
          <w:shd w:val="clear" w:color="auto" w:fill="FFFFFF"/>
        </w:rPr>
      </w:pPr>
    </w:p>
    <w:p w14:paraId="0A44BB2B">
      <w:pPr>
        <w:spacing w:before="240"/>
        <w:rPr>
          <w:rFonts w:asciiTheme="majorBidi" w:hAnsiTheme="majorBidi" w:cstheme="majorBidi"/>
          <w:sz w:val="24"/>
          <w:szCs w:val="24"/>
          <w:shd w:val="clear" w:color="auto" w:fill="FFFFFF"/>
        </w:rPr>
      </w:pPr>
    </w:p>
    <w:p w14:paraId="631A27C2">
      <w:pPr>
        <w:pStyle w:val="2"/>
        <w:spacing w:before="0" w:after="240"/>
        <w:jc w:val="center"/>
        <w:rPr>
          <w:rFonts w:asciiTheme="majorBidi" w:hAnsiTheme="majorBidi"/>
          <w:color w:val="auto"/>
          <w:sz w:val="24"/>
          <w:szCs w:val="24"/>
        </w:rPr>
      </w:pPr>
      <w:bookmarkStart w:id="294" w:name="_Toc194822700"/>
      <w:r>
        <w:rPr>
          <w:rFonts w:asciiTheme="majorBidi" w:hAnsiTheme="majorBidi"/>
          <w:color w:val="auto"/>
          <w:sz w:val="24"/>
          <w:szCs w:val="24"/>
        </w:rPr>
        <w:t>APPENDICES</w:t>
      </w:r>
      <w:bookmarkEnd w:id="294"/>
    </w:p>
    <w:p w14:paraId="7D743163">
      <w:pPr>
        <w:pStyle w:val="2"/>
        <w:spacing w:before="0" w:after="240" w:line="240" w:lineRule="auto"/>
        <w:rPr>
          <w:rFonts w:asciiTheme="majorBidi" w:hAnsiTheme="majorBidi"/>
          <w:color w:val="auto"/>
          <w:sz w:val="24"/>
          <w:szCs w:val="24"/>
        </w:rPr>
      </w:pPr>
      <w:bookmarkStart w:id="295" w:name="_Toc194822701"/>
      <w:r>
        <w:rPr>
          <w:rFonts w:asciiTheme="majorBidi" w:hAnsiTheme="majorBidi"/>
          <w:color w:val="auto"/>
          <w:sz w:val="24"/>
          <w:szCs w:val="24"/>
        </w:rPr>
        <w:t>APPENDIX I: QUESTIONNAIRE FOR TEACHERS</w:t>
      </w:r>
      <w:bookmarkEnd w:id="295"/>
    </w:p>
    <w:p w14:paraId="6D97A31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This questionnaire is for collecting information on the same The information to be collected from you is purely meant for research work and will be treated with utmost confidentiality. Kindly read the statements carefully and provide honest and correct answers. Please do not write your name or that of your school on this questionnaire. Please tick [√] where appropriate.</w:t>
      </w:r>
    </w:p>
    <w:p w14:paraId="6D589A92">
      <w:pPr>
        <w:pStyle w:val="50"/>
        <w:spacing w:after="240"/>
        <w:jc w:val="both"/>
        <w:rPr>
          <w:rFonts w:asciiTheme="majorBidi" w:hAnsiTheme="majorBidi" w:cstheme="majorBidi"/>
          <w:color w:val="auto"/>
        </w:rPr>
      </w:pPr>
      <w:r>
        <w:rPr>
          <w:rFonts w:asciiTheme="majorBidi" w:hAnsiTheme="majorBidi" w:cstheme="majorBidi"/>
          <w:b/>
          <w:bCs/>
          <w:color w:val="auto"/>
        </w:rPr>
        <w:t xml:space="preserve">Section A Background Information </w:t>
      </w:r>
    </w:p>
    <w:p w14:paraId="7B2EBE8F">
      <w:pPr>
        <w:pStyle w:val="50"/>
        <w:numPr>
          <w:ilvl w:val="0"/>
          <w:numId w:val="26"/>
        </w:numPr>
        <w:ind w:left="540" w:hanging="540"/>
        <w:jc w:val="both"/>
        <w:rPr>
          <w:rFonts w:asciiTheme="majorBidi" w:hAnsiTheme="majorBidi" w:cstheme="majorBidi"/>
          <w:color w:val="auto"/>
        </w:rPr>
      </w:pPr>
      <w:r>
        <w:rPr>
          <w:rFonts w:asciiTheme="majorBidi" w:hAnsiTheme="majorBidi" w:cstheme="majorBidi"/>
          <w:color w:val="auto"/>
        </w:rPr>
        <w:t xml:space="preserve">Gender: </w:t>
      </w:r>
      <w:r>
        <w:rPr>
          <w:rFonts w:asciiTheme="majorBidi" w:hAnsiTheme="majorBidi" w:cstheme="majorBidi"/>
          <w:color w:val="auto"/>
        </w:rPr>
        <w:tab/>
      </w:r>
      <w:r>
        <w:rPr>
          <w:rFonts w:asciiTheme="majorBidi" w:hAnsiTheme="majorBidi" w:cstheme="majorBidi"/>
          <w:color w:val="auto"/>
        </w:rPr>
        <w:t xml:space="preserve">Male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Female [ ]</w:t>
      </w:r>
    </w:p>
    <w:p w14:paraId="4B5166F7">
      <w:pPr>
        <w:pStyle w:val="50"/>
        <w:numPr>
          <w:ilvl w:val="0"/>
          <w:numId w:val="26"/>
        </w:numPr>
        <w:ind w:left="540" w:hanging="540"/>
        <w:jc w:val="both"/>
        <w:rPr>
          <w:rFonts w:asciiTheme="majorBidi" w:hAnsiTheme="majorBidi" w:cstheme="majorBidi"/>
          <w:color w:val="auto"/>
        </w:rPr>
      </w:pPr>
      <w:r>
        <w:rPr>
          <w:rFonts w:asciiTheme="majorBidi" w:hAnsiTheme="majorBidi" w:cstheme="majorBidi"/>
          <w:color w:val="auto"/>
        </w:rPr>
        <w:t xml:space="preserve">State your teaching experience in years: </w:t>
      </w:r>
    </w:p>
    <w:p w14:paraId="0CE7E4AE">
      <w:pPr>
        <w:pStyle w:val="50"/>
        <w:ind w:left="720" w:hanging="180"/>
        <w:jc w:val="both"/>
        <w:rPr>
          <w:rFonts w:asciiTheme="majorBidi" w:hAnsiTheme="majorBidi" w:cstheme="majorBidi"/>
          <w:color w:val="auto"/>
        </w:rPr>
      </w:pPr>
      <w:r>
        <w:rPr>
          <w:rFonts w:asciiTheme="majorBidi" w:hAnsiTheme="majorBidi" w:cstheme="majorBidi"/>
          <w:color w:val="auto"/>
        </w:rPr>
        <w:t>Below 5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5-10 [ ] </w:t>
      </w:r>
      <w:r>
        <w:rPr>
          <w:rFonts w:asciiTheme="majorBidi" w:hAnsiTheme="majorBidi" w:cstheme="majorBidi"/>
          <w:color w:val="auto"/>
        </w:rPr>
        <w:tab/>
      </w:r>
      <w:r>
        <w:rPr>
          <w:rFonts w:asciiTheme="majorBidi" w:hAnsiTheme="majorBidi" w:cstheme="majorBidi"/>
          <w:color w:val="auto"/>
        </w:rPr>
        <w:t xml:space="preserve">11-15 [ ] </w:t>
      </w:r>
      <w:r>
        <w:rPr>
          <w:rFonts w:asciiTheme="majorBidi" w:hAnsiTheme="majorBidi" w:cstheme="majorBidi"/>
          <w:color w:val="auto"/>
        </w:rPr>
        <w:tab/>
      </w:r>
      <w:r>
        <w:rPr>
          <w:rFonts w:asciiTheme="majorBidi" w:hAnsiTheme="majorBidi" w:cstheme="majorBidi"/>
          <w:color w:val="auto"/>
        </w:rPr>
        <w:t xml:space="preserve">16-20 [ ] </w:t>
      </w:r>
      <w:r>
        <w:rPr>
          <w:rFonts w:asciiTheme="majorBidi" w:hAnsiTheme="majorBidi" w:cstheme="majorBidi"/>
          <w:color w:val="auto"/>
        </w:rPr>
        <w:tab/>
      </w:r>
      <w:r>
        <w:rPr>
          <w:rFonts w:asciiTheme="majorBidi" w:hAnsiTheme="majorBidi" w:cstheme="majorBidi"/>
          <w:color w:val="auto"/>
        </w:rPr>
        <w:t xml:space="preserve">over 20 [ ] </w:t>
      </w:r>
    </w:p>
    <w:p w14:paraId="373C9D9C">
      <w:pPr>
        <w:pStyle w:val="50"/>
        <w:numPr>
          <w:ilvl w:val="0"/>
          <w:numId w:val="26"/>
        </w:numPr>
        <w:ind w:left="540" w:hanging="540"/>
        <w:jc w:val="both"/>
        <w:rPr>
          <w:rFonts w:asciiTheme="majorBidi" w:hAnsiTheme="majorBidi" w:cstheme="majorBidi"/>
          <w:color w:val="auto"/>
        </w:rPr>
      </w:pPr>
      <w:r>
        <w:rPr>
          <w:rFonts w:asciiTheme="majorBidi" w:hAnsiTheme="majorBidi" w:cstheme="majorBidi"/>
          <w:color w:val="auto"/>
        </w:rPr>
        <w:t xml:space="preserve">Indicate your highest level of academic qualification: </w:t>
      </w:r>
    </w:p>
    <w:p w14:paraId="2B773E91">
      <w:pPr>
        <w:pStyle w:val="50"/>
        <w:ind w:left="720" w:hanging="180"/>
        <w:jc w:val="both"/>
        <w:rPr>
          <w:rFonts w:asciiTheme="majorBidi" w:hAnsiTheme="majorBidi" w:cstheme="majorBidi"/>
          <w:color w:val="auto"/>
        </w:rPr>
      </w:pPr>
      <w:r>
        <w:rPr>
          <w:rFonts w:asciiTheme="majorBidi" w:hAnsiTheme="majorBidi" w:cstheme="majorBidi"/>
          <w:color w:val="auto"/>
        </w:rPr>
        <w:t xml:space="preserve">Diploma [ ] </w:t>
      </w:r>
      <w:r>
        <w:rPr>
          <w:rFonts w:asciiTheme="majorBidi" w:hAnsiTheme="majorBidi" w:cstheme="majorBidi"/>
          <w:color w:val="auto"/>
        </w:rPr>
        <w:tab/>
      </w:r>
      <w:r>
        <w:rPr>
          <w:rFonts w:asciiTheme="majorBidi" w:hAnsiTheme="majorBidi" w:cstheme="majorBidi"/>
          <w:color w:val="auto"/>
        </w:rPr>
        <w:t xml:space="preserve">Degree [ ] </w:t>
      </w:r>
      <w:r>
        <w:rPr>
          <w:rFonts w:asciiTheme="majorBidi" w:hAnsiTheme="majorBidi" w:cstheme="majorBidi"/>
          <w:color w:val="auto"/>
        </w:rPr>
        <w:tab/>
      </w:r>
      <w:r>
        <w:rPr>
          <w:rFonts w:asciiTheme="majorBidi" w:hAnsiTheme="majorBidi" w:cstheme="majorBidi"/>
          <w:color w:val="auto"/>
        </w:rPr>
        <w:t xml:space="preserve">Postgraduate [ ] </w:t>
      </w:r>
      <w:r>
        <w:rPr>
          <w:rFonts w:asciiTheme="majorBidi" w:hAnsiTheme="majorBidi" w:cstheme="majorBidi"/>
          <w:color w:val="auto"/>
        </w:rPr>
        <w:tab/>
      </w:r>
      <w:r>
        <w:rPr>
          <w:rFonts w:asciiTheme="majorBidi" w:hAnsiTheme="majorBidi" w:cstheme="majorBidi"/>
          <w:color w:val="auto"/>
        </w:rPr>
        <w:t>Others (specify)__________</w:t>
      </w:r>
    </w:p>
    <w:p w14:paraId="18A812CD">
      <w:pPr>
        <w:pStyle w:val="50"/>
        <w:numPr>
          <w:ilvl w:val="0"/>
          <w:numId w:val="26"/>
        </w:numPr>
        <w:ind w:left="450" w:hanging="540"/>
        <w:jc w:val="both"/>
        <w:rPr>
          <w:rFonts w:asciiTheme="majorBidi" w:hAnsiTheme="majorBidi" w:cstheme="majorBidi"/>
          <w:color w:val="auto"/>
        </w:rPr>
      </w:pPr>
      <w:r>
        <w:rPr>
          <w:rFonts w:asciiTheme="majorBidi" w:hAnsiTheme="majorBidi" w:cstheme="majorBidi"/>
          <w:color w:val="auto"/>
        </w:rPr>
        <w:t xml:space="preserve">What is the category of the school you are teaching? </w:t>
      </w:r>
    </w:p>
    <w:p w14:paraId="02E5F8F3">
      <w:pPr>
        <w:pStyle w:val="50"/>
        <w:spacing w:after="240"/>
        <w:ind w:left="720" w:hanging="270"/>
        <w:jc w:val="both"/>
        <w:rPr>
          <w:rFonts w:asciiTheme="majorBidi" w:hAnsiTheme="majorBidi" w:cstheme="majorBidi"/>
          <w:color w:val="auto"/>
        </w:rPr>
      </w:pPr>
      <w:r>
        <w:rPr>
          <w:rFonts w:asciiTheme="majorBidi" w:hAnsiTheme="majorBidi" w:cstheme="majorBidi"/>
          <w:color w:val="auto"/>
        </w:rPr>
        <w:t>Boys boarding [ ] Boys Day [ ] Girls boarding [ ] Girls Day [ ] Mixed boarding [ ] Mixed day [ ]</w:t>
      </w:r>
    </w:p>
    <w:p w14:paraId="4B8C37C7">
      <w:pPr>
        <w:pStyle w:val="17"/>
        <w:spacing w:before="0" w:beforeAutospacing="0" w:after="0" w:afterAutospacing="0"/>
        <w:jc w:val="both"/>
        <w:rPr>
          <w:rFonts w:asciiTheme="majorBidi" w:hAnsiTheme="majorBidi" w:cstheme="majorBidi"/>
          <w:b/>
          <w:bCs/>
        </w:rPr>
      </w:pPr>
      <w:r>
        <w:rPr>
          <w:rFonts w:asciiTheme="majorBidi" w:hAnsiTheme="majorBidi" w:cstheme="majorBidi"/>
          <w:b/>
          <w:bCs/>
        </w:rPr>
        <w:t xml:space="preserve">Section B: </w:t>
      </w:r>
    </w:p>
    <w:p w14:paraId="5D449B4B">
      <w:pPr>
        <w:pStyle w:val="17"/>
        <w:numPr>
          <w:ilvl w:val="0"/>
          <w:numId w:val="27"/>
        </w:numPr>
        <w:spacing w:before="0" w:beforeAutospacing="0" w:after="240" w:afterAutospacing="0"/>
        <w:ind w:left="450" w:hanging="450"/>
        <w:jc w:val="both"/>
        <w:rPr>
          <w:rFonts w:asciiTheme="majorBidi" w:hAnsiTheme="majorBidi" w:cstheme="majorBidi"/>
        </w:rPr>
      </w:pPr>
      <w:r>
        <w:rPr>
          <w:rFonts w:asciiTheme="majorBidi" w:hAnsiTheme="majorBidi" w:cstheme="majorBidi"/>
        </w:rPr>
        <w:t>Please tick as appropriate the extent to which you agree or disagree</w:t>
      </w:r>
      <w:r>
        <w:rPr>
          <w:rFonts w:asciiTheme="majorBidi" w:hAnsiTheme="majorBidi" w:cstheme="majorBidi"/>
        </w:rPr>
        <w:br w:type="textWrapping"/>
      </w:r>
      <w:r>
        <w:rPr>
          <w:rFonts w:asciiTheme="majorBidi" w:hAnsiTheme="majorBidi" w:cstheme="majorBidi"/>
        </w:rPr>
        <w:t>to the following statements using appropriate scale from: l=Strongly Disagree (SD)</w:t>
      </w:r>
      <w:r>
        <w:rPr>
          <w:rFonts w:asciiTheme="majorBidi" w:hAnsiTheme="majorBidi" w:cstheme="majorBidi"/>
        </w:rPr>
        <w:br w:type="textWrapping"/>
      </w:r>
      <w:r>
        <w:rPr>
          <w:rFonts w:asciiTheme="majorBidi" w:hAnsiTheme="majorBidi" w:cstheme="majorBidi"/>
        </w:rPr>
        <w:t>2=Disagree (D); 3= Neither Disagree nor Agree (N) 4=Agree (A); 5=Strongly Agree (SA)</w:t>
      </w:r>
    </w:p>
    <w:tbl>
      <w:tblPr>
        <w:tblStyle w:val="20"/>
        <w:tblW w:w="9445"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6330"/>
        <w:gridCol w:w="523"/>
        <w:gridCol w:w="441"/>
        <w:gridCol w:w="441"/>
        <w:gridCol w:w="477"/>
        <w:gridCol w:w="523"/>
      </w:tblGrid>
      <w:tr w14:paraId="3685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710" w:type="dxa"/>
          </w:tcPr>
          <w:p w14:paraId="2C06807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SNO </w:t>
            </w:r>
          </w:p>
        </w:tc>
        <w:tc>
          <w:tcPr>
            <w:tcW w:w="6330" w:type="dxa"/>
          </w:tcPr>
          <w:p w14:paraId="107AFE25">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Statements </w:t>
            </w:r>
          </w:p>
        </w:tc>
        <w:tc>
          <w:tcPr>
            <w:tcW w:w="523" w:type="dxa"/>
          </w:tcPr>
          <w:p w14:paraId="59748BA9">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SD </w:t>
            </w:r>
          </w:p>
        </w:tc>
        <w:tc>
          <w:tcPr>
            <w:tcW w:w="441" w:type="dxa"/>
          </w:tcPr>
          <w:p w14:paraId="671EB167">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D </w:t>
            </w:r>
          </w:p>
        </w:tc>
        <w:tc>
          <w:tcPr>
            <w:tcW w:w="441" w:type="dxa"/>
          </w:tcPr>
          <w:p w14:paraId="1F88A28C">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N </w:t>
            </w:r>
          </w:p>
        </w:tc>
        <w:tc>
          <w:tcPr>
            <w:tcW w:w="477" w:type="dxa"/>
          </w:tcPr>
          <w:p w14:paraId="57D09E70">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A </w:t>
            </w:r>
          </w:p>
        </w:tc>
        <w:tc>
          <w:tcPr>
            <w:tcW w:w="523" w:type="dxa"/>
          </w:tcPr>
          <w:p w14:paraId="795B16C2">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SA </w:t>
            </w:r>
          </w:p>
        </w:tc>
      </w:tr>
      <w:tr w14:paraId="6BD0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B958119">
            <w:pPr>
              <w:pStyle w:val="17"/>
              <w:spacing w:before="0" w:beforeAutospacing="0" w:after="0" w:afterAutospacing="0"/>
              <w:jc w:val="both"/>
              <w:rPr>
                <w:rFonts w:asciiTheme="majorBidi" w:hAnsiTheme="majorBidi" w:cstheme="majorBidi"/>
              </w:rPr>
            </w:pPr>
          </w:p>
        </w:tc>
        <w:tc>
          <w:tcPr>
            <w:tcW w:w="6330" w:type="dxa"/>
          </w:tcPr>
          <w:p w14:paraId="218664C4">
            <w:pPr>
              <w:pStyle w:val="17"/>
              <w:spacing w:before="0" w:beforeAutospacing="0"/>
              <w:rPr>
                <w:rFonts w:asciiTheme="majorBidi" w:hAnsiTheme="majorBidi" w:cstheme="majorBidi"/>
                <w:b/>
                <w:bCs/>
              </w:rPr>
            </w:pPr>
            <w:r>
              <w:rPr>
                <w:rFonts w:asciiTheme="majorBidi" w:hAnsiTheme="majorBidi" w:cstheme="majorBidi"/>
                <w:b/>
                <w:bCs/>
              </w:rPr>
              <w:t xml:space="preserve">Peer Pressure in academic integrity and examination malpractices </w:t>
            </w:r>
          </w:p>
        </w:tc>
        <w:tc>
          <w:tcPr>
            <w:tcW w:w="523" w:type="dxa"/>
          </w:tcPr>
          <w:p w14:paraId="3BD46E06">
            <w:pPr>
              <w:pStyle w:val="17"/>
              <w:spacing w:before="0" w:beforeAutospacing="0" w:after="0" w:afterAutospacing="0"/>
              <w:jc w:val="both"/>
              <w:rPr>
                <w:rFonts w:asciiTheme="majorBidi" w:hAnsiTheme="majorBidi" w:cstheme="majorBidi"/>
                <w:b/>
                <w:bCs/>
              </w:rPr>
            </w:pPr>
          </w:p>
        </w:tc>
        <w:tc>
          <w:tcPr>
            <w:tcW w:w="441" w:type="dxa"/>
          </w:tcPr>
          <w:p w14:paraId="5F8DA635">
            <w:pPr>
              <w:pStyle w:val="17"/>
              <w:spacing w:before="0" w:beforeAutospacing="0" w:after="0" w:afterAutospacing="0"/>
              <w:jc w:val="both"/>
              <w:rPr>
                <w:rFonts w:asciiTheme="majorBidi" w:hAnsiTheme="majorBidi" w:cstheme="majorBidi"/>
                <w:b/>
                <w:bCs/>
              </w:rPr>
            </w:pPr>
          </w:p>
        </w:tc>
        <w:tc>
          <w:tcPr>
            <w:tcW w:w="441" w:type="dxa"/>
          </w:tcPr>
          <w:p w14:paraId="582E2AC6">
            <w:pPr>
              <w:pStyle w:val="17"/>
              <w:spacing w:before="0" w:beforeAutospacing="0" w:after="0" w:afterAutospacing="0"/>
              <w:jc w:val="both"/>
              <w:rPr>
                <w:rFonts w:asciiTheme="majorBidi" w:hAnsiTheme="majorBidi" w:cstheme="majorBidi"/>
                <w:b/>
                <w:bCs/>
              </w:rPr>
            </w:pPr>
          </w:p>
        </w:tc>
        <w:tc>
          <w:tcPr>
            <w:tcW w:w="477" w:type="dxa"/>
          </w:tcPr>
          <w:p w14:paraId="7E2BE0DE">
            <w:pPr>
              <w:pStyle w:val="17"/>
              <w:spacing w:before="0" w:beforeAutospacing="0" w:after="0" w:afterAutospacing="0"/>
              <w:jc w:val="both"/>
              <w:rPr>
                <w:rFonts w:asciiTheme="majorBidi" w:hAnsiTheme="majorBidi" w:cstheme="majorBidi"/>
                <w:b/>
                <w:bCs/>
              </w:rPr>
            </w:pPr>
          </w:p>
        </w:tc>
        <w:tc>
          <w:tcPr>
            <w:tcW w:w="523" w:type="dxa"/>
          </w:tcPr>
          <w:p w14:paraId="745E96E9">
            <w:pPr>
              <w:pStyle w:val="17"/>
              <w:spacing w:before="0" w:beforeAutospacing="0" w:after="0" w:afterAutospacing="0"/>
              <w:jc w:val="both"/>
              <w:rPr>
                <w:rFonts w:asciiTheme="majorBidi" w:hAnsiTheme="majorBidi" w:cstheme="majorBidi"/>
                <w:b/>
                <w:bCs/>
              </w:rPr>
            </w:pPr>
          </w:p>
        </w:tc>
      </w:tr>
      <w:tr w14:paraId="45E3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558DE52">
            <w:pPr>
              <w:pStyle w:val="17"/>
              <w:spacing w:before="0" w:beforeAutospacing="0" w:after="0" w:afterAutospacing="0"/>
              <w:jc w:val="both"/>
              <w:rPr>
                <w:rFonts w:asciiTheme="majorBidi" w:hAnsiTheme="majorBidi" w:cstheme="majorBidi"/>
              </w:rPr>
            </w:pPr>
            <w:r>
              <w:rPr>
                <w:rFonts w:asciiTheme="majorBidi" w:hAnsiTheme="majorBidi" w:cstheme="majorBidi"/>
              </w:rPr>
              <w:t>1</w:t>
            </w:r>
          </w:p>
        </w:tc>
        <w:tc>
          <w:tcPr>
            <w:tcW w:w="6330" w:type="dxa"/>
          </w:tcPr>
          <w:p w14:paraId="2D55C7FB">
            <w:pPr>
              <w:pStyle w:val="17"/>
              <w:spacing w:before="0" w:beforeAutospacing="0" w:after="0" w:afterAutospacing="0"/>
              <w:rPr>
                <w:rFonts w:asciiTheme="majorBidi" w:hAnsiTheme="majorBidi" w:cstheme="majorBidi"/>
              </w:rPr>
            </w:pPr>
            <w:r>
              <w:rPr>
                <w:rFonts w:asciiTheme="majorBidi" w:hAnsiTheme="majorBidi" w:cstheme="majorBidi"/>
              </w:rPr>
              <w:t>Peer influence contributes to academic misconduct, including cheating in exams.</w:t>
            </w:r>
          </w:p>
        </w:tc>
        <w:tc>
          <w:tcPr>
            <w:tcW w:w="523" w:type="dxa"/>
          </w:tcPr>
          <w:p w14:paraId="4EE5BA01">
            <w:pPr>
              <w:pStyle w:val="17"/>
              <w:spacing w:before="0" w:beforeAutospacing="0" w:after="0" w:afterAutospacing="0"/>
              <w:jc w:val="both"/>
              <w:rPr>
                <w:rFonts w:asciiTheme="majorBidi" w:hAnsiTheme="majorBidi" w:cstheme="majorBidi"/>
                <w:b/>
                <w:bCs/>
              </w:rPr>
            </w:pPr>
          </w:p>
        </w:tc>
        <w:tc>
          <w:tcPr>
            <w:tcW w:w="441" w:type="dxa"/>
          </w:tcPr>
          <w:p w14:paraId="5E1D9FB0">
            <w:pPr>
              <w:pStyle w:val="17"/>
              <w:spacing w:before="0" w:beforeAutospacing="0" w:after="0" w:afterAutospacing="0"/>
              <w:jc w:val="both"/>
              <w:rPr>
                <w:rFonts w:asciiTheme="majorBidi" w:hAnsiTheme="majorBidi" w:cstheme="majorBidi"/>
                <w:b/>
                <w:bCs/>
              </w:rPr>
            </w:pPr>
          </w:p>
        </w:tc>
        <w:tc>
          <w:tcPr>
            <w:tcW w:w="441" w:type="dxa"/>
          </w:tcPr>
          <w:p w14:paraId="31840F49">
            <w:pPr>
              <w:pStyle w:val="17"/>
              <w:spacing w:before="0" w:beforeAutospacing="0" w:after="0" w:afterAutospacing="0"/>
              <w:jc w:val="both"/>
              <w:rPr>
                <w:rFonts w:asciiTheme="majorBidi" w:hAnsiTheme="majorBidi" w:cstheme="majorBidi"/>
                <w:b/>
                <w:bCs/>
              </w:rPr>
            </w:pPr>
          </w:p>
        </w:tc>
        <w:tc>
          <w:tcPr>
            <w:tcW w:w="477" w:type="dxa"/>
          </w:tcPr>
          <w:p w14:paraId="324B3006">
            <w:pPr>
              <w:pStyle w:val="17"/>
              <w:spacing w:before="0" w:beforeAutospacing="0" w:after="0" w:afterAutospacing="0"/>
              <w:jc w:val="both"/>
              <w:rPr>
                <w:rFonts w:asciiTheme="majorBidi" w:hAnsiTheme="majorBidi" w:cstheme="majorBidi"/>
                <w:b/>
                <w:bCs/>
              </w:rPr>
            </w:pPr>
          </w:p>
        </w:tc>
        <w:tc>
          <w:tcPr>
            <w:tcW w:w="523" w:type="dxa"/>
          </w:tcPr>
          <w:p w14:paraId="097E1B1E">
            <w:pPr>
              <w:pStyle w:val="17"/>
              <w:spacing w:before="0" w:beforeAutospacing="0" w:after="0" w:afterAutospacing="0"/>
              <w:jc w:val="both"/>
              <w:rPr>
                <w:rFonts w:asciiTheme="majorBidi" w:hAnsiTheme="majorBidi" w:cstheme="majorBidi"/>
                <w:b/>
                <w:bCs/>
              </w:rPr>
            </w:pPr>
          </w:p>
        </w:tc>
      </w:tr>
      <w:tr w14:paraId="59AC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10" w:type="dxa"/>
          </w:tcPr>
          <w:p w14:paraId="31598A4E">
            <w:pPr>
              <w:pStyle w:val="17"/>
              <w:spacing w:before="0" w:beforeAutospacing="0" w:after="0" w:afterAutospacing="0"/>
              <w:jc w:val="both"/>
              <w:rPr>
                <w:rFonts w:asciiTheme="majorBidi" w:hAnsiTheme="majorBidi" w:cstheme="majorBidi"/>
              </w:rPr>
            </w:pPr>
            <w:r>
              <w:rPr>
                <w:rFonts w:asciiTheme="majorBidi" w:hAnsiTheme="majorBidi" w:cstheme="majorBidi"/>
              </w:rPr>
              <w:t>2</w:t>
            </w:r>
          </w:p>
        </w:tc>
        <w:tc>
          <w:tcPr>
            <w:tcW w:w="6330" w:type="dxa"/>
          </w:tcPr>
          <w:p w14:paraId="531BAB20">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used to deter cheating in exams.</w:t>
            </w:r>
          </w:p>
        </w:tc>
        <w:tc>
          <w:tcPr>
            <w:tcW w:w="523" w:type="dxa"/>
          </w:tcPr>
          <w:p w14:paraId="6780CDD4">
            <w:pPr>
              <w:pStyle w:val="17"/>
              <w:spacing w:before="0" w:beforeAutospacing="0" w:after="0" w:afterAutospacing="0"/>
              <w:jc w:val="both"/>
              <w:rPr>
                <w:rFonts w:asciiTheme="majorBidi" w:hAnsiTheme="majorBidi" w:cstheme="majorBidi"/>
                <w:b/>
                <w:bCs/>
              </w:rPr>
            </w:pPr>
          </w:p>
        </w:tc>
        <w:tc>
          <w:tcPr>
            <w:tcW w:w="441" w:type="dxa"/>
          </w:tcPr>
          <w:p w14:paraId="53652ABC">
            <w:pPr>
              <w:pStyle w:val="17"/>
              <w:spacing w:before="0" w:beforeAutospacing="0" w:after="0" w:afterAutospacing="0"/>
              <w:jc w:val="both"/>
              <w:rPr>
                <w:rFonts w:asciiTheme="majorBidi" w:hAnsiTheme="majorBidi" w:cstheme="majorBidi"/>
                <w:b/>
                <w:bCs/>
              </w:rPr>
            </w:pPr>
          </w:p>
        </w:tc>
        <w:tc>
          <w:tcPr>
            <w:tcW w:w="441" w:type="dxa"/>
          </w:tcPr>
          <w:p w14:paraId="6B255DA3">
            <w:pPr>
              <w:pStyle w:val="17"/>
              <w:spacing w:before="0" w:beforeAutospacing="0" w:after="0" w:afterAutospacing="0"/>
              <w:jc w:val="both"/>
              <w:rPr>
                <w:rFonts w:asciiTheme="majorBidi" w:hAnsiTheme="majorBidi" w:cstheme="majorBidi"/>
                <w:b/>
                <w:bCs/>
              </w:rPr>
            </w:pPr>
          </w:p>
        </w:tc>
        <w:tc>
          <w:tcPr>
            <w:tcW w:w="477" w:type="dxa"/>
          </w:tcPr>
          <w:p w14:paraId="13863346">
            <w:pPr>
              <w:pStyle w:val="17"/>
              <w:spacing w:before="0" w:beforeAutospacing="0" w:after="0" w:afterAutospacing="0"/>
              <w:jc w:val="both"/>
              <w:rPr>
                <w:rFonts w:asciiTheme="majorBidi" w:hAnsiTheme="majorBidi" w:cstheme="majorBidi"/>
                <w:b/>
                <w:bCs/>
              </w:rPr>
            </w:pPr>
          </w:p>
        </w:tc>
        <w:tc>
          <w:tcPr>
            <w:tcW w:w="523" w:type="dxa"/>
          </w:tcPr>
          <w:p w14:paraId="1E69BE0D">
            <w:pPr>
              <w:pStyle w:val="17"/>
              <w:spacing w:before="0" w:beforeAutospacing="0" w:after="0" w:afterAutospacing="0"/>
              <w:jc w:val="both"/>
              <w:rPr>
                <w:rFonts w:asciiTheme="majorBidi" w:hAnsiTheme="majorBidi" w:cstheme="majorBidi"/>
                <w:b/>
                <w:bCs/>
              </w:rPr>
            </w:pPr>
          </w:p>
        </w:tc>
      </w:tr>
      <w:tr w14:paraId="464E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54422510">
            <w:pPr>
              <w:pStyle w:val="17"/>
              <w:spacing w:before="0" w:beforeAutospacing="0" w:after="0" w:afterAutospacing="0"/>
              <w:jc w:val="both"/>
              <w:rPr>
                <w:rFonts w:asciiTheme="majorBidi" w:hAnsiTheme="majorBidi" w:cstheme="majorBidi"/>
              </w:rPr>
            </w:pPr>
            <w:r>
              <w:rPr>
                <w:rFonts w:asciiTheme="majorBidi" w:hAnsiTheme="majorBidi" w:cstheme="majorBidi"/>
              </w:rPr>
              <w:t>3</w:t>
            </w:r>
          </w:p>
        </w:tc>
        <w:tc>
          <w:tcPr>
            <w:tcW w:w="6330" w:type="dxa"/>
          </w:tcPr>
          <w:p w14:paraId="0894C3C3">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harnessed to develop intervention strategies on academic integrity.</w:t>
            </w:r>
          </w:p>
        </w:tc>
        <w:tc>
          <w:tcPr>
            <w:tcW w:w="523" w:type="dxa"/>
          </w:tcPr>
          <w:p w14:paraId="4E26C75C">
            <w:pPr>
              <w:pStyle w:val="17"/>
              <w:spacing w:before="0" w:beforeAutospacing="0" w:after="0" w:afterAutospacing="0"/>
              <w:jc w:val="both"/>
              <w:rPr>
                <w:rFonts w:asciiTheme="majorBidi" w:hAnsiTheme="majorBidi" w:cstheme="majorBidi"/>
                <w:b/>
                <w:bCs/>
              </w:rPr>
            </w:pPr>
          </w:p>
        </w:tc>
        <w:tc>
          <w:tcPr>
            <w:tcW w:w="441" w:type="dxa"/>
          </w:tcPr>
          <w:p w14:paraId="40BB051D">
            <w:pPr>
              <w:pStyle w:val="17"/>
              <w:spacing w:before="0" w:beforeAutospacing="0" w:after="0" w:afterAutospacing="0"/>
              <w:jc w:val="both"/>
              <w:rPr>
                <w:rFonts w:asciiTheme="majorBidi" w:hAnsiTheme="majorBidi" w:cstheme="majorBidi"/>
                <w:b/>
                <w:bCs/>
              </w:rPr>
            </w:pPr>
          </w:p>
        </w:tc>
        <w:tc>
          <w:tcPr>
            <w:tcW w:w="441" w:type="dxa"/>
          </w:tcPr>
          <w:p w14:paraId="61C00A91">
            <w:pPr>
              <w:pStyle w:val="17"/>
              <w:spacing w:before="0" w:beforeAutospacing="0" w:after="0" w:afterAutospacing="0"/>
              <w:jc w:val="both"/>
              <w:rPr>
                <w:rFonts w:asciiTheme="majorBidi" w:hAnsiTheme="majorBidi" w:cstheme="majorBidi"/>
                <w:b/>
                <w:bCs/>
              </w:rPr>
            </w:pPr>
          </w:p>
        </w:tc>
        <w:tc>
          <w:tcPr>
            <w:tcW w:w="477" w:type="dxa"/>
          </w:tcPr>
          <w:p w14:paraId="1F623F22">
            <w:pPr>
              <w:pStyle w:val="17"/>
              <w:spacing w:before="0" w:beforeAutospacing="0" w:after="0" w:afterAutospacing="0"/>
              <w:jc w:val="both"/>
              <w:rPr>
                <w:rFonts w:asciiTheme="majorBidi" w:hAnsiTheme="majorBidi" w:cstheme="majorBidi"/>
                <w:b/>
                <w:bCs/>
              </w:rPr>
            </w:pPr>
          </w:p>
        </w:tc>
        <w:tc>
          <w:tcPr>
            <w:tcW w:w="523" w:type="dxa"/>
          </w:tcPr>
          <w:p w14:paraId="171CC8C1">
            <w:pPr>
              <w:pStyle w:val="17"/>
              <w:spacing w:before="0" w:beforeAutospacing="0" w:after="0" w:afterAutospacing="0"/>
              <w:jc w:val="both"/>
              <w:rPr>
                <w:rFonts w:asciiTheme="majorBidi" w:hAnsiTheme="majorBidi" w:cstheme="majorBidi"/>
                <w:b/>
                <w:bCs/>
              </w:rPr>
            </w:pPr>
          </w:p>
        </w:tc>
      </w:tr>
      <w:tr w14:paraId="4C1B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47C3737F">
            <w:pPr>
              <w:pStyle w:val="17"/>
              <w:spacing w:before="0" w:beforeAutospacing="0" w:after="0" w:afterAutospacing="0"/>
              <w:jc w:val="both"/>
              <w:rPr>
                <w:rFonts w:asciiTheme="majorBidi" w:hAnsiTheme="majorBidi" w:cstheme="majorBidi"/>
              </w:rPr>
            </w:pPr>
            <w:r>
              <w:rPr>
                <w:rFonts w:asciiTheme="majorBidi" w:hAnsiTheme="majorBidi" w:cstheme="majorBidi"/>
              </w:rPr>
              <w:t>4</w:t>
            </w:r>
          </w:p>
        </w:tc>
        <w:tc>
          <w:tcPr>
            <w:tcW w:w="6330" w:type="dxa"/>
          </w:tcPr>
          <w:p w14:paraId="3032ABE6">
            <w:pPr>
              <w:pStyle w:val="17"/>
              <w:spacing w:before="0" w:beforeAutospacing="0" w:after="0" w:afterAutospacing="0"/>
              <w:rPr>
                <w:rFonts w:asciiTheme="majorBidi" w:hAnsiTheme="majorBidi" w:cstheme="majorBidi"/>
              </w:rPr>
            </w:pPr>
            <w:r>
              <w:rPr>
                <w:rFonts w:asciiTheme="majorBidi" w:hAnsiTheme="majorBidi" w:cstheme="majorBidi"/>
              </w:rPr>
              <w:t>Changes in peer influence can be tracked throughout student's educational journey.</w:t>
            </w:r>
          </w:p>
        </w:tc>
        <w:tc>
          <w:tcPr>
            <w:tcW w:w="523" w:type="dxa"/>
          </w:tcPr>
          <w:p w14:paraId="22F96B73">
            <w:pPr>
              <w:pStyle w:val="17"/>
              <w:spacing w:before="0" w:beforeAutospacing="0" w:after="0" w:afterAutospacing="0"/>
              <w:jc w:val="both"/>
              <w:rPr>
                <w:rFonts w:asciiTheme="majorBidi" w:hAnsiTheme="majorBidi" w:cstheme="majorBidi"/>
                <w:b/>
                <w:bCs/>
              </w:rPr>
            </w:pPr>
          </w:p>
        </w:tc>
        <w:tc>
          <w:tcPr>
            <w:tcW w:w="441" w:type="dxa"/>
          </w:tcPr>
          <w:p w14:paraId="559BECE6">
            <w:pPr>
              <w:pStyle w:val="17"/>
              <w:spacing w:before="0" w:beforeAutospacing="0" w:after="0" w:afterAutospacing="0"/>
              <w:jc w:val="both"/>
              <w:rPr>
                <w:rFonts w:asciiTheme="majorBidi" w:hAnsiTheme="majorBidi" w:cstheme="majorBidi"/>
                <w:b/>
                <w:bCs/>
              </w:rPr>
            </w:pPr>
          </w:p>
        </w:tc>
        <w:tc>
          <w:tcPr>
            <w:tcW w:w="441" w:type="dxa"/>
          </w:tcPr>
          <w:p w14:paraId="59DC1064">
            <w:pPr>
              <w:pStyle w:val="17"/>
              <w:spacing w:before="0" w:beforeAutospacing="0" w:after="0" w:afterAutospacing="0"/>
              <w:jc w:val="both"/>
              <w:rPr>
                <w:rFonts w:asciiTheme="majorBidi" w:hAnsiTheme="majorBidi" w:cstheme="majorBidi"/>
                <w:b/>
                <w:bCs/>
              </w:rPr>
            </w:pPr>
          </w:p>
        </w:tc>
        <w:tc>
          <w:tcPr>
            <w:tcW w:w="477" w:type="dxa"/>
          </w:tcPr>
          <w:p w14:paraId="6A6DA830">
            <w:pPr>
              <w:pStyle w:val="17"/>
              <w:spacing w:before="0" w:beforeAutospacing="0" w:after="0" w:afterAutospacing="0"/>
              <w:jc w:val="both"/>
              <w:rPr>
                <w:rFonts w:asciiTheme="majorBidi" w:hAnsiTheme="majorBidi" w:cstheme="majorBidi"/>
                <w:b/>
                <w:bCs/>
              </w:rPr>
            </w:pPr>
          </w:p>
        </w:tc>
        <w:tc>
          <w:tcPr>
            <w:tcW w:w="523" w:type="dxa"/>
          </w:tcPr>
          <w:p w14:paraId="0BDA2DCE">
            <w:pPr>
              <w:pStyle w:val="17"/>
              <w:spacing w:before="0" w:beforeAutospacing="0" w:after="0" w:afterAutospacing="0"/>
              <w:jc w:val="both"/>
              <w:rPr>
                <w:rFonts w:asciiTheme="majorBidi" w:hAnsiTheme="majorBidi" w:cstheme="majorBidi"/>
                <w:b/>
                <w:bCs/>
              </w:rPr>
            </w:pPr>
          </w:p>
        </w:tc>
      </w:tr>
      <w:tr w14:paraId="2149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6A087EA">
            <w:pPr>
              <w:pStyle w:val="17"/>
              <w:spacing w:before="0" w:beforeAutospacing="0" w:after="0" w:afterAutospacing="0"/>
              <w:jc w:val="both"/>
              <w:rPr>
                <w:rFonts w:asciiTheme="majorBidi" w:hAnsiTheme="majorBidi" w:cstheme="majorBidi"/>
              </w:rPr>
            </w:pPr>
            <w:r>
              <w:rPr>
                <w:rFonts w:asciiTheme="majorBidi" w:hAnsiTheme="majorBidi" w:cstheme="majorBidi"/>
              </w:rPr>
              <w:t>5</w:t>
            </w:r>
          </w:p>
        </w:tc>
        <w:tc>
          <w:tcPr>
            <w:tcW w:w="6330" w:type="dxa"/>
          </w:tcPr>
          <w:p w14:paraId="378AFBC4">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Students are more likely to cheat when they perceive their peers engaging in similar behaviors without consequences.</w:t>
            </w:r>
          </w:p>
        </w:tc>
        <w:tc>
          <w:tcPr>
            <w:tcW w:w="523" w:type="dxa"/>
          </w:tcPr>
          <w:p w14:paraId="69E96D49">
            <w:pPr>
              <w:pStyle w:val="17"/>
              <w:spacing w:before="0" w:beforeAutospacing="0" w:after="0" w:afterAutospacing="0"/>
              <w:jc w:val="both"/>
              <w:rPr>
                <w:rFonts w:asciiTheme="majorBidi" w:hAnsiTheme="majorBidi" w:cstheme="majorBidi"/>
                <w:b/>
                <w:bCs/>
              </w:rPr>
            </w:pPr>
          </w:p>
        </w:tc>
        <w:tc>
          <w:tcPr>
            <w:tcW w:w="441" w:type="dxa"/>
          </w:tcPr>
          <w:p w14:paraId="3B12769E">
            <w:pPr>
              <w:pStyle w:val="17"/>
              <w:spacing w:before="0" w:beforeAutospacing="0" w:after="0" w:afterAutospacing="0"/>
              <w:jc w:val="both"/>
              <w:rPr>
                <w:rFonts w:asciiTheme="majorBidi" w:hAnsiTheme="majorBidi" w:cstheme="majorBidi"/>
                <w:b/>
                <w:bCs/>
              </w:rPr>
            </w:pPr>
          </w:p>
        </w:tc>
        <w:tc>
          <w:tcPr>
            <w:tcW w:w="441" w:type="dxa"/>
          </w:tcPr>
          <w:p w14:paraId="4E5D50DB">
            <w:pPr>
              <w:pStyle w:val="17"/>
              <w:spacing w:before="0" w:beforeAutospacing="0" w:after="0" w:afterAutospacing="0"/>
              <w:jc w:val="both"/>
              <w:rPr>
                <w:rFonts w:asciiTheme="majorBidi" w:hAnsiTheme="majorBidi" w:cstheme="majorBidi"/>
                <w:b/>
                <w:bCs/>
              </w:rPr>
            </w:pPr>
          </w:p>
        </w:tc>
        <w:tc>
          <w:tcPr>
            <w:tcW w:w="477" w:type="dxa"/>
          </w:tcPr>
          <w:p w14:paraId="6CF3CA02">
            <w:pPr>
              <w:pStyle w:val="17"/>
              <w:spacing w:before="0" w:beforeAutospacing="0" w:after="0" w:afterAutospacing="0"/>
              <w:jc w:val="both"/>
              <w:rPr>
                <w:rFonts w:asciiTheme="majorBidi" w:hAnsiTheme="majorBidi" w:cstheme="majorBidi"/>
                <w:b/>
                <w:bCs/>
              </w:rPr>
            </w:pPr>
          </w:p>
        </w:tc>
        <w:tc>
          <w:tcPr>
            <w:tcW w:w="523" w:type="dxa"/>
          </w:tcPr>
          <w:p w14:paraId="5F999082">
            <w:pPr>
              <w:pStyle w:val="17"/>
              <w:spacing w:before="0" w:beforeAutospacing="0" w:after="0" w:afterAutospacing="0"/>
              <w:jc w:val="both"/>
              <w:rPr>
                <w:rFonts w:asciiTheme="majorBidi" w:hAnsiTheme="majorBidi" w:cstheme="majorBidi"/>
                <w:b/>
                <w:bCs/>
              </w:rPr>
            </w:pPr>
          </w:p>
        </w:tc>
      </w:tr>
      <w:tr w14:paraId="0A89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10" w:type="dxa"/>
          </w:tcPr>
          <w:p w14:paraId="218D8C01">
            <w:pPr>
              <w:pStyle w:val="17"/>
              <w:spacing w:before="0" w:beforeAutospacing="0" w:after="0" w:afterAutospacing="0"/>
              <w:jc w:val="both"/>
              <w:rPr>
                <w:rFonts w:asciiTheme="majorBidi" w:hAnsiTheme="majorBidi" w:cstheme="majorBidi"/>
              </w:rPr>
            </w:pPr>
          </w:p>
        </w:tc>
        <w:tc>
          <w:tcPr>
            <w:tcW w:w="6330" w:type="dxa"/>
          </w:tcPr>
          <w:p w14:paraId="4E40CDD1">
            <w:pPr>
              <w:pStyle w:val="17"/>
              <w:rPr>
                <w:rFonts w:asciiTheme="majorBidi" w:hAnsiTheme="majorBidi" w:cstheme="majorBidi"/>
                <w:b/>
                <w:bCs/>
              </w:rPr>
            </w:pPr>
            <w:r>
              <w:rPr>
                <w:rFonts w:asciiTheme="majorBidi" w:hAnsiTheme="majorBidi" w:cstheme="majorBidi"/>
                <w:b/>
                <w:bCs/>
              </w:rPr>
              <w:t xml:space="preserve">Parents Involvement in academic integrity and examination malpractices </w:t>
            </w:r>
          </w:p>
        </w:tc>
        <w:tc>
          <w:tcPr>
            <w:tcW w:w="523" w:type="dxa"/>
          </w:tcPr>
          <w:p w14:paraId="2724A165">
            <w:pPr>
              <w:pStyle w:val="17"/>
              <w:spacing w:before="0" w:beforeAutospacing="0" w:after="0" w:afterAutospacing="0"/>
              <w:jc w:val="both"/>
              <w:rPr>
                <w:rFonts w:asciiTheme="majorBidi" w:hAnsiTheme="majorBidi" w:cstheme="majorBidi"/>
                <w:b/>
                <w:bCs/>
              </w:rPr>
            </w:pPr>
          </w:p>
        </w:tc>
        <w:tc>
          <w:tcPr>
            <w:tcW w:w="441" w:type="dxa"/>
          </w:tcPr>
          <w:p w14:paraId="43506AB2">
            <w:pPr>
              <w:pStyle w:val="17"/>
              <w:spacing w:before="0" w:beforeAutospacing="0" w:after="0" w:afterAutospacing="0"/>
              <w:jc w:val="both"/>
              <w:rPr>
                <w:rFonts w:asciiTheme="majorBidi" w:hAnsiTheme="majorBidi" w:cstheme="majorBidi"/>
                <w:b/>
                <w:bCs/>
              </w:rPr>
            </w:pPr>
          </w:p>
        </w:tc>
        <w:tc>
          <w:tcPr>
            <w:tcW w:w="441" w:type="dxa"/>
          </w:tcPr>
          <w:p w14:paraId="7F1A01AE">
            <w:pPr>
              <w:pStyle w:val="17"/>
              <w:spacing w:before="0" w:beforeAutospacing="0" w:after="0" w:afterAutospacing="0"/>
              <w:jc w:val="both"/>
              <w:rPr>
                <w:rFonts w:asciiTheme="majorBidi" w:hAnsiTheme="majorBidi" w:cstheme="majorBidi"/>
                <w:b/>
                <w:bCs/>
              </w:rPr>
            </w:pPr>
          </w:p>
        </w:tc>
        <w:tc>
          <w:tcPr>
            <w:tcW w:w="477" w:type="dxa"/>
          </w:tcPr>
          <w:p w14:paraId="23BF7A4E">
            <w:pPr>
              <w:pStyle w:val="17"/>
              <w:spacing w:before="0" w:beforeAutospacing="0" w:after="0" w:afterAutospacing="0"/>
              <w:jc w:val="both"/>
              <w:rPr>
                <w:rFonts w:asciiTheme="majorBidi" w:hAnsiTheme="majorBidi" w:cstheme="majorBidi"/>
                <w:b/>
                <w:bCs/>
              </w:rPr>
            </w:pPr>
          </w:p>
        </w:tc>
        <w:tc>
          <w:tcPr>
            <w:tcW w:w="523" w:type="dxa"/>
          </w:tcPr>
          <w:p w14:paraId="03C3D330">
            <w:pPr>
              <w:pStyle w:val="17"/>
              <w:spacing w:before="0" w:beforeAutospacing="0" w:after="0" w:afterAutospacing="0"/>
              <w:jc w:val="both"/>
              <w:rPr>
                <w:rFonts w:asciiTheme="majorBidi" w:hAnsiTheme="majorBidi" w:cstheme="majorBidi"/>
                <w:b/>
                <w:bCs/>
              </w:rPr>
            </w:pPr>
          </w:p>
        </w:tc>
      </w:tr>
      <w:tr w14:paraId="23C3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9BB0253">
            <w:pPr>
              <w:pStyle w:val="17"/>
              <w:spacing w:before="0" w:beforeAutospacing="0" w:after="0" w:afterAutospacing="0"/>
              <w:jc w:val="both"/>
              <w:rPr>
                <w:rFonts w:asciiTheme="majorBidi" w:hAnsiTheme="majorBidi" w:cstheme="majorBidi"/>
              </w:rPr>
            </w:pPr>
            <w:r>
              <w:rPr>
                <w:rFonts w:asciiTheme="majorBidi" w:hAnsiTheme="majorBidi" w:cstheme="majorBidi"/>
              </w:rPr>
              <w:t>6</w:t>
            </w:r>
          </w:p>
        </w:tc>
        <w:tc>
          <w:tcPr>
            <w:tcW w:w="6330" w:type="dxa"/>
          </w:tcPr>
          <w:p w14:paraId="76551825">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523" w:type="dxa"/>
          </w:tcPr>
          <w:p w14:paraId="398C3628">
            <w:pPr>
              <w:pStyle w:val="17"/>
              <w:spacing w:before="0" w:beforeAutospacing="0" w:after="0" w:afterAutospacing="0"/>
              <w:jc w:val="both"/>
              <w:rPr>
                <w:rFonts w:asciiTheme="majorBidi" w:hAnsiTheme="majorBidi" w:cstheme="majorBidi"/>
                <w:b/>
                <w:bCs/>
              </w:rPr>
            </w:pPr>
          </w:p>
        </w:tc>
        <w:tc>
          <w:tcPr>
            <w:tcW w:w="441" w:type="dxa"/>
          </w:tcPr>
          <w:p w14:paraId="530679F7">
            <w:pPr>
              <w:pStyle w:val="17"/>
              <w:spacing w:before="0" w:beforeAutospacing="0" w:after="0" w:afterAutospacing="0"/>
              <w:jc w:val="both"/>
              <w:rPr>
                <w:rFonts w:asciiTheme="majorBidi" w:hAnsiTheme="majorBidi" w:cstheme="majorBidi"/>
                <w:b/>
                <w:bCs/>
              </w:rPr>
            </w:pPr>
          </w:p>
        </w:tc>
        <w:tc>
          <w:tcPr>
            <w:tcW w:w="441" w:type="dxa"/>
          </w:tcPr>
          <w:p w14:paraId="3A81E5FA">
            <w:pPr>
              <w:pStyle w:val="17"/>
              <w:spacing w:before="0" w:beforeAutospacing="0" w:after="0" w:afterAutospacing="0"/>
              <w:jc w:val="both"/>
              <w:rPr>
                <w:rFonts w:asciiTheme="majorBidi" w:hAnsiTheme="majorBidi" w:cstheme="majorBidi"/>
                <w:b/>
                <w:bCs/>
              </w:rPr>
            </w:pPr>
          </w:p>
        </w:tc>
        <w:tc>
          <w:tcPr>
            <w:tcW w:w="477" w:type="dxa"/>
          </w:tcPr>
          <w:p w14:paraId="24607B38">
            <w:pPr>
              <w:pStyle w:val="17"/>
              <w:spacing w:before="0" w:beforeAutospacing="0" w:after="0" w:afterAutospacing="0"/>
              <w:jc w:val="both"/>
              <w:rPr>
                <w:rFonts w:asciiTheme="majorBidi" w:hAnsiTheme="majorBidi" w:cstheme="majorBidi"/>
                <w:b/>
                <w:bCs/>
              </w:rPr>
            </w:pPr>
          </w:p>
        </w:tc>
        <w:tc>
          <w:tcPr>
            <w:tcW w:w="523" w:type="dxa"/>
          </w:tcPr>
          <w:p w14:paraId="2463CD31">
            <w:pPr>
              <w:pStyle w:val="17"/>
              <w:spacing w:before="0" w:beforeAutospacing="0" w:after="0" w:afterAutospacing="0"/>
              <w:jc w:val="both"/>
              <w:rPr>
                <w:rFonts w:asciiTheme="majorBidi" w:hAnsiTheme="majorBidi" w:cstheme="majorBidi"/>
                <w:b/>
                <w:bCs/>
              </w:rPr>
            </w:pPr>
          </w:p>
        </w:tc>
      </w:tr>
      <w:tr w14:paraId="0363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003DA77">
            <w:pPr>
              <w:pStyle w:val="17"/>
              <w:spacing w:before="0" w:beforeAutospacing="0" w:after="0" w:afterAutospacing="0"/>
              <w:jc w:val="both"/>
              <w:rPr>
                <w:rFonts w:asciiTheme="majorBidi" w:hAnsiTheme="majorBidi" w:cstheme="majorBidi"/>
              </w:rPr>
            </w:pPr>
            <w:r>
              <w:rPr>
                <w:rFonts w:asciiTheme="majorBidi" w:hAnsiTheme="majorBidi" w:cstheme="majorBidi"/>
              </w:rPr>
              <w:t>7</w:t>
            </w:r>
          </w:p>
        </w:tc>
        <w:tc>
          <w:tcPr>
            <w:tcW w:w="6330" w:type="dxa"/>
          </w:tcPr>
          <w:p w14:paraId="4EE0CEF0">
            <w:pPr>
              <w:pStyle w:val="17"/>
              <w:spacing w:before="0" w:beforeAutospacing="0" w:after="0" w:afterAutospacing="0"/>
              <w:rPr>
                <w:rFonts w:asciiTheme="majorBidi" w:hAnsiTheme="majorBidi" w:cstheme="majorBidi"/>
              </w:rPr>
            </w:pPr>
            <w:r>
              <w:rPr>
                <w:rFonts w:asciiTheme="majorBidi" w:hAnsiTheme="majorBidi" w:cstheme="majorBidi"/>
              </w:rPr>
              <w:t>Parents are involved in decision making on exam integrity.</w:t>
            </w:r>
          </w:p>
        </w:tc>
        <w:tc>
          <w:tcPr>
            <w:tcW w:w="523" w:type="dxa"/>
          </w:tcPr>
          <w:p w14:paraId="216FA083">
            <w:pPr>
              <w:pStyle w:val="17"/>
              <w:spacing w:before="0" w:beforeAutospacing="0" w:after="0" w:afterAutospacing="0"/>
              <w:jc w:val="both"/>
              <w:rPr>
                <w:rFonts w:asciiTheme="majorBidi" w:hAnsiTheme="majorBidi" w:cstheme="majorBidi"/>
                <w:b/>
                <w:bCs/>
              </w:rPr>
            </w:pPr>
          </w:p>
        </w:tc>
        <w:tc>
          <w:tcPr>
            <w:tcW w:w="441" w:type="dxa"/>
          </w:tcPr>
          <w:p w14:paraId="526D7477">
            <w:pPr>
              <w:pStyle w:val="17"/>
              <w:spacing w:before="0" w:beforeAutospacing="0" w:after="0" w:afterAutospacing="0"/>
              <w:jc w:val="both"/>
              <w:rPr>
                <w:rFonts w:asciiTheme="majorBidi" w:hAnsiTheme="majorBidi" w:cstheme="majorBidi"/>
                <w:b/>
                <w:bCs/>
              </w:rPr>
            </w:pPr>
          </w:p>
        </w:tc>
        <w:tc>
          <w:tcPr>
            <w:tcW w:w="441" w:type="dxa"/>
          </w:tcPr>
          <w:p w14:paraId="4C19DFE2">
            <w:pPr>
              <w:pStyle w:val="17"/>
              <w:spacing w:before="0" w:beforeAutospacing="0" w:after="0" w:afterAutospacing="0"/>
              <w:jc w:val="both"/>
              <w:rPr>
                <w:rFonts w:asciiTheme="majorBidi" w:hAnsiTheme="majorBidi" w:cstheme="majorBidi"/>
                <w:b/>
                <w:bCs/>
              </w:rPr>
            </w:pPr>
          </w:p>
        </w:tc>
        <w:tc>
          <w:tcPr>
            <w:tcW w:w="477" w:type="dxa"/>
          </w:tcPr>
          <w:p w14:paraId="17AEB519">
            <w:pPr>
              <w:pStyle w:val="17"/>
              <w:spacing w:before="0" w:beforeAutospacing="0" w:after="0" w:afterAutospacing="0"/>
              <w:jc w:val="both"/>
              <w:rPr>
                <w:rFonts w:asciiTheme="majorBidi" w:hAnsiTheme="majorBidi" w:cstheme="majorBidi"/>
                <w:b/>
                <w:bCs/>
              </w:rPr>
            </w:pPr>
          </w:p>
        </w:tc>
        <w:tc>
          <w:tcPr>
            <w:tcW w:w="523" w:type="dxa"/>
          </w:tcPr>
          <w:p w14:paraId="24664B50">
            <w:pPr>
              <w:pStyle w:val="17"/>
              <w:spacing w:before="0" w:beforeAutospacing="0" w:after="0" w:afterAutospacing="0"/>
              <w:jc w:val="both"/>
              <w:rPr>
                <w:rFonts w:asciiTheme="majorBidi" w:hAnsiTheme="majorBidi" w:cstheme="majorBidi"/>
                <w:b/>
                <w:bCs/>
              </w:rPr>
            </w:pPr>
          </w:p>
        </w:tc>
      </w:tr>
      <w:tr w14:paraId="43339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E05BA7E">
            <w:pPr>
              <w:pStyle w:val="17"/>
              <w:spacing w:before="0" w:beforeAutospacing="0" w:after="0" w:afterAutospacing="0"/>
              <w:jc w:val="both"/>
              <w:rPr>
                <w:rFonts w:asciiTheme="majorBidi" w:hAnsiTheme="majorBidi" w:cstheme="majorBidi"/>
              </w:rPr>
            </w:pPr>
            <w:r>
              <w:rPr>
                <w:rFonts w:asciiTheme="majorBidi" w:hAnsiTheme="majorBidi" w:cstheme="majorBidi"/>
              </w:rPr>
              <w:t>8</w:t>
            </w:r>
          </w:p>
        </w:tc>
        <w:tc>
          <w:tcPr>
            <w:tcW w:w="6330" w:type="dxa"/>
          </w:tcPr>
          <w:p w14:paraId="2CD045AC">
            <w:pPr>
              <w:pStyle w:val="17"/>
              <w:spacing w:before="0" w:beforeAutospacing="0" w:after="0" w:afterAutospacing="0"/>
              <w:rPr>
                <w:rFonts w:asciiTheme="majorBidi" w:hAnsiTheme="majorBidi" w:cstheme="majorBidi"/>
                <w:b/>
                <w:bCs/>
              </w:rPr>
            </w:pPr>
            <w:r>
              <w:rPr>
                <w:rFonts w:asciiTheme="majorBidi" w:hAnsiTheme="majorBidi" w:cstheme="majorBidi"/>
              </w:rPr>
              <w:t>Family backgrounds and financial situations of students impact their involvement in Exam malpractice.</w:t>
            </w:r>
          </w:p>
        </w:tc>
        <w:tc>
          <w:tcPr>
            <w:tcW w:w="523" w:type="dxa"/>
          </w:tcPr>
          <w:p w14:paraId="4D0D9F6A">
            <w:pPr>
              <w:pStyle w:val="17"/>
              <w:spacing w:before="0" w:beforeAutospacing="0" w:after="0" w:afterAutospacing="0"/>
              <w:jc w:val="both"/>
              <w:rPr>
                <w:rFonts w:asciiTheme="majorBidi" w:hAnsiTheme="majorBidi" w:cstheme="majorBidi"/>
                <w:b/>
                <w:bCs/>
              </w:rPr>
            </w:pPr>
          </w:p>
        </w:tc>
        <w:tc>
          <w:tcPr>
            <w:tcW w:w="441" w:type="dxa"/>
          </w:tcPr>
          <w:p w14:paraId="1EA98DBC">
            <w:pPr>
              <w:pStyle w:val="17"/>
              <w:spacing w:before="0" w:beforeAutospacing="0" w:after="0" w:afterAutospacing="0"/>
              <w:jc w:val="both"/>
              <w:rPr>
                <w:rFonts w:asciiTheme="majorBidi" w:hAnsiTheme="majorBidi" w:cstheme="majorBidi"/>
                <w:b/>
                <w:bCs/>
              </w:rPr>
            </w:pPr>
          </w:p>
        </w:tc>
        <w:tc>
          <w:tcPr>
            <w:tcW w:w="441" w:type="dxa"/>
          </w:tcPr>
          <w:p w14:paraId="69AF322C">
            <w:pPr>
              <w:pStyle w:val="17"/>
              <w:spacing w:before="0" w:beforeAutospacing="0" w:after="0" w:afterAutospacing="0"/>
              <w:jc w:val="both"/>
              <w:rPr>
                <w:rFonts w:asciiTheme="majorBidi" w:hAnsiTheme="majorBidi" w:cstheme="majorBidi"/>
                <w:b/>
                <w:bCs/>
              </w:rPr>
            </w:pPr>
          </w:p>
        </w:tc>
        <w:tc>
          <w:tcPr>
            <w:tcW w:w="477" w:type="dxa"/>
          </w:tcPr>
          <w:p w14:paraId="0124A9C4">
            <w:pPr>
              <w:pStyle w:val="17"/>
              <w:spacing w:before="0" w:beforeAutospacing="0" w:after="0" w:afterAutospacing="0"/>
              <w:jc w:val="both"/>
              <w:rPr>
                <w:rFonts w:asciiTheme="majorBidi" w:hAnsiTheme="majorBidi" w:cstheme="majorBidi"/>
                <w:b/>
                <w:bCs/>
              </w:rPr>
            </w:pPr>
          </w:p>
        </w:tc>
        <w:tc>
          <w:tcPr>
            <w:tcW w:w="523" w:type="dxa"/>
          </w:tcPr>
          <w:p w14:paraId="76916744">
            <w:pPr>
              <w:pStyle w:val="17"/>
              <w:spacing w:before="0" w:beforeAutospacing="0" w:after="0" w:afterAutospacing="0"/>
              <w:jc w:val="both"/>
              <w:rPr>
                <w:rFonts w:asciiTheme="majorBidi" w:hAnsiTheme="majorBidi" w:cstheme="majorBidi"/>
                <w:b/>
                <w:bCs/>
              </w:rPr>
            </w:pPr>
          </w:p>
        </w:tc>
      </w:tr>
      <w:tr w14:paraId="5CA4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710" w:type="dxa"/>
          </w:tcPr>
          <w:p w14:paraId="2DFC700D">
            <w:pPr>
              <w:pStyle w:val="17"/>
              <w:spacing w:before="0" w:beforeAutospacing="0" w:after="0" w:afterAutospacing="0"/>
              <w:jc w:val="both"/>
              <w:rPr>
                <w:rFonts w:asciiTheme="majorBidi" w:hAnsiTheme="majorBidi" w:cstheme="majorBidi"/>
              </w:rPr>
            </w:pPr>
            <w:r>
              <w:rPr>
                <w:rFonts w:asciiTheme="majorBidi" w:hAnsiTheme="majorBidi" w:cstheme="majorBidi"/>
              </w:rPr>
              <w:t>9</w:t>
            </w:r>
          </w:p>
        </w:tc>
        <w:tc>
          <w:tcPr>
            <w:tcW w:w="6330" w:type="dxa"/>
          </w:tcPr>
          <w:p w14:paraId="4863718C">
            <w:pPr>
              <w:pStyle w:val="17"/>
              <w:spacing w:before="0" w:beforeAutospacing="0" w:after="0" w:afterAutospacing="0"/>
              <w:rPr>
                <w:rFonts w:asciiTheme="majorBidi" w:hAnsiTheme="majorBidi" w:cstheme="majorBidi"/>
                <w:b/>
                <w:bCs/>
              </w:rPr>
            </w:pPr>
            <w:r>
              <w:rPr>
                <w:rFonts w:asciiTheme="majorBidi" w:hAnsiTheme="majorBidi" w:cstheme="majorBidi"/>
              </w:rPr>
              <w:t>Parents who instill values of honesty and integrity in their children contribute to a culture of academic honesty.</w:t>
            </w:r>
          </w:p>
        </w:tc>
        <w:tc>
          <w:tcPr>
            <w:tcW w:w="523" w:type="dxa"/>
          </w:tcPr>
          <w:p w14:paraId="2A07E4FF">
            <w:pPr>
              <w:pStyle w:val="17"/>
              <w:spacing w:before="0" w:beforeAutospacing="0" w:after="0" w:afterAutospacing="0"/>
              <w:jc w:val="both"/>
              <w:rPr>
                <w:rFonts w:asciiTheme="majorBidi" w:hAnsiTheme="majorBidi" w:cstheme="majorBidi"/>
                <w:b/>
                <w:bCs/>
              </w:rPr>
            </w:pPr>
          </w:p>
        </w:tc>
        <w:tc>
          <w:tcPr>
            <w:tcW w:w="441" w:type="dxa"/>
          </w:tcPr>
          <w:p w14:paraId="0BE8DC03">
            <w:pPr>
              <w:pStyle w:val="17"/>
              <w:spacing w:before="0" w:beforeAutospacing="0" w:after="0" w:afterAutospacing="0"/>
              <w:jc w:val="both"/>
              <w:rPr>
                <w:rFonts w:asciiTheme="majorBidi" w:hAnsiTheme="majorBidi" w:cstheme="majorBidi"/>
                <w:b/>
                <w:bCs/>
              </w:rPr>
            </w:pPr>
          </w:p>
        </w:tc>
        <w:tc>
          <w:tcPr>
            <w:tcW w:w="441" w:type="dxa"/>
          </w:tcPr>
          <w:p w14:paraId="7F4D1C9A">
            <w:pPr>
              <w:pStyle w:val="17"/>
              <w:spacing w:before="0" w:beforeAutospacing="0" w:after="0" w:afterAutospacing="0"/>
              <w:jc w:val="both"/>
              <w:rPr>
                <w:rFonts w:asciiTheme="majorBidi" w:hAnsiTheme="majorBidi" w:cstheme="majorBidi"/>
                <w:b/>
                <w:bCs/>
              </w:rPr>
            </w:pPr>
          </w:p>
        </w:tc>
        <w:tc>
          <w:tcPr>
            <w:tcW w:w="477" w:type="dxa"/>
          </w:tcPr>
          <w:p w14:paraId="4C4F4504">
            <w:pPr>
              <w:pStyle w:val="17"/>
              <w:spacing w:before="0" w:beforeAutospacing="0" w:after="0" w:afterAutospacing="0"/>
              <w:jc w:val="both"/>
              <w:rPr>
                <w:rFonts w:asciiTheme="majorBidi" w:hAnsiTheme="majorBidi" w:cstheme="majorBidi"/>
                <w:b/>
                <w:bCs/>
              </w:rPr>
            </w:pPr>
          </w:p>
        </w:tc>
        <w:tc>
          <w:tcPr>
            <w:tcW w:w="523" w:type="dxa"/>
          </w:tcPr>
          <w:p w14:paraId="18179B13">
            <w:pPr>
              <w:pStyle w:val="17"/>
              <w:spacing w:before="0" w:beforeAutospacing="0" w:after="0" w:afterAutospacing="0"/>
              <w:jc w:val="both"/>
              <w:rPr>
                <w:rFonts w:asciiTheme="majorBidi" w:hAnsiTheme="majorBidi" w:cstheme="majorBidi"/>
                <w:b/>
                <w:bCs/>
              </w:rPr>
            </w:pPr>
          </w:p>
        </w:tc>
      </w:tr>
      <w:tr w14:paraId="17A2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3B898986">
            <w:pPr>
              <w:pStyle w:val="17"/>
              <w:spacing w:before="0" w:beforeAutospacing="0" w:after="0" w:afterAutospacing="0"/>
              <w:jc w:val="both"/>
              <w:rPr>
                <w:rFonts w:asciiTheme="majorBidi" w:hAnsiTheme="majorBidi" w:cstheme="majorBidi"/>
              </w:rPr>
            </w:pPr>
          </w:p>
        </w:tc>
        <w:tc>
          <w:tcPr>
            <w:tcW w:w="6330" w:type="dxa"/>
          </w:tcPr>
          <w:p w14:paraId="266DA6B5">
            <w:pPr>
              <w:pStyle w:val="17"/>
              <w:rPr>
                <w:rFonts w:asciiTheme="majorBidi" w:hAnsiTheme="majorBidi" w:cstheme="majorBidi"/>
                <w:b/>
                <w:bCs/>
              </w:rPr>
            </w:pPr>
            <w:r>
              <w:rPr>
                <w:rFonts w:asciiTheme="majorBidi" w:hAnsiTheme="majorBidi" w:cstheme="majorBidi"/>
                <w:b/>
                <w:bCs/>
              </w:rPr>
              <w:t>Perceived benefits on academic integrity and examination malpractices</w:t>
            </w:r>
          </w:p>
        </w:tc>
        <w:tc>
          <w:tcPr>
            <w:tcW w:w="523" w:type="dxa"/>
          </w:tcPr>
          <w:p w14:paraId="57A13D1A">
            <w:pPr>
              <w:pStyle w:val="17"/>
              <w:spacing w:before="0" w:beforeAutospacing="0" w:after="0" w:afterAutospacing="0"/>
              <w:jc w:val="both"/>
              <w:rPr>
                <w:rFonts w:asciiTheme="majorBidi" w:hAnsiTheme="majorBidi" w:cstheme="majorBidi"/>
                <w:b/>
                <w:bCs/>
              </w:rPr>
            </w:pPr>
          </w:p>
        </w:tc>
        <w:tc>
          <w:tcPr>
            <w:tcW w:w="441" w:type="dxa"/>
          </w:tcPr>
          <w:p w14:paraId="5FB1F5FF">
            <w:pPr>
              <w:pStyle w:val="17"/>
              <w:spacing w:before="0" w:beforeAutospacing="0" w:after="0" w:afterAutospacing="0"/>
              <w:jc w:val="both"/>
              <w:rPr>
                <w:rFonts w:asciiTheme="majorBidi" w:hAnsiTheme="majorBidi" w:cstheme="majorBidi"/>
                <w:b/>
                <w:bCs/>
              </w:rPr>
            </w:pPr>
          </w:p>
        </w:tc>
        <w:tc>
          <w:tcPr>
            <w:tcW w:w="441" w:type="dxa"/>
          </w:tcPr>
          <w:p w14:paraId="49371286">
            <w:pPr>
              <w:pStyle w:val="17"/>
              <w:spacing w:before="0" w:beforeAutospacing="0" w:after="0" w:afterAutospacing="0"/>
              <w:jc w:val="both"/>
              <w:rPr>
                <w:rFonts w:asciiTheme="majorBidi" w:hAnsiTheme="majorBidi" w:cstheme="majorBidi"/>
                <w:b/>
                <w:bCs/>
              </w:rPr>
            </w:pPr>
          </w:p>
        </w:tc>
        <w:tc>
          <w:tcPr>
            <w:tcW w:w="477" w:type="dxa"/>
          </w:tcPr>
          <w:p w14:paraId="60CE852E">
            <w:pPr>
              <w:pStyle w:val="17"/>
              <w:spacing w:before="0" w:beforeAutospacing="0" w:after="0" w:afterAutospacing="0"/>
              <w:jc w:val="both"/>
              <w:rPr>
                <w:rFonts w:asciiTheme="majorBidi" w:hAnsiTheme="majorBidi" w:cstheme="majorBidi"/>
                <w:b/>
                <w:bCs/>
              </w:rPr>
            </w:pPr>
          </w:p>
        </w:tc>
        <w:tc>
          <w:tcPr>
            <w:tcW w:w="523" w:type="dxa"/>
          </w:tcPr>
          <w:p w14:paraId="6DD82221">
            <w:pPr>
              <w:pStyle w:val="17"/>
              <w:spacing w:before="0" w:beforeAutospacing="0" w:after="0" w:afterAutospacing="0"/>
              <w:jc w:val="both"/>
              <w:rPr>
                <w:rFonts w:asciiTheme="majorBidi" w:hAnsiTheme="majorBidi" w:cstheme="majorBidi"/>
                <w:b/>
                <w:bCs/>
              </w:rPr>
            </w:pPr>
          </w:p>
        </w:tc>
      </w:tr>
      <w:tr w14:paraId="26B6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475D709D">
            <w:pPr>
              <w:pStyle w:val="17"/>
              <w:spacing w:before="0" w:beforeAutospacing="0" w:after="0" w:afterAutospacing="0"/>
              <w:jc w:val="both"/>
              <w:rPr>
                <w:rFonts w:asciiTheme="majorBidi" w:hAnsiTheme="majorBidi" w:cstheme="majorBidi"/>
              </w:rPr>
            </w:pPr>
            <w:r>
              <w:rPr>
                <w:rFonts w:asciiTheme="majorBidi" w:hAnsiTheme="majorBidi" w:cstheme="majorBidi"/>
              </w:rPr>
              <w:t>10</w:t>
            </w:r>
          </w:p>
        </w:tc>
        <w:tc>
          <w:tcPr>
            <w:tcW w:w="6330" w:type="dxa"/>
          </w:tcPr>
          <w:p w14:paraId="66B62361">
            <w:pPr>
              <w:pStyle w:val="17"/>
              <w:spacing w:before="0" w:beforeAutospacing="0" w:after="0" w:afterAutospacing="0"/>
              <w:rPr>
                <w:rFonts w:asciiTheme="majorBidi" w:hAnsiTheme="majorBidi" w:cstheme="majorBidi"/>
              </w:rPr>
            </w:pPr>
            <w:r>
              <w:rPr>
                <w:rFonts w:asciiTheme="majorBidi" w:hAnsiTheme="majorBidi" w:cstheme="majorBidi"/>
              </w:rPr>
              <w:t xml:space="preserve">Students perceived benefits of cheating correlate to exam integrity </w:t>
            </w:r>
          </w:p>
        </w:tc>
        <w:tc>
          <w:tcPr>
            <w:tcW w:w="523" w:type="dxa"/>
          </w:tcPr>
          <w:p w14:paraId="7478331A">
            <w:pPr>
              <w:pStyle w:val="17"/>
              <w:spacing w:before="0" w:beforeAutospacing="0" w:after="0" w:afterAutospacing="0"/>
              <w:jc w:val="both"/>
              <w:rPr>
                <w:rFonts w:asciiTheme="majorBidi" w:hAnsiTheme="majorBidi" w:cstheme="majorBidi"/>
                <w:b/>
                <w:bCs/>
              </w:rPr>
            </w:pPr>
          </w:p>
        </w:tc>
        <w:tc>
          <w:tcPr>
            <w:tcW w:w="441" w:type="dxa"/>
          </w:tcPr>
          <w:p w14:paraId="424D57BE">
            <w:pPr>
              <w:pStyle w:val="17"/>
              <w:spacing w:before="0" w:beforeAutospacing="0" w:after="0" w:afterAutospacing="0"/>
              <w:jc w:val="both"/>
              <w:rPr>
                <w:rFonts w:asciiTheme="majorBidi" w:hAnsiTheme="majorBidi" w:cstheme="majorBidi"/>
                <w:b/>
                <w:bCs/>
              </w:rPr>
            </w:pPr>
          </w:p>
        </w:tc>
        <w:tc>
          <w:tcPr>
            <w:tcW w:w="441" w:type="dxa"/>
          </w:tcPr>
          <w:p w14:paraId="2C2BF20F">
            <w:pPr>
              <w:pStyle w:val="17"/>
              <w:spacing w:before="0" w:beforeAutospacing="0" w:after="0" w:afterAutospacing="0"/>
              <w:jc w:val="both"/>
              <w:rPr>
                <w:rFonts w:asciiTheme="majorBidi" w:hAnsiTheme="majorBidi" w:cstheme="majorBidi"/>
                <w:b/>
                <w:bCs/>
              </w:rPr>
            </w:pPr>
          </w:p>
        </w:tc>
        <w:tc>
          <w:tcPr>
            <w:tcW w:w="477" w:type="dxa"/>
          </w:tcPr>
          <w:p w14:paraId="2CF201B7">
            <w:pPr>
              <w:pStyle w:val="17"/>
              <w:spacing w:before="0" w:beforeAutospacing="0" w:after="0" w:afterAutospacing="0"/>
              <w:jc w:val="both"/>
              <w:rPr>
                <w:rFonts w:asciiTheme="majorBidi" w:hAnsiTheme="majorBidi" w:cstheme="majorBidi"/>
                <w:b/>
                <w:bCs/>
              </w:rPr>
            </w:pPr>
          </w:p>
        </w:tc>
        <w:tc>
          <w:tcPr>
            <w:tcW w:w="523" w:type="dxa"/>
          </w:tcPr>
          <w:p w14:paraId="5B38A245">
            <w:pPr>
              <w:pStyle w:val="17"/>
              <w:spacing w:before="0" w:beforeAutospacing="0" w:after="0" w:afterAutospacing="0"/>
              <w:jc w:val="both"/>
              <w:rPr>
                <w:rFonts w:asciiTheme="majorBidi" w:hAnsiTheme="majorBidi" w:cstheme="majorBidi"/>
                <w:b/>
                <w:bCs/>
              </w:rPr>
            </w:pPr>
          </w:p>
        </w:tc>
      </w:tr>
      <w:tr w14:paraId="27BF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323487CA">
            <w:pPr>
              <w:pStyle w:val="17"/>
              <w:spacing w:before="0" w:beforeAutospacing="0" w:after="0" w:afterAutospacing="0"/>
              <w:jc w:val="both"/>
              <w:rPr>
                <w:rFonts w:asciiTheme="majorBidi" w:hAnsiTheme="majorBidi" w:cstheme="majorBidi"/>
              </w:rPr>
            </w:pPr>
            <w:r>
              <w:rPr>
                <w:rFonts w:asciiTheme="majorBidi" w:hAnsiTheme="majorBidi" w:cstheme="majorBidi"/>
              </w:rPr>
              <w:t>11</w:t>
            </w:r>
          </w:p>
        </w:tc>
        <w:tc>
          <w:tcPr>
            <w:tcW w:w="6330" w:type="dxa"/>
          </w:tcPr>
          <w:p w14:paraId="244A195D">
            <w:pPr>
              <w:pStyle w:val="17"/>
              <w:spacing w:before="0" w:beforeAutospacing="0" w:after="0" w:afterAutospacing="0"/>
              <w:rPr>
                <w:rFonts w:asciiTheme="majorBidi" w:hAnsiTheme="majorBidi" w:cstheme="majorBidi"/>
              </w:rPr>
            </w:pPr>
            <w:r>
              <w:rPr>
                <w:rFonts w:asciiTheme="majorBidi" w:hAnsiTheme="majorBidi" w:cstheme="majorBidi"/>
              </w:rPr>
              <w:t>Cheating in exams is influenced by Perceived benefits of getting good career courses.</w:t>
            </w:r>
          </w:p>
        </w:tc>
        <w:tc>
          <w:tcPr>
            <w:tcW w:w="523" w:type="dxa"/>
          </w:tcPr>
          <w:p w14:paraId="49BBDB7A">
            <w:pPr>
              <w:pStyle w:val="17"/>
              <w:spacing w:before="0" w:beforeAutospacing="0" w:after="0" w:afterAutospacing="0"/>
              <w:jc w:val="both"/>
              <w:rPr>
                <w:rFonts w:asciiTheme="majorBidi" w:hAnsiTheme="majorBidi" w:cstheme="majorBidi"/>
                <w:b/>
                <w:bCs/>
              </w:rPr>
            </w:pPr>
          </w:p>
        </w:tc>
        <w:tc>
          <w:tcPr>
            <w:tcW w:w="441" w:type="dxa"/>
          </w:tcPr>
          <w:p w14:paraId="46DFB73A">
            <w:pPr>
              <w:pStyle w:val="17"/>
              <w:spacing w:before="0" w:beforeAutospacing="0" w:after="0" w:afterAutospacing="0"/>
              <w:jc w:val="both"/>
              <w:rPr>
                <w:rFonts w:asciiTheme="majorBidi" w:hAnsiTheme="majorBidi" w:cstheme="majorBidi"/>
                <w:b/>
                <w:bCs/>
              </w:rPr>
            </w:pPr>
          </w:p>
        </w:tc>
        <w:tc>
          <w:tcPr>
            <w:tcW w:w="441" w:type="dxa"/>
          </w:tcPr>
          <w:p w14:paraId="0F851918">
            <w:pPr>
              <w:pStyle w:val="17"/>
              <w:spacing w:before="0" w:beforeAutospacing="0" w:after="0" w:afterAutospacing="0"/>
              <w:jc w:val="both"/>
              <w:rPr>
                <w:rFonts w:asciiTheme="majorBidi" w:hAnsiTheme="majorBidi" w:cstheme="majorBidi"/>
                <w:b/>
                <w:bCs/>
              </w:rPr>
            </w:pPr>
          </w:p>
        </w:tc>
        <w:tc>
          <w:tcPr>
            <w:tcW w:w="477" w:type="dxa"/>
          </w:tcPr>
          <w:p w14:paraId="00206C37">
            <w:pPr>
              <w:pStyle w:val="17"/>
              <w:spacing w:before="0" w:beforeAutospacing="0" w:after="0" w:afterAutospacing="0"/>
              <w:jc w:val="both"/>
              <w:rPr>
                <w:rFonts w:asciiTheme="majorBidi" w:hAnsiTheme="majorBidi" w:cstheme="majorBidi"/>
                <w:b/>
                <w:bCs/>
              </w:rPr>
            </w:pPr>
          </w:p>
        </w:tc>
        <w:tc>
          <w:tcPr>
            <w:tcW w:w="523" w:type="dxa"/>
          </w:tcPr>
          <w:p w14:paraId="76E419D2">
            <w:pPr>
              <w:pStyle w:val="17"/>
              <w:spacing w:before="0" w:beforeAutospacing="0" w:after="0" w:afterAutospacing="0"/>
              <w:jc w:val="both"/>
              <w:rPr>
                <w:rFonts w:asciiTheme="majorBidi" w:hAnsiTheme="majorBidi" w:cstheme="majorBidi"/>
                <w:b/>
                <w:bCs/>
              </w:rPr>
            </w:pPr>
          </w:p>
        </w:tc>
      </w:tr>
      <w:tr w14:paraId="4E10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710" w:type="dxa"/>
          </w:tcPr>
          <w:p w14:paraId="7BC64DC4">
            <w:pPr>
              <w:pStyle w:val="17"/>
              <w:spacing w:before="0" w:beforeAutospacing="0" w:after="0" w:afterAutospacing="0"/>
              <w:jc w:val="both"/>
              <w:rPr>
                <w:rFonts w:asciiTheme="majorBidi" w:hAnsiTheme="majorBidi" w:cstheme="majorBidi"/>
              </w:rPr>
            </w:pPr>
            <w:r>
              <w:rPr>
                <w:rFonts w:asciiTheme="majorBidi" w:hAnsiTheme="majorBidi" w:cstheme="majorBidi"/>
              </w:rPr>
              <w:t>12</w:t>
            </w:r>
          </w:p>
        </w:tc>
        <w:tc>
          <w:tcPr>
            <w:tcW w:w="6330" w:type="dxa"/>
          </w:tcPr>
          <w:p w14:paraId="01A258EF">
            <w:pPr>
              <w:pStyle w:val="17"/>
              <w:spacing w:before="0" w:beforeAutospacing="0" w:after="0" w:afterAutospacing="0"/>
              <w:rPr>
                <w:rFonts w:asciiTheme="majorBidi" w:hAnsiTheme="majorBidi" w:cstheme="majorBidi"/>
                <w:b/>
                <w:bCs/>
              </w:rPr>
            </w:pPr>
            <w:r>
              <w:rPr>
                <w:rFonts w:asciiTheme="majorBidi" w:hAnsiTheme="majorBidi" w:cstheme="majorBidi"/>
              </w:rPr>
              <w:t>The belief in fair competition is a significant driver of examination integrity.</w:t>
            </w:r>
          </w:p>
        </w:tc>
        <w:tc>
          <w:tcPr>
            <w:tcW w:w="523" w:type="dxa"/>
          </w:tcPr>
          <w:p w14:paraId="4C3A7EB2">
            <w:pPr>
              <w:pStyle w:val="17"/>
              <w:spacing w:before="0" w:beforeAutospacing="0" w:after="0" w:afterAutospacing="0"/>
              <w:jc w:val="both"/>
              <w:rPr>
                <w:rFonts w:asciiTheme="majorBidi" w:hAnsiTheme="majorBidi" w:cstheme="majorBidi"/>
                <w:b/>
                <w:bCs/>
              </w:rPr>
            </w:pPr>
          </w:p>
        </w:tc>
        <w:tc>
          <w:tcPr>
            <w:tcW w:w="441" w:type="dxa"/>
          </w:tcPr>
          <w:p w14:paraId="7B1B6381">
            <w:pPr>
              <w:pStyle w:val="17"/>
              <w:spacing w:before="0" w:beforeAutospacing="0" w:after="0" w:afterAutospacing="0"/>
              <w:jc w:val="both"/>
              <w:rPr>
                <w:rFonts w:asciiTheme="majorBidi" w:hAnsiTheme="majorBidi" w:cstheme="majorBidi"/>
                <w:b/>
                <w:bCs/>
              </w:rPr>
            </w:pPr>
          </w:p>
        </w:tc>
        <w:tc>
          <w:tcPr>
            <w:tcW w:w="441" w:type="dxa"/>
          </w:tcPr>
          <w:p w14:paraId="64C5464B">
            <w:pPr>
              <w:pStyle w:val="17"/>
              <w:spacing w:before="0" w:beforeAutospacing="0" w:after="0" w:afterAutospacing="0"/>
              <w:jc w:val="both"/>
              <w:rPr>
                <w:rFonts w:asciiTheme="majorBidi" w:hAnsiTheme="majorBidi" w:cstheme="majorBidi"/>
                <w:b/>
                <w:bCs/>
              </w:rPr>
            </w:pPr>
          </w:p>
        </w:tc>
        <w:tc>
          <w:tcPr>
            <w:tcW w:w="477" w:type="dxa"/>
          </w:tcPr>
          <w:p w14:paraId="7F26A3F4">
            <w:pPr>
              <w:pStyle w:val="17"/>
              <w:spacing w:before="0" w:beforeAutospacing="0" w:after="0" w:afterAutospacing="0"/>
              <w:jc w:val="both"/>
              <w:rPr>
                <w:rFonts w:asciiTheme="majorBidi" w:hAnsiTheme="majorBidi" w:cstheme="majorBidi"/>
                <w:b/>
                <w:bCs/>
              </w:rPr>
            </w:pPr>
          </w:p>
        </w:tc>
        <w:tc>
          <w:tcPr>
            <w:tcW w:w="523" w:type="dxa"/>
          </w:tcPr>
          <w:p w14:paraId="086CB963">
            <w:pPr>
              <w:pStyle w:val="17"/>
              <w:spacing w:before="0" w:beforeAutospacing="0" w:after="0" w:afterAutospacing="0"/>
              <w:jc w:val="both"/>
              <w:rPr>
                <w:rFonts w:asciiTheme="majorBidi" w:hAnsiTheme="majorBidi" w:cstheme="majorBidi"/>
                <w:b/>
                <w:bCs/>
              </w:rPr>
            </w:pPr>
          </w:p>
        </w:tc>
      </w:tr>
      <w:tr w14:paraId="6297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1DFD84F">
            <w:pPr>
              <w:pStyle w:val="17"/>
              <w:spacing w:before="0" w:beforeAutospacing="0" w:after="0" w:afterAutospacing="0"/>
              <w:jc w:val="both"/>
              <w:rPr>
                <w:rFonts w:asciiTheme="majorBidi" w:hAnsiTheme="majorBidi" w:cstheme="majorBidi"/>
              </w:rPr>
            </w:pPr>
            <w:r>
              <w:rPr>
                <w:rFonts w:asciiTheme="majorBidi" w:hAnsiTheme="majorBidi" w:cstheme="majorBidi"/>
              </w:rPr>
              <w:t>13</w:t>
            </w:r>
          </w:p>
        </w:tc>
        <w:tc>
          <w:tcPr>
            <w:tcW w:w="6330" w:type="dxa"/>
          </w:tcPr>
          <w:p w14:paraId="337A3F78">
            <w:pPr>
              <w:pStyle w:val="17"/>
              <w:spacing w:before="0" w:beforeAutospacing="0" w:after="0" w:afterAutospacing="0"/>
              <w:rPr>
                <w:rFonts w:asciiTheme="majorBidi" w:hAnsiTheme="majorBidi" w:cstheme="majorBidi"/>
              </w:rPr>
            </w:pPr>
            <w:r>
              <w:rPr>
                <w:rFonts w:asciiTheme="majorBidi" w:hAnsiTheme="majorBidi" w:cstheme="majorBidi"/>
              </w:rPr>
              <w:t>Students who value a level playing field perceive the benefits of maintaining fairness in examinations.</w:t>
            </w:r>
          </w:p>
        </w:tc>
        <w:tc>
          <w:tcPr>
            <w:tcW w:w="523" w:type="dxa"/>
          </w:tcPr>
          <w:p w14:paraId="73E1A04E">
            <w:pPr>
              <w:pStyle w:val="17"/>
              <w:spacing w:before="0" w:beforeAutospacing="0" w:after="0" w:afterAutospacing="0"/>
              <w:jc w:val="both"/>
              <w:rPr>
                <w:rFonts w:asciiTheme="majorBidi" w:hAnsiTheme="majorBidi" w:cstheme="majorBidi"/>
                <w:b/>
                <w:bCs/>
              </w:rPr>
            </w:pPr>
          </w:p>
        </w:tc>
        <w:tc>
          <w:tcPr>
            <w:tcW w:w="441" w:type="dxa"/>
          </w:tcPr>
          <w:p w14:paraId="31CFB5A4">
            <w:pPr>
              <w:pStyle w:val="17"/>
              <w:spacing w:before="0" w:beforeAutospacing="0" w:after="0" w:afterAutospacing="0"/>
              <w:jc w:val="both"/>
              <w:rPr>
                <w:rFonts w:asciiTheme="majorBidi" w:hAnsiTheme="majorBidi" w:cstheme="majorBidi"/>
                <w:b/>
                <w:bCs/>
              </w:rPr>
            </w:pPr>
          </w:p>
        </w:tc>
        <w:tc>
          <w:tcPr>
            <w:tcW w:w="441" w:type="dxa"/>
          </w:tcPr>
          <w:p w14:paraId="08781E3D">
            <w:pPr>
              <w:pStyle w:val="17"/>
              <w:spacing w:before="0" w:beforeAutospacing="0" w:after="0" w:afterAutospacing="0"/>
              <w:jc w:val="both"/>
              <w:rPr>
                <w:rFonts w:asciiTheme="majorBidi" w:hAnsiTheme="majorBidi" w:cstheme="majorBidi"/>
                <w:b/>
                <w:bCs/>
              </w:rPr>
            </w:pPr>
          </w:p>
        </w:tc>
        <w:tc>
          <w:tcPr>
            <w:tcW w:w="477" w:type="dxa"/>
          </w:tcPr>
          <w:p w14:paraId="032CAC7B">
            <w:pPr>
              <w:pStyle w:val="17"/>
              <w:spacing w:before="0" w:beforeAutospacing="0" w:after="0" w:afterAutospacing="0"/>
              <w:jc w:val="both"/>
              <w:rPr>
                <w:rFonts w:asciiTheme="majorBidi" w:hAnsiTheme="majorBidi" w:cstheme="majorBidi"/>
                <w:b/>
                <w:bCs/>
              </w:rPr>
            </w:pPr>
          </w:p>
        </w:tc>
        <w:tc>
          <w:tcPr>
            <w:tcW w:w="523" w:type="dxa"/>
          </w:tcPr>
          <w:p w14:paraId="63E1A580">
            <w:pPr>
              <w:pStyle w:val="17"/>
              <w:spacing w:before="0" w:beforeAutospacing="0" w:after="0" w:afterAutospacing="0"/>
              <w:jc w:val="both"/>
              <w:rPr>
                <w:rFonts w:asciiTheme="majorBidi" w:hAnsiTheme="majorBidi" w:cstheme="majorBidi"/>
                <w:b/>
                <w:bCs/>
              </w:rPr>
            </w:pPr>
          </w:p>
        </w:tc>
      </w:tr>
      <w:tr w14:paraId="35F0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5849A05A">
            <w:pPr>
              <w:pStyle w:val="17"/>
              <w:spacing w:before="0" w:beforeAutospacing="0" w:after="0" w:afterAutospacing="0"/>
              <w:jc w:val="both"/>
              <w:rPr>
                <w:rFonts w:asciiTheme="majorBidi" w:hAnsiTheme="majorBidi" w:cstheme="majorBidi"/>
              </w:rPr>
            </w:pPr>
            <w:r>
              <w:rPr>
                <w:rFonts w:asciiTheme="majorBidi" w:hAnsiTheme="majorBidi" w:cstheme="majorBidi"/>
              </w:rPr>
              <w:t>14</w:t>
            </w:r>
          </w:p>
        </w:tc>
        <w:tc>
          <w:tcPr>
            <w:tcW w:w="6330" w:type="dxa"/>
          </w:tcPr>
          <w:p w14:paraId="1B998692">
            <w:pPr>
              <w:pStyle w:val="17"/>
              <w:spacing w:before="0" w:beforeAutospacing="0" w:after="0" w:afterAutospacing="0"/>
              <w:rPr>
                <w:rFonts w:asciiTheme="majorBidi" w:hAnsiTheme="majorBidi" w:cstheme="majorBidi"/>
                <w:b/>
                <w:bCs/>
              </w:rPr>
            </w:pPr>
            <w:r>
              <w:rPr>
                <w:rFonts w:asciiTheme="majorBidi" w:hAnsiTheme="majorBidi" w:cstheme="majorBidi"/>
              </w:rPr>
              <w:t>The perception that academic success directly translates to future career opportunities motivates candidates to consider academic dishonesty.</w:t>
            </w:r>
          </w:p>
        </w:tc>
        <w:tc>
          <w:tcPr>
            <w:tcW w:w="523" w:type="dxa"/>
          </w:tcPr>
          <w:p w14:paraId="6BCC5BC3">
            <w:pPr>
              <w:pStyle w:val="17"/>
              <w:spacing w:before="0" w:beforeAutospacing="0" w:after="0" w:afterAutospacing="0"/>
              <w:jc w:val="both"/>
              <w:rPr>
                <w:rFonts w:asciiTheme="majorBidi" w:hAnsiTheme="majorBidi" w:cstheme="majorBidi"/>
                <w:b/>
                <w:bCs/>
              </w:rPr>
            </w:pPr>
          </w:p>
        </w:tc>
        <w:tc>
          <w:tcPr>
            <w:tcW w:w="441" w:type="dxa"/>
          </w:tcPr>
          <w:p w14:paraId="19E9480B">
            <w:pPr>
              <w:pStyle w:val="17"/>
              <w:spacing w:before="0" w:beforeAutospacing="0" w:after="0" w:afterAutospacing="0"/>
              <w:jc w:val="both"/>
              <w:rPr>
                <w:rFonts w:asciiTheme="majorBidi" w:hAnsiTheme="majorBidi" w:cstheme="majorBidi"/>
                <w:b/>
                <w:bCs/>
              </w:rPr>
            </w:pPr>
          </w:p>
        </w:tc>
        <w:tc>
          <w:tcPr>
            <w:tcW w:w="441" w:type="dxa"/>
          </w:tcPr>
          <w:p w14:paraId="257D9FBF">
            <w:pPr>
              <w:pStyle w:val="17"/>
              <w:spacing w:before="0" w:beforeAutospacing="0" w:after="0" w:afterAutospacing="0"/>
              <w:jc w:val="both"/>
              <w:rPr>
                <w:rFonts w:asciiTheme="majorBidi" w:hAnsiTheme="majorBidi" w:cstheme="majorBidi"/>
                <w:b/>
                <w:bCs/>
              </w:rPr>
            </w:pPr>
          </w:p>
        </w:tc>
        <w:tc>
          <w:tcPr>
            <w:tcW w:w="477" w:type="dxa"/>
          </w:tcPr>
          <w:p w14:paraId="5F661C61">
            <w:pPr>
              <w:pStyle w:val="17"/>
              <w:spacing w:before="0" w:beforeAutospacing="0" w:after="0" w:afterAutospacing="0"/>
              <w:jc w:val="both"/>
              <w:rPr>
                <w:rFonts w:asciiTheme="majorBidi" w:hAnsiTheme="majorBidi" w:cstheme="majorBidi"/>
                <w:b/>
                <w:bCs/>
              </w:rPr>
            </w:pPr>
          </w:p>
        </w:tc>
        <w:tc>
          <w:tcPr>
            <w:tcW w:w="523" w:type="dxa"/>
          </w:tcPr>
          <w:p w14:paraId="6B5BA5B4">
            <w:pPr>
              <w:pStyle w:val="17"/>
              <w:spacing w:before="0" w:beforeAutospacing="0" w:after="0" w:afterAutospacing="0"/>
              <w:jc w:val="both"/>
              <w:rPr>
                <w:rFonts w:asciiTheme="majorBidi" w:hAnsiTheme="majorBidi" w:cstheme="majorBidi"/>
                <w:b/>
                <w:bCs/>
              </w:rPr>
            </w:pPr>
          </w:p>
        </w:tc>
      </w:tr>
      <w:tr w14:paraId="3DBAC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7456928E">
            <w:pPr>
              <w:pStyle w:val="17"/>
              <w:spacing w:before="0" w:beforeAutospacing="0" w:after="0" w:afterAutospacing="0"/>
              <w:jc w:val="both"/>
              <w:rPr>
                <w:rFonts w:asciiTheme="majorBidi" w:hAnsiTheme="majorBidi" w:cstheme="majorBidi"/>
              </w:rPr>
            </w:pPr>
          </w:p>
        </w:tc>
        <w:tc>
          <w:tcPr>
            <w:tcW w:w="6330" w:type="dxa"/>
          </w:tcPr>
          <w:p w14:paraId="3841443A">
            <w:pPr>
              <w:pStyle w:val="17"/>
              <w:rPr>
                <w:rFonts w:asciiTheme="majorBidi" w:hAnsiTheme="majorBidi" w:cstheme="majorBidi"/>
                <w:b/>
                <w:bCs/>
              </w:rPr>
            </w:pPr>
            <w:r>
              <w:rPr>
                <w:rFonts w:asciiTheme="majorBidi" w:hAnsiTheme="majorBidi" w:cstheme="majorBidi"/>
                <w:b/>
                <w:bCs/>
              </w:rPr>
              <w:t xml:space="preserve">Teaching Approaches on Academic integrity and examination malpractices </w:t>
            </w:r>
          </w:p>
        </w:tc>
        <w:tc>
          <w:tcPr>
            <w:tcW w:w="523" w:type="dxa"/>
          </w:tcPr>
          <w:p w14:paraId="3AE33B9D">
            <w:pPr>
              <w:pStyle w:val="17"/>
              <w:spacing w:before="0" w:beforeAutospacing="0" w:after="0" w:afterAutospacing="0"/>
              <w:jc w:val="both"/>
              <w:rPr>
                <w:rFonts w:asciiTheme="majorBidi" w:hAnsiTheme="majorBidi" w:cstheme="majorBidi"/>
                <w:b/>
                <w:bCs/>
              </w:rPr>
            </w:pPr>
          </w:p>
        </w:tc>
        <w:tc>
          <w:tcPr>
            <w:tcW w:w="441" w:type="dxa"/>
          </w:tcPr>
          <w:p w14:paraId="3A72C802">
            <w:pPr>
              <w:pStyle w:val="17"/>
              <w:spacing w:before="0" w:beforeAutospacing="0" w:after="0" w:afterAutospacing="0"/>
              <w:jc w:val="both"/>
              <w:rPr>
                <w:rFonts w:asciiTheme="majorBidi" w:hAnsiTheme="majorBidi" w:cstheme="majorBidi"/>
                <w:b/>
                <w:bCs/>
              </w:rPr>
            </w:pPr>
          </w:p>
        </w:tc>
        <w:tc>
          <w:tcPr>
            <w:tcW w:w="441" w:type="dxa"/>
          </w:tcPr>
          <w:p w14:paraId="606FC3A0">
            <w:pPr>
              <w:pStyle w:val="17"/>
              <w:spacing w:before="0" w:beforeAutospacing="0" w:after="0" w:afterAutospacing="0"/>
              <w:jc w:val="both"/>
              <w:rPr>
                <w:rFonts w:asciiTheme="majorBidi" w:hAnsiTheme="majorBidi" w:cstheme="majorBidi"/>
                <w:b/>
                <w:bCs/>
              </w:rPr>
            </w:pPr>
          </w:p>
        </w:tc>
        <w:tc>
          <w:tcPr>
            <w:tcW w:w="477" w:type="dxa"/>
          </w:tcPr>
          <w:p w14:paraId="3AB0B53B">
            <w:pPr>
              <w:pStyle w:val="17"/>
              <w:spacing w:before="0" w:beforeAutospacing="0" w:after="0" w:afterAutospacing="0"/>
              <w:jc w:val="both"/>
              <w:rPr>
                <w:rFonts w:asciiTheme="majorBidi" w:hAnsiTheme="majorBidi" w:cstheme="majorBidi"/>
                <w:b/>
                <w:bCs/>
              </w:rPr>
            </w:pPr>
          </w:p>
        </w:tc>
        <w:tc>
          <w:tcPr>
            <w:tcW w:w="523" w:type="dxa"/>
          </w:tcPr>
          <w:p w14:paraId="282565B0">
            <w:pPr>
              <w:pStyle w:val="17"/>
              <w:spacing w:before="0" w:beforeAutospacing="0" w:after="0" w:afterAutospacing="0"/>
              <w:jc w:val="both"/>
              <w:rPr>
                <w:rFonts w:asciiTheme="majorBidi" w:hAnsiTheme="majorBidi" w:cstheme="majorBidi"/>
                <w:b/>
                <w:bCs/>
              </w:rPr>
            </w:pPr>
          </w:p>
        </w:tc>
      </w:tr>
      <w:tr w14:paraId="1DCA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429D7634">
            <w:pPr>
              <w:pStyle w:val="17"/>
              <w:spacing w:before="0" w:beforeAutospacing="0" w:after="0" w:afterAutospacing="0"/>
              <w:jc w:val="both"/>
              <w:rPr>
                <w:rFonts w:asciiTheme="majorBidi" w:hAnsiTheme="majorBidi" w:cstheme="majorBidi"/>
              </w:rPr>
            </w:pPr>
            <w:r>
              <w:rPr>
                <w:rFonts w:asciiTheme="majorBidi" w:hAnsiTheme="majorBidi" w:cstheme="majorBidi"/>
              </w:rPr>
              <w:t>15</w:t>
            </w:r>
          </w:p>
        </w:tc>
        <w:tc>
          <w:tcPr>
            <w:tcW w:w="6330" w:type="dxa"/>
          </w:tcPr>
          <w:p w14:paraId="2DCC84E7">
            <w:pPr>
              <w:pStyle w:val="17"/>
              <w:spacing w:before="0" w:beforeAutospacing="0" w:after="0" w:afterAutospacing="0"/>
              <w:rPr>
                <w:rFonts w:asciiTheme="majorBidi" w:hAnsiTheme="majorBidi" w:cstheme="majorBidi"/>
                <w:b/>
                <w:bCs/>
              </w:rPr>
            </w:pPr>
            <w:r>
              <w:rPr>
                <w:rFonts w:asciiTheme="majorBidi" w:hAnsiTheme="majorBidi" w:cstheme="majorBidi"/>
              </w:rPr>
              <w:t>Examiners talk invited by the school influence exam cheating.</w:t>
            </w:r>
          </w:p>
        </w:tc>
        <w:tc>
          <w:tcPr>
            <w:tcW w:w="523" w:type="dxa"/>
          </w:tcPr>
          <w:p w14:paraId="1A136DDC">
            <w:pPr>
              <w:pStyle w:val="17"/>
              <w:spacing w:before="0" w:beforeAutospacing="0" w:after="0" w:afterAutospacing="0"/>
              <w:jc w:val="both"/>
              <w:rPr>
                <w:rFonts w:asciiTheme="majorBidi" w:hAnsiTheme="majorBidi" w:cstheme="majorBidi"/>
                <w:b/>
                <w:bCs/>
              </w:rPr>
            </w:pPr>
          </w:p>
        </w:tc>
        <w:tc>
          <w:tcPr>
            <w:tcW w:w="441" w:type="dxa"/>
          </w:tcPr>
          <w:p w14:paraId="766A3F86">
            <w:pPr>
              <w:pStyle w:val="17"/>
              <w:spacing w:before="0" w:beforeAutospacing="0" w:after="0" w:afterAutospacing="0"/>
              <w:jc w:val="both"/>
              <w:rPr>
                <w:rFonts w:asciiTheme="majorBidi" w:hAnsiTheme="majorBidi" w:cstheme="majorBidi"/>
                <w:b/>
                <w:bCs/>
              </w:rPr>
            </w:pPr>
          </w:p>
        </w:tc>
        <w:tc>
          <w:tcPr>
            <w:tcW w:w="441" w:type="dxa"/>
          </w:tcPr>
          <w:p w14:paraId="6513F721">
            <w:pPr>
              <w:pStyle w:val="17"/>
              <w:spacing w:before="0" w:beforeAutospacing="0" w:after="0" w:afterAutospacing="0"/>
              <w:jc w:val="both"/>
              <w:rPr>
                <w:rFonts w:asciiTheme="majorBidi" w:hAnsiTheme="majorBidi" w:cstheme="majorBidi"/>
                <w:b/>
                <w:bCs/>
              </w:rPr>
            </w:pPr>
          </w:p>
        </w:tc>
        <w:tc>
          <w:tcPr>
            <w:tcW w:w="477" w:type="dxa"/>
          </w:tcPr>
          <w:p w14:paraId="49FCAC24">
            <w:pPr>
              <w:pStyle w:val="17"/>
              <w:spacing w:before="0" w:beforeAutospacing="0" w:after="0" w:afterAutospacing="0"/>
              <w:jc w:val="both"/>
              <w:rPr>
                <w:rFonts w:asciiTheme="majorBidi" w:hAnsiTheme="majorBidi" w:cstheme="majorBidi"/>
                <w:b/>
                <w:bCs/>
              </w:rPr>
            </w:pPr>
          </w:p>
        </w:tc>
        <w:tc>
          <w:tcPr>
            <w:tcW w:w="523" w:type="dxa"/>
          </w:tcPr>
          <w:p w14:paraId="7D64C448">
            <w:pPr>
              <w:pStyle w:val="17"/>
              <w:spacing w:before="0" w:beforeAutospacing="0" w:after="0" w:afterAutospacing="0"/>
              <w:jc w:val="both"/>
              <w:rPr>
                <w:rFonts w:asciiTheme="majorBidi" w:hAnsiTheme="majorBidi" w:cstheme="majorBidi"/>
                <w:b/>
                <w:bCs/>
              </w:rPr>
            </w:pPr>
          </w:p>
        </w:tc>
      </w:tr>
      <w:tr w14:paraId="11BC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0CA182CC">
            <w:pPr>
              <w:pStyle w:val="17"/>
              <w:spacing w:before="0" w:beforeAutospacing="0" w:after="0" w:afterAutospacing="0"/>
              <w:jc w:val="both"/>
              <w:rPr>
                <w:rFonts w:asciiTheme="majorBidi" w:hAnsiTheme="majorBidi" w:cstheme="majorBidi"/>
              </w:rPr>
            </w:pPr>
            <w:r>
              <w:rPr>
                <w:rFonts w:asciiTheme="majorBidi" w:hAnsiTheme="majorBidi" w:cstheme="majorBidi"/>
              </w:rPr>
              <w:t>16</w:t>
            </w:r>
          </w:p>
        </w:tc>
        <w:tc>
          <w:tcPr>
            <w:tcW w:w="6330" w:type="dxa"/>
          </w:tcPr>
          <w:p w14:paraId="2B238368">
            <w:pPr>
              <w:pStyle w:val="17"/>
              <w:spacing w:before="0" w:beforeAutospacing="0" w:after="0" w:afterAutospacing="0"/>
              <w:rPr>
                <w:rFonts w:asciiTheme="majorBidi" w:hAnsiTheme="majorBidi" w:cstheme="majorBidi"/>
                <w:b/>
                <w:bCs/>
              </w:rPr>
            </w:pPr>
            <w:r>
              <w:rPr>
                <w:rFonts w:asciiTheme="majorBidi" w:hAnsiTheme="majorBidi" w:cstheme="majorBidi"/>
              </w:rPr>
              <w:t>Teaching students about the importance of ethical behavior and integrating values such as integrity and honesty into lessons can promote a culture of academic honesty.</w:t>
            </w:r>
          </w:p>
        </w:tc>
        <w:tc>
          <w:tcPr>
            <w:tcW w:w="523" w:type="dxa"/>
          </w:tcPr>
          <w:p w14:paraId="0C750892">
            <w:pPr>
              <w:pStyle w:val="17"/>
              <w:spacing w:before="0" w:beforeAutospacing="0" w:after="0" w:afterAutospacing="0"/>
              <w:jc w:val="both"/>
              <w:rPr>
                <w:rFonts w:asciiTheme="majorBidi" w:hAnsiTheme="majorBidi" w:cstheme="majorBidi"/>
                <w:b/>
                <w:bCs/>
              </w:rPr>
            </w:pPr>
          </w:p>
        </w:tc>
        <w:tc>
          <w:tcPr>
            <w:tcW w:w="441" w:type="dxa"/>
          </w:tcPr>
          <w:p w14:paraId="00D69013">
            <w:pPr>
              <w:pStyle w:val="17"/>
              <w:spacing w:before="0" w:beforeAutospacing="0" w:after="0" w:afterAutospacing="0"/>
              <w:jc w:val="both"/>
              <w:rPr>
                <w:rFonts w:asciiTheme="majorBidi" w:hAnsiTheme="majorBidi" w:cstheme="majorBidi"/>
                <w:b/>
                <w:bCs/>
              </w:rPr>
            </w:pPr>
          </w:p>
        </w:tc>
        <w:tc>
          <w:tcPr>
            <w:tcW w:w="441" w:type="dxa"/>
          </w:tcPr>
          <w:p w14:paraId="4261E3DF">
            <w:pPr>
              <w:pStyle w:val="17"/>
              <w:spacing w:before="0" w:beforeAutospacing="0" w:after="0" w:afterAutospacing="0"/>
              <w:jc w:val="both"/>
              <w:rPr>
                <w:rFonts w:asciiTheme="majorBidi" w:hAnsiTheme="majorBidi" w:cstheme="majorBidi"/>
                <w:b/>
                <w:bCs/>
              </w:rPr>
            </w:pPr>
          </w:p>
        </w:tc>
        <w:tc>
          <w:tcPr>
            <w:tcW w:w="477" w:type="dxa"/>
          </w:tcPr>
          <w:p w14:paraId="406FB9FB">
            <w:pPr>
              <w:pStyle w:val="17"/>
              <w:spacing w:before="0" w:beforeAutospacing="0" w:after="0" w:afterAutospacing="0"/>
              <w:jc w:val="both"/>
              <w:rPr>
                <w:rFonts w:asciiTheme="majorBidi" w:hAnsiTheme="majorBidi" w:cstheme="majorBidi"/>
                <w:b/>
                <w:bCs/>
              </w:rPr>
            </w:pPr>
          </w:p>
        </w:tc>
        <w:tc>
          <w:tcPr>
            <w:tcW w:w="523" w:type="dxa"/>
          </w:tcPr>
          <w:p w14:paraId="193E9A91">
            <w:pPr>
              <w:pStyle w:val="17"/>
              <w:spacing w:before="0" w:beforeAutospacing="0" w:after="0" w:afterAutospacing="0"/>
              <w:jc w:val="both"/>
              <w:rPr>
                <w:rFonts w:asciiTheme="majorBidi" w:hAnsiTheme="majorBidi" w:cstheme="majorBidi"/>
                <w:b/>
                <w:bCs/>
              </w:rPr>
            </w:pPr>
          </w:p>
        </w:tc>
      </w:tr>
      <w:tr w14:paraId="56DD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056DAB10">
            <w:pPr>
              <w:pStyle w:val="17"/>
              <w:spacing w:before="0" w:beforeAutospacing="0" w:after="0" w:afterAutospacing="0"/>
              <w:jc w:val="both"/>
              <w:rPr>
                <w:rFonts w:asciiTheme="majorBidi" w:hAnsiTheme="majorBidi" w:cstheme="majorBidi"/>
              </w:rPr>
            </w:pPr>
            <w:r>
              <w:rPr>
                <w:rFonts w:asciiTheme="majorBidi" w:hAnsiTheme="majorBidi" w:cstheme="majorBidi"/>
              </w:rPr>
              <w:t>17</w:t>
            </w:r>
          </w:p>
        </w:tc>
        <w:tc>
          <w:tcPr>
            <w:tcW w:w="6330" w:type="dxa"/>
          </w:tcPr>
          <w:p w14:paraId="5B484879">
            <w:pPr>
              <w:pStyle w:val="17"/>
              <w:spacing w:before="0" w:beforeAutospacing="0" w:after="0" w:afterAutospacing="0"/>
              <w:rPr>
                <w:rFonts w:asciiTheme="majorBidi" w:hAnsiTheme="majorBidi" w:cstheme="majorBidi"/>
              </w:rPr>
            </w:pPr>
            <w:r>
              <w:rPr>
                <w:rFonts w:asciiTheme="majorBidi" w:hAnsiTheme="majorBidi" w:cstheme="majorBidi"/>
              </w:rPr>
              <w:t>Positive teacher-student relationships, characterized by trust and support, reduce the likelihood of cheating.</w:t>
            </w:r>
          </w:p>
        </w:tc>
        <w:tc>
          <w:tcPr>
            <w:tcW w:w="523" w:type="dxa"/>
          </w:tcPr>
          <w:p w14:paraId="7F11249E">
            <w:pPr>
              <w:pStyle w:val="17"/>
              <w:spacing w:before="0" w:beforeAutospacing="0" w:after="0" w:afterAutospacing="0"/>
              <w:jc w:val="both"/>
              <w:rPr>
                <w:rFonts w:asciiTheme="majorBidi" w:hAnsiTheme="majorBidi" w:cstheme="majorBidi"/>
                <w:b/>
                <w:bCs/>
              </w:rPr>
            </w:pPr>
          </w:p>
        </w:tc>
        <w:tc>
          <w:tcPr>
            <w:tcW w:w="441" w:type="dxa"/>
          </w:tcPr>
          <w:p w14:paraId="4FB6B95C">
            <w:pPr>
              <w:pStyle w:val="17"/>
              <w:spacing w:before="0" w:beforeAutospacing="0" w:after="0" w:afterAutospacing="0"/>
              <w:jc w:val="both"/>
              <w:rPr>
                <w:rFonts w:asciiTheme="majorBidi" w:hAnsiTheme="majorBidi" w:cstheme="majorBidi"/>
                <w:b/>
                <w:bCs/>
              </w:rPr>
            </w:pPr>
          </w:p>
        </w:tc>
        <w:tc>
          <w:tcPr>
            <w:tcW w:w="441" w:type="dxa"/>
          </w:tcPr>
          <w:p w14:paraId="2FF1D0EB">
            <w:pPr>
              <w:pStyle w:val="17"/>
              <w:spacing w:before="0" w:beforeAutospacing="0" w:after="0" w:afterAutospacing="0"/>
              <w:jc w:val="both"/>
              <w:rPr>
                <w:rFonts w:asciiTheme="majorBidi" w:hAnsiTheme="majorBidi" w:cstheme="majorBidi"/>
                <w:b/>
                <w:bCs/>
              </w:rPr>
            </w:pPr>
          </w:p>
        </w:tc>
        <w:tc>
          <w:tcPr>
            <w:tcW w:w="477" w:type="dxa"/>
          </w:tcPr>
          <w:p w14:paraId="6AE8A0AF">
            <w:pPr>
              <w:pStyle w:val="17"/>
              <w:spacing w:before="0" w:beforeAutospacing="0" w:after="0" w:afterAutospacing="0"/>
              <w:jc w:val="both"/>
              <w:rPr>
                <w:rFonts w:asciiTheme="majorBidi" w:hAnsiTheme="majorBidi" w:cstheme="majorBidi"/>
                <w:b/>
                <w:bCs/>
              </w:rPr>
            </w:pPr>
          </w:p>
        </w:tc>
        <w:tc>
          <w:tcPr>
            <w:tcW w:w="523" w:type="dxa"/>
          </w:tcPr>
          <w:p w14:paraId="79694731">
            <w:pPr>
              <w:pStyle w:val="17"/>
              <w:spacing w:before="0" w:beforeAutospacing="0" w:after="0" w:afterAutospacing="0"/>
              <w:jc w:val="both"/>
              <w:rPr>
                <w:rFonts w:asciiTheme="majorBidi" w:hAnsiTheme="majorBidi" w:cstheme="majorBidi"/>
                <w:b/>
                <w:bCs/>
              </w:rPr>
            </w:pPr>
          </w:p>
        </w:tc>
      </w:tr>
      <w:tr w14:paraId="418D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7B19402E">
            <w:pPr>
              <w:pStyle w:val="17"/>
              <w:spacing w:before="0" w:beforeAutospacing="0" w:after="0" w:afterAutospacing="0"/>
              <w:jc w:val="both"/>
              <w:rPr>
                <w:rFonts w:asciiTheme="majorBidi" w:hAnsiTheme="majorBidi" w:cstheme="majorBidi"/>
              </w:rPr>
            </w:pPr>
            <w:r>
              <w:rPr>
                <w:rFonts w:asciiTheme="majorBidi" w:hAnsiTheme="majorBidi" w:cstheme="majorBidi"/>
              </w:rPr>
              <w:t>18</w:t>
            </w:r>
          </w:p>
        </w:tc>
        <w:tc>
          <w:tcPr>
            <w:tcW w:w="6330" w:type="dxa"/>
          </w:tcPr>
          <w:p w14:paraId="12C00BF7">
            <w:pPr>
              <w:pStyle w:val="17"/>
              <w:spacing w:before="0" w:beforeAutospacing="0" w:after="0" w:afterAutospacing="0"/>
              <w:rPr>
                <w:rFonts w:asciiTheme="majorBidi" w:hAnsiTheme="majorBidi" w:cstheme="majorBidi"/>
                <w:b/>
                <w:bCs/>
              </w:rPr>
            </w:pPr>
            <w:r>
              <w:rPr>
                <w:rFonts w:asciiTheme="majorBidi" w:hAnsiTheme="majorBidi" w:cstheme="majorBidi"/>
              </w:rPr>
              <w:t xml:space="preserve">Teaching approaches that provide constructive feedback and opportunities for students to redo assignments and assessments contribute to examination integrity. </w:t>
            </w:r>
          </w:p>
        </w:tc>
        <w:tc>
          <w:tcPr>
            <w:tcW w:w="523" w:type="dxa"/>
          </w:tcPr>
          <w:p w14:paraId="6C97C1E5">
            <w:pPr>
              <w:pStyle w:val="17"/>
              <w:spacing w:before="0" w:beforeAutospacing="0" w:after="0" w:afterAutospacing="0"/>
              <w:jc w:val="both"/>
              <w:rPr>
                <w:rFonts w:asciiTheme="majorBidi" w:hAnsiTheme="majorBidi" w:cstheme="majorBidi"/>
                <w:b/>
                <w:bCs/>
              </w:rPr>
            </w:pPr>
          </w:p>
        </w:tc>
        <w:tc>
          <w:tcPr>
            <w:tcW w:w="441" w:type="dxa"/>
          </w:tcPr>
          <w:p w14:paraId="14F64CC1">
            <w:pPr>
              <w:pStyle w:val="17"/>
              <w:spacing w:before="0" w:beforeAutospacing="0" w:after="0" w:afterAutospacing="0"/>
              <w:jc w:val="both"/>
              <w:rPr>
                <w:rFonts w:asciiTheme="majorBidi" w:hAnsiTheme="majorBidi" w:cstheme="majorBidi"/>
                <w:b/>
                <w:bCs/>
              </w:rPr>
            </w:pPr>
          </w:p>
        </w:tc>
        <w:tc>
          <w:tcPr>
            <w:tcW w:w="441" w:type="dxa"/>
          </w:tcPr>
          <w:p w14:paraId="47EB4495">
            <w:pPr>
              <w:pStyle w:val="17"/>
              <w:spacing w:before="0" w:beforeAutospacing="0" w:after="0" w:afterAutospacing="0"/>
              <w:jc w:val="both"/>
              <w:rPr>
                <w:rFonts w:asciiTheme="majorBidi" w:hAnsiTheme="majorBidi" w:cstheme="majorBidi"/>
                <w:b/>
                <w:bCs/>
              </w:rPr>
            </w:pPr>
          </w:p>
        </w:tc>
        <w:tc>
          <w:tcPr>
            <w:tcW w:w="477" w:type="dxa"/>
          </w:tcPr>
          <w:p w14:paraId="27B2D203">
            <w:pPr>
              <w:pStyle w:val="17"/>
              <w:spacing w:before="0" w:beforeAutospacing="0" w:after="0" w:afterAutospacing="0"/>
              <w:jc w:val="both"/>
              <w:rPr>
                <w:rFonts w:asciiTheme="majorBidi" w:hAnsiTheme="majorBidi" w:cstheme="majorBidi"/>
                <w:b/>
                <w:bCs/>
              </w:rPr>
            </w:pPr>
          </w:p>
        </w:tc>
        <w:tc>
          <w:tcPr>
            <w:tcW w:w="523" w:type="dxa"/>
          </w:tcPr>
          <w:p w14:paraId="122F7451">
            <w:pPr>
              <w:pStyle w:val="17"/>
              <w:spacing w:before="0" w:beforeAutospacing="0" w:after="0" w:afterAutospacing="0"/>
              <w:jc w:val="both"/>
              <w:rPr>
                <w:rFonts w:asciiTheme="majorBidi" w:hAnsiTheme="majorBidi" w:cstheme="majorBidi"/>
                <w:b/>
                <w:bCs/>
              </w:rPr>
            </w:pPr>
          </w:p>
        </w:tc>
      </w:tr>
      <w:tr w14:paraId="6032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E1EAA40">
            <w:pPr>
              <w:pStyle w:val="17"/>
              <w:spacing w:before="0" w:beforeAutospacing="0" w:after="0" w:afterAutospacing="0"/>
              <w:jc w:val="both"/>
              <w:rPr>
                <w:rFonts w:asciiTheme="majorBidi" w:hAnsiTheme="majorBidi" w:cstheme="majorBidi"/>
              </w:rPr>
            </w:pPr>
            <w:r>
              <w:rPr>
                <w:rFonts w:asciiTheme="majorBidi" w:hAnsiTheme="majorBidi" w:cstheme="majorBidi"/>
              </w:rPr>
              <w:t>19</w:t>
            </w:r>
          </w:p>
        </w:tc>
        <w:tc>
          <w:tcPr>
            <w:tcW w:w="6330" w:type="dxa"/>
          </w:tcPr>
          <w:p w14:paraId="79766091">
            <w:pPr>
              <w:pStyle w:val="17"/>
              <w:spacing w:before="0" w:beforeAutospacing="0" w:after="0" w:afterAutospacing="0"/>
              <w:rPr>
                <w:rFonts w:asciiTheme="majorBidi" w:hAnsiTheme="majorBidi" w:cstheme="majorBidi"/>
                <w:b/>
                <w:bCs/>
              </w:rPr>
            </w:pPr>
            <w:r>
              <w:rPr>
                <w:rFonts w:asciiTheme="majorBidi" w:hAnsiTheme="majorBidi" w:cstheme="majorBidi"/>
              </w:rPr>
              <w:t>Teachers’ decisions regarding syllabus coverage are affected by time constraints, poor students’ attendance and curriculum requirements.</w:t>
            </w:r>
          </w:p>
        </w:tc>
        <w:tc>
          <w:tcPr>
            <w:tcW w:w="523" w:type="dxa"/>
          </w:tcPr>
          <w:p w14:paraId="4D639CAD">
            <w:pPr>
              <w:pStyle w:val="17"/>
              <w:spacing w:before="0" w:beforeAutospacing="0" w:after="0" w:afterAutospacing="0"/>
              <w:jc w:val="both"/>
              <w:rPr>
                <w:rFonts w:asciiTheme="majorBidi" w:hAnsiTheme="majorBidi" w:cstheme="majorBidi"/>
                <w:b/>
                <w:bCs/>
              </w:rPr>
            </w:pPr>
          </w:p>
        </w:tc>
        <w:tc>
          <w:tcPr>
            <w:tcW w:w="441" w:type="dxa"/>
          </w:tcPr>
          <w:p w14:paraId="017E7863">
            <w:pPr>
              <w:pStyle w:val="17"/>
              <w:spacing w:before="0" w:beforeAutospacing="0" w:after="0" w:afterAutospacing="0"/>
              <w:jc w:val="both"/>
              <w:rPr>
                <w:rFonts w:asciiTheme="majorBidi" w:hAnsiTheme="majorBidi" w:cstheme="majorBidi"/>
                <w:b/>
                <w:bCs/>
              </w:rPr>
            </w:pPr>
          </w:p>
        </w:tc>
        <w:tc>
          <w:tcPr>
            <w:tcW w:w="441" w:type="dxa"/>
          </w:tcPr>
          <w:p w14:paraId="6BDD11C7">
            <w:pPr>
              <w:pStyle w:val="17"/>
              <w:spacing w:before="0" w:beforeAutospacing="0" w:after="0" w:afterAutospacing="0"/>
              <w:jc w:val="both"/>
              <w:rPr>
                <w:rFonts w:asciiTheme="majorBidi" w:hAnsiTheme="majorBidi" w:cstheme="majorBidi"/>
                <w:b/>
                <w:bCs/>
              </w:rPr>
            </w:pPr>
          </w:p>
        </w:tc>
        <w:tc>
          <w:tcPr>
            <w:tcW w:w="477" w:type="dxa"/>
          </w:tcPr>
          <w:p w14:paraId="1AFFF8C1">
            <w:pPr>
              <w:pStyle w:val="17"/>
              <w:spacing w:before="0" w:beforeAutospacing="0" w:after="0" w:afterAutospacing="0"/>
              <w:jc w:val="both"/>
              <w:rPr>
                <w:rFonts w:asciiTheme="majorBidi" w:hAnsiTheme="majorBidi" w:cstheme="majorBidi"/>
                <w:b/>
                <w:bCs/>
              </w:rPr>
            </w:pPr>
          </w:p>
        </w:tc>
        <w:tc>
          <w:tcPr>
            <w:tcW w:w="523" w:type="dxa"/>
          </w:tcPr>
          <w:p w14:paraId="68F6D40F">
            <w:pPr>
              <w:pStyle w:val="17"/>
              <w:spacing w:before="0" w:beforeAutospacing="0" w:after="0" w:afterAutospacing="0"/>
              <w:jc w:val="both"/>
              <w:rPr>
                <w:rFonts w:asciiTheme="majorBidi" w:hAnsiTheme="majorBidi" w:cstheme="majorBidi"/>
                <w:b/>
                <w:bCs/>
              </w:rPr>
            </w:pPr>
          </w:p>
        </w:tc>
      </w:tr>
      <w:tr w14:paraId="4C7A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2435BE3">
            <w:pPr>
              <w:pStyle w:val="17"/>
              <w:spacing w:before="0" w:beforeAutospacing="0" w:after="0" w:afterAutospacing="0"/>
              <w:jc w:val="both"/>
              <w:rPr>
                <w:rFonts w:asciiTheme="majorBidi" w:hAnsiTheme="majorBidi" w:cstheme="majorBidi"/>
              </w:rPr>
            </w:pPr>
          </w:p>
        </w:tc>
        <w:tc>
          <w:tcPr>
            <w:tcW w:w="6330" w:type="dxa"/>
          </w:tcPr>
          <w:p w14:paraId="6D28D699">
            <w:pPr>
              <w:pStyle w:val="17"/>
              <w:rPr>
                <w:rFonts w:asciiTheme="majorBidi" w:hAnsiTheme="majorBidi" w:cstheme="majorBidi"/>
                <w:b/>
                <w:bCs/>
              </w:rPr>
            </w:pPr>
            <w:r>
              <w:rPr>
                <w:rFonts w:asciiTheme="majorBidi" w:hAnsiTheme="majorBidi" w:cstheme="majorBidi"/>
                <w:b/>
                <w:bCs/>
              </w:rPr>
              <w:t xml:space="preserve">Syllabus coverage relates to academic integrity and examination malpractices </w:t>
            </w:r>
          </w:p>
        </w:tc>
        <w:tc>
          <w:tcPr>
            <w:tcW w:w="523" w:type="dxa"/>
          </w:tcPr>
          <w:p w14:paraId="52BDA232">
            <w:pPr>
              <w:pStyle w:val="17"/>
              <w:spacing w:before="0" w:beforeAutospacing="0" w:after="0" w:afterAutospacing="0"/>
              <w:jc w:val="both"/>
              <w:rPr>
                <w:rFonts w:asciiTheme="majorBidi" w:hAnsiTheme="majorBidi" w:cstheme="majorBidi"/>
                <w:b/>
                <w:bCs/>
              </w:rPr>
            </w:pPr>
          </w:p>
        </w:tc>
        <w:tc>
          <w:tcPr>
            <w:tcW w:w="441" w:type="dxa"/>
          </w:tcPr>
          <w:p w14:paraId="5004373F">
            <w:pPr>
              <w:pStyle w:val="17"/>
              <w:spacing w:before="0" w:beforeAutospacing="0" w:after="0" w:afterAutospacing="0"/>
              <w:jc w:val="both"/>
              <w:rPr>
                <w:rFonts w:asciiTheme="majorBidi" w:hAnsiTheme="majorBidi" w:cstheme="majorBidi"/>
                <w:b/>
                <w:bCs/>
              </w:rPr>
            </w:pPr>
          </w:p>
        </w:tc>
        <w:tc>
          <w:tcPr>
            <w:tcW w:w="441" w:type="dxa"/>
          </w:tcPr>
          <w:p w14:paraId="4CC858FB">
            <w:pPr>
              <w:pStyle w:val="17"/>
              <w:spacing w:before="0" w:beforeAutospacing="0" w:after="0" w:afterAutospacing="0"/>
              <w:jc w:val="both"/>
              <w:rPr>
                <w:rFonts w:asciiTheme="majorBidi" w:hAnsiTheme="majorBidi" w:cstheme="majorBidi"/>
                <w:b/>
                <w:bCs/>
              </w:rPr>
            </w:pPr>
          </w:p>
        </w:tc>
        <w:tc>
          <w:tcPr>
            <w:tcW w:w="477" w:type="dxa"/>
          </w:tcPr>
          <w:p w14:paraId="3D0A8102">
            <w:pPr>
              <w:pStyle w:val="17"/>
              <w:spacing w:before="0" w:beforeAutospacing="0" w:after="0" w:afterAutospacing="0"/>
              <w:jc w:val="both"/>
              <w:rPr>
                <w:rFonts w:asciiTheme="majorBidi" w:hAnsiTheme="majorBidi" w:cstheme="majorBidi"/>
                <w:b/>
                <w:bCs/>
              </w:rPr>
            </w:pPr>
          </w:p>
        </w:tc>
        <w:tc>
          <w:tcPr>
            <w:tcW w:w="523" w:type="dxa"/>
          </w:tcPr>
          <w:p w14:paraId="5703EBD0">
            <w:pPr>
              <w:pStyle w:val="17"/>
              <w:spacing w:before="0" w:beforeAutospacing="0" w:after="0" w:afterAutospacing="0"/>
              <w:jc w:val="both"/>
              <w:rPr>
                <w:rFonts w:asciiTheme="majorBidi" w:hAnsiTheme="majorBidi" w:cstheme="majorBidi"/>
                <w:b/>
                <w:bCs/>
              </w:rPr>
            </w:pPr>
          </w:p>
        </w:tc>
      </w:tr>
      <w:tr w14:paraId="4303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F9B4762">
            <w:pPr>
              <w:pStyle w:val="17"/>
              <w:spacing w:before="0" w:beforeAutospacing="0" w:after="0" w:afterAutospacing="0"/>
              <w:jc w:val="both"/>
              <w:rPr>
                <w:rFonts w:asciiTheme="majorBidi" w:hAnsiTheme="majorBidi" w:cstheme="majorBidi"/>
              </w:rPr>
            </w:pPr>
            <w:r>
              <w:rPr>
                <w:rFonts w:asciiTheme="majorBidi" w:hAnsiTheme="majorBidi" w:cstheme="majorBidi"/>
              </w:rPr>
              <w:t>20</w:t>
            </w:r>
          </w:p>
        </w:tc>
        <w:tc>
          <w:tcPr>
            <w:tcW w:w="6330" w:type="dxa"/>
          </w:tcPr>
          <w:p w14:paraId="530E4528">
            <w:pPr>
              <w:pStyle w:val="17"/>
              <w:spacing w:before="0" w:beforeAutospacing="0" w:after="0" w:afterAutospacing="0"/>
              <w:rPr>
                <w:rFonts w:asciiTheme="majorBidi" w:hAnsiTheme="majorBidi" w:cstheme="majorBidi"/>
              </w:rPr>
            </w:pPr>
            <w:r>
              <w:rPr>
                <w:rFonts w:asciiTheme="majorBidi" w:hAnsiTheme="majorBidi" w:cstheme="majorBidi"/>
              </w:rPr>
              <w:t>Curriculum overload, where schools attempt to cover an excessive amount of content within a limited timeframe, can lead to stress and anxiety among students.</w:t>
            </w:r>
          </w:p>
        </w:tc>
        <w:tc>
          <w:tcPr>
            <w:tcW w:w="523" w:type="dxa"/>
          </w:tcPr>
          <w:p w14:paraId="657FDF1A">
            <w:pPr>
              <w:pStyle w:val="17"/>
              <w:spacing w:before="0" w:beforeAutospacing="0" w:after="0" w:afterAutospacing="0"/>
              <w:jc w:val="both"/>
              <w:rPr>
                <w:rFonts w:asciiTheme="majorBidi" w:hAnsiTheme="majorBidi" w:cstheme="majorBidi"/>
                <w:b/>
                <w:bCs/>
              </w:rPr>
            </w:pPr>
          </w:p>
        </w:tc>
        <w:tc>
          <w:tcPr>
            <w:tcW w:w="441" w:type="dxa"/>
          </w:tcPr>
          <w:p w14:paraId="759EE4E6">
            <w:pPr>
              <w:pStyle w:val="17"/>
              <w:spacing w:before="0" w:beforeAutospacing="0" w:after="0" w:afterAutospacing="0"/>
              <w:jc w:val="both"/>
              <w:rPr>
                <w:rFonts w:asciiTheme="majorBidi" w:hAnsiTheme="majorBidi" w:cstheme="majorBidi"/>
                <w:b/>
                <w:bCs/>
              </w:rPr>
            </w:pPr>
          </w:p>
        </w:tc>
        <w:tc>
          <w:tcPr>
            <w:tcW w:w="441" w:type="dxa"/>
          </w:tcPr>
          <w:p w14:paraId="6BC04071">
            <w:pPr>
              <w:pStyle w:val="17"/>
              <w:spacing w:before="0" w:beforeAutospacing="0" w:after="0" w:afterAutospacing="0"/>
              <w:jc w:val="both"/>
              <w:rPr>
                <w:rFonts w:asciiTheme="majorBidi" w:hAnsiTheme="majorBidi" w:cstheme="majorBidi"/>
                <w:b/>
                <w:bCs/>
              </w:rPr>
            </w:pPr>
          </w:p>
        </w:tc>
        <w:tc>
          <w:tcPr>
            <w:tcW w:w="477" w:type="dxa"/>
          </w:tcPr>
          <w:p w14:paraId="497516AD">
            <w:pPr>
              <w:pStyle w:val="17"/>
              <w:spacing w:before="0" w:beforeAutospacing="0" w:after="0" w:afterAutospacing="0"/>
              <w:jc w:val="both"/>
              <w:rPr>
                <w:rFonts w:asciiTheme="majorBidi" w:hAnsiTheme="majorBidi" w:cstheme="majorBidi"/>
                <w:b/>
                <w:bCs/>
              </w:rPr>
            </w:pPr>
          </w:p>
        </w:tc>
        <w:tc>
          <w:tcPr>
            <w:tcW w:w="523" w:type="dxa"/>
          </w:tcPr>
          <w:p w14:paraId="2BF3CCC8">
            <w:pPr>
              <w:pStyle w:val="17"/>
              <w:spacing w:before="0" w:beforeAutospacing="0" w:after="0" w:afterAutospacing="0"/>
              <w:jc w:val="both"/>
              <w:rPr>
                <w:rFonts w:asciiTheme="majorBidi" w:hAnsiTheme="majorBidi" w:cstheme="majorBidi"/>
                <w:b/>
                <w:bCs/>
              </w:rPr>
            </w:pPr>
          </w:p>
        </w:tc>
      </w:tr>
      <w:tr w14:paraId="177E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5749742">
            <w:pPr>
              <w:pStyle w:val="17"/>
              <w:spacing w:before="0" w:beforeAutospacing="0" w:after="0" w:afterAutospacing="0"/>
              <w:jc w:val="both"/>
              <w:rPr>
                <w:rFonts w:asciiTheme="majorBidi" w:hAnsiTheme="majorBidi" w:cstheme="majorBidi"/>
              </w:rPr>
            </w:pPr>
            <w:r>
              <w:rPr>
                <w:rFonts w:asciiTheme="majorBidi" w:hAnsiTheme="majorBidi" w:cstheme="majorBidi"/>
              </w:rPr>
              <w:t>21</w:t>
            </w:r>
          </w:p>
        </w:tc>
        <w:tc>
          <w:tcPr>
            <w:tcW w:w="6330" w:type="dxa"/>
          </w:tcPr>
          <w:p w14:paraId="64DB68EF">
            <w:pPr>
              <w:pStyle w:val="17"/>
              <w:spacing w:before="0" w:beforeAutospacing="0" w:after="0" w:afterAutospacing="0"/>
              <w:rPr>
                <w:rFonts w:asciiTheme="majorBidi" w:hAnsiTheme="majorBidi" w:cstheme="majorBidi"/>
                <w:b/>
                <w:bCs/>
              </w:rPr>
            </w:pPr>
            <w:r>
              <w:rPr>
                <w:rFonts w:asciiTheme="majorBidi" w:hAnsiTheme="majorBidi" w:cstheme="majorBidi"/>
              </w:rPr>
              <w:t>The pressure to complete the syllabus can create an environment where students may be more likely to engage in unethical practices during examinations.</w:t>
            </w:r>
          </w:p>
        </w:tc>
        <w:tc>
          <w:tcPr>
            <w:tcW w:w="523" w:type="dxa"/>
          </w:tcPr>
          <w:p w14:paraId="50558E3C">
            <w:pPr>
              <w:pStyle w:val="17"/>
              <w:spacing w:before="0" w:beforeAutospacing="0" w:after="0" w:afterAutospacing="0"/>
              <w:jc w:val="both"/>
              <w:rPr>
                <w:rFonts w:asciiTheme="majorBidi" w:hAnsiTheme="majorBidi" w:cstheme="majorBidi"/>
                <w:b/>
                <w:bCs/>
              </w:rPr>
            </w:pPr>
          </w:p>
        </w:tc>
        <w:tc>
          <w:tcPr>
            <w:tcW w:w="441" w:type="dxa"/>
          </w:tcPr>
          <w:p w14:paraId="7D3E85D6">
            <w:pPr>
              <w:pStyle w:val="17"/>
              <w:spacing w:before="0" w:beforeAutospacing="0" w:after="0" w:afterAutospacing="0"/>
              <w:jc w:val="both"/>
              <w:rPr>
                <w:rFonts w:asciiTheme="majorBidi" w:hAnsiTheme="majorBidi" w:cstheme="majorBidi"/>
                <w:b/>
                <w:bCs/>
              </w:rPr>
            </w:pPr>
          </w:p>
        </w:tc>
        <w:tc>
          <w:tcPr>
            <w:tcW w:w="441" w:type="dxa"/>
          </w:tcPr>
          <w:p w14:paraId="62A14E1D">
            <w:pPr>
              <w:pStyle w:val="17"/>
              <w:spacing w:before="0" w:beforeAutospacing="0" w:after="0" w:afterAutospacing="0"/>
              <w:jc w:val="both"/>
              <w:rPr>
                <w:rFonts w:asciiTheme="majorBidi" w:hAnsiTheme="majorBidi" w:cstheme="majorBidi"/>
                <w:b/>
                <w:bCs/>
              </w:rPr>
            </w:pPr>
          </w:p>
        </w:tc>
        <w:tc>
          <w:tcPr>
            <w:tcW w:w="477" w:type="dxa"/>
          </w:tcPr>
          <w:p w14:paraId="613E939D">
            <w:pPr>
              <w:pStyle w:val="17"/>
              <w:spacing w:before="0" w:beforeAutospacing="0" w:after="0" w:afterAutospacing="0"/>
              <w:jc w:val="both"/>
              <w:rPr>
                <w:rFonts w:asciiTheme="majorBidi" w:hAnsiTheme="majorBidi" w:cstheme="majorBidi"/>
                <w:b/>
                <w:bCs/>
              </w:rPr>
            </w:pPr>
          </w:p>
        </w:tc>
        <w:tc>
          <w:tcPr>
            <w:tcW w:w="523" w:type="dxa"/>
          </w:tcPr>
          <w:p w14:paraId="38B1C926">
            <w:pPr>
              <w:pStyle w:val="17"/>
              <w:spacing w:before="0" w:beforeAutospacing="0" w:after="0" w:afterAutospacing="0"/>
              <w:jc w:val="both"/>
              <w:rPr>
                <w:rFonts w:asciiTheme="majorBidi" w:hAnsiTheme="majorBidi" w:cstheme="majorBidi"/>
                <w:b/>
                <w:bCs/>
              </w:rPr>
            </w:pPr>
          </w:p>
        </w:tc>
      </w:tr>
      <w:tr w14:paraId="627F2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CC7E3E3">
            <w:pPr>
              <w:pStyle w:val="17"/>
              <w:spacing w:before="0" w:beforeAutospacing="0" w:after="0" w:afterAutospacing="0"/>
              <w:jc w:val="both"/>
              <w:rPr>
                <w:rFonts w:asciiTheme="majorBidi" w:hAnsiTheme="majorBidi" w:cstheme="majorBidi"/>
              </w:rPr>
            </w:pPr>
            <w:r>
              <w:rPr>
                <w:rFonts w:asciiTheme="majorBidi" w:hAnsiTheme="majorBidi" w:cstheme="majorBidi"/>
              </w:rPr>
              <w:t>22</w:t>
            </w:r>
          </w:p>
        </w:tc>
        <w:tc>
          <w:tcPr>
            <w:tcW w:w="6330" w:type="dxa"/>
          </w:tcPr>
          <w:p w14:paraId="4B7E766C">
            <w:pPr>
              <w:pStyle w:val="17"/>
              <w:spacing w:before="0" w:beforeAutospacing="0" w:after="0" w:afterAutospacing="0"/>
              <w:rPr>
                <w:rFonts w:asciiTheme="majorBidi" w:hAnsiTheme="majorBidi" w:cstheme="majorBidi"/>
              </w:rPr>
            </w:pPr>
            <w:r>
              <w:rPr>
                <w:rFonts w:asciiTheme="majorBidi" w:hAnsiTheme="majorBidi" w:cstheme="majorBidi"/>
              </w:rPr>
              <w:t xml:space="preserve">Time constraints can result in rushed teaching and learning processes. </w:t>
            </w:r>
          </w:p>
        </w:tc>
        <w:tc>
          <w:tcPr>
            <w:tcW w:w="523" w:type="dxa"/>
          </w:tcPr>
          <w:p w14:paraId="4D91E9EC">
            <w:pPr>
              <w:pStyle w:val="17"/>
              <w:spacing w:before="0" w:beforeAutospacing="0" w:after="0" w:afterAutospacing="0"/>
              <w:jc w:val="both"/>
              <w:rPr>
                <w:rFonts w:asciiTheme="majorBidi" w:hAnsiTheme="majorBidi" w:cstheme="majorBidi"/>
                <w:b/>
                <w:bCs/>
              </w:rPr>
            </w:pPr>
          </w:p>
        </w:tc>
        <w:tc>
          <w:tcPr>
            <w:tcW w:w="441" w:type="dxa"/>
          </w:tcPr>
          <w:p w14:paraId="71C7D0A8">
            <w:pPr>
              <w:pStyle w:val="17"/>
              <w:spacing w:before="0" w:beforeAutospacing="0" w:after="0" w:afterAutospacing="0"/>
              <w:jc w:val="both"/>
              <w:rPr>
                <w:rFonts w:asciiTheme="majorBidi" w:hAnsiTheme="majorBidi" w:cstheme="majorBidi"/>
                <w:b/>
                <w:bCs/>
              </w:rPr>
            </w:pPr>
          </w:p>
        </w:tc>
        <w:tc>
          <w:tcPr>
            <w:tcW w:w="441" w:type="dxa"/>
          </w:tcPr>
          <w:p w14:paraId="199CB9A4">
            <w:pPr>
              <w:pStyle w:val="17"/>
              <w:spacing w:before="0" w:beforeAutospacing="0" w:after="0" w:afterAutospacing="0"/>
              <w:jc w:val="both"/>
              <w:rPr>
                <w:rFonts w:asciiTheme="majorBidi" w:hAnsiTheme="majorBidi" w:cstheme="majorBidi"/>
                <w:b/>
                <w:bCs/>
              </w:rPr>
            </w:pPr>
          </w:p>
        </w:tc>
        <w:tc>
          <w:tcPr>
            <w:tcW w:w="477" w:type="dxa"/>
          </w:tcPr>
          <w:p w14:paraId="2C8A7EC1">
            <w:pPr>
              <w:pStyle w:val="17"/>
              <w:spacing w:before="0" w:beforeAutospacing="0" w:after="0" w:afterAutospacing="0"/>
              <w:jc w:val="both"/>
              <w:rPr>
                <w:rFonts w:asciiTheme="majorBidi" w:hAnsiTheme="majorBidi" w:cstheme="majorBidi"/>
                <w:b/>
                <w:bCs/>
              </w:rPr>
            </w:pPr>
          </w:p>
        </w:tc>
        <w:tc>
          <w:tcPr>
            <w:tcW w:w="523" w:type="dxa"/>
          </w:tcPr>
          <w:p w14:paraId="582D721A">
            <w:pPr>
              <w:pStyle w:val="17"/>
              <w:spacing w:before="0" w:beforeAutospacing="0" w:after="0" w:afterAutospacing="0"/>
              <w:jc w:val="both"/>
              <w:rPr>
                <w:rFonts w:asciiTheme="majorBidi" w:hAnsiTheme="majorBidi" w:cstheme="majorBidi"/>
                <w:b/>
                <w:bCs/>
              </w:rPr>
            </w:pPr>
          </w:p>
        </w:tc>
      </w:tr>
      <w:tr w14:paraId="2C88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411DF2C">
            <w:pPr>
              <w:pStyle w:val="17"/>
              <w:spacing w:before="0" w:beforeAutospacing="0" w:after="0" w:afterAutospacing="0"/>
              <w:jc w:val="both"/>
              <w:rPr>
                <w:rFonts w:asciiTheme="majorBidi" w:hAnsiTheme="majorBidi" w:cstheme="majorBidi"/>
              </w:rPr>
            </w:pPr>
            <w:r>
              <w:rPr>
                <w:rFonts w:asciiTheme="majorBidi" w:hAnsiTheme="majorBidi" w:cstheme="majorBidi"/>
              </w:rPr>
              <w:t>23</w:t>
            </w:r>
          </w:p>
        </w:tc>
        <w:tc>
          <w:tcPr>
            <w:tcW w:w="6330" w:type="dxa"/>
          </w:tcPr>
          <w:p w14:paraId="7CAB8168">
            <w:pPr>
              <w:pStyle w:val="17"/>
              <w:spacing w:before="0" w:beforeAutospacing="0" w:after="0" w:afterAutospacing="0"/>
              <w:rPr>
                <w:rFonts w:asciiTheme="majorBidi" w:hAnsiTheme="majorBidi" w:cstheme="majorBidi"/>
              </w:rPr>
            </w:pPr>
            <w:r>
              <w:rPr>
                <w:rFonts w:asciiTheme="majorBidi" w:hAnsiTheme="majorBidi" w:cstheme="majorBidi"/>
              </w:rPr>
              <w:t>Students have a strong foundational knowledge of the subject while being exposed to a wide range of topics.</w:t>
            </w:r>
          </w:p>
        </w:tc>
        <w:tc>
          <w:tcPr>
            <w:tcW w:w="523" w:type="dxa"/>
          </w:tcPr>
          <w:p w14:paraId="5A907E99">
            <w:pPr>
              <w:pStyle w:val="17"/>
              <w:spacing w:before="0" w:beforeAutospacing="0" w:after="0" w:afterAutospacing="0"/>
              <w:jc w:val="both"/>
              <w:rPr>
                <w:rFonts w:asciiTheme="majorBidi" w:hAnsiTheme="majorBidi" w:cstheme="majorBidi"/>
                <w:b/>
                <w:bCs/>
              </w:rPr>
            </w:pPr>
          </w:p>
        </w:tc>
        <w:tc>
          <w:tcPr>
            <w:tcW w:w="441" w:type="dxa"/>
          </w:tcPr>
          <w:p w14:paraId="74558B52">
            <w:pPr>
              <w:pStyle w:val="17"/>
              <w:spacing w:before="0" w:beforeAutospacing="0" w:after="0" w:afterAutospacing="0"/>
              <w:jc w:val="both"/>
              <w:rPr>
                <w:rFonts w:asciiTheme="majorBidi" w:hAnsiTheme="majorBidi" w:cstheme="majorBidi"/>
                <w:b/>
                <w:bCs/>
              </w:rPr>
            </w:pPr>
          </w:p>
        </w:tc>
        <w:tc>
          <w:tcPr>
            <w:tcW w:w="441" w:type="dxa"/>
          </w:tcPr>
          <w:p w14:paraId="10CEBD88">
            <w:pPr>
              <w:pStyle w:val="17"/>
              <w:spacing w:before="0" w:beforeAutospacing="0" w:after="0" w:afterAutospacing="0"/>
              <w:jc w:val="both"/>
              <w:rPr>
                <w:rFonts w:asciiTheme="majorBidi" w:hAnsiTheme="majorBidi" w:cstheme="majorBidi"/>
                <w:b/>
                <w:bCs/>
              </w:rPr>
            </w:pPr>
          </w:p>
        </w:tc>
        <w:tc>
          <w:tcPr>
            <w:tcW w:w="477" w:type="dxa"/>
          </w:tcPr>
          <w:p w14:paraId="6649BDE1">
            <w:pPr>
              <w:pStyle w:val="17"/>
              <w:spacing w:before="0" w:beforeAutospacing="0" w:after="0" w:afterAutospacing="0"/>
              <w:jc w:val="both"/>
              <w:rPr>
                <w:rFonts w:asciiTheme="majorBidi" w:hAnsiTheme="majorBidi" w:cstheme="majorBidi"/>
                <w:b/>
                <w:bCs/>
              </w:rPr>
            </w:pPr>
          </w:p>
        </w:tc>
        <w:tc>
          <w:tcPr>
            <w:tcW w:w="523" w:type="dxa"/>
          </w:tcPr>
          <w:p w14:paraId="360658C6">
            <w:pPr>
              <w:pStyle w:val="17"/>
              <w:spacing w:before="0" w:beforeAutospacing="0" w:after="0" w:afterAutospacing="0"/>
              <w:jc w:val="both"/>
              <w:rPr>
                <w:rFonts w:asciiTheme="majorBidi" w:hAnsiTheme="majorBidi" w:cstheme="majorBidi"/>
                <w:b/>
                <w:bCs/>
              </w:rPr>
            </w:pPr>
          </w:p>
        </w:tc>
      </w:tr>
      <w:tr w14:paraId="1C4F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710" w:type="dxa"/>
          </w:tcPr>
          <w:p w14:paraId="0B3C8105">
            <w:pPr>
              <w:pStyle w:val="17"/>
              <w:spacing w:before="0" w:beforeAutospacing="0" w:after="0" w:afterAutospacing="0"/>
              <w:jc w:val="both"/>
              <w:rPr>
                <w:rFonts w:asciiTheme="majorBidi" w:hAnsiTheme="majorBidi" w:cstheme="majorBidi"/>
              </w:rPr>
            </w:pPr>
          </w:p>
        </w:tc>
        <w:tc>
          <w:tcPr>
            <w:tcW w:w="6330" w:type="dxa"/>
          </w:tcPr>
          <w:p w14:paraId="2B2E4235">
            <w:pPr>
              <w:pStyle w:val="17"/>
              <w:rPr>
                <w:rFonts w:asciiTheme="majorBidi" w:hAnsiTheme="majorBidi" w:cstheme="majorBidi"/>
                <w:b/>
                <w:bCs/>
              </w:rPr>
            </w:pPr>
            <w:r>
              <w:rPr>
                <w:rFonts w:asciiTheme="majorBidi" w:hAnsiTheme="majorBidi" w:cstheme="majorBidi"/>
                <w:b/>
                <w:bCs/>
              </w:rPr>
              <w:t xml:space="preserve">Social media in academic integrity and examination malpractices </w:t>
            </w:r>
          </w:p>
        </w:tc>
        <w:tc>
          <w:tcPr>
            <w:tcW w:w="523" w:type="dxa"/>
          </w:tcPr>
          <w:p w14:paraId="28AEB73C">
            <w:pPr>
              <w:pStyle w:val="17"/>
              <w:spacing w:before="0" w:beforeAutospacing="0" w:after="0" w:afterAutospacing="0"/>
              <w:jc w:val="both"/>
              <w:rPr>
                <w:rFonts w:asciiTheme="majorBidi" w:hAnsiTheme="majorBidi" w:cstheme="majorBidi"/>
                <w:b/>
                <w:bCs/>
              </w:rPr>
            </w:pPr>
          </w:p>
        </w:tc>
        <w:tc>
          <w:tcPr>
            <w:tcW w:w="441" w:type="dxa"/>
          </w:tcPr>
          <w:p w14:paraId="51B83351">
            <w:pPr>
              <w:pStyle w:val="17"/>
              <w:spacing w:before="0" w:beforeAutospacing="0" w:after="0" w:afterAutospacing="0"/>
              <w:jc w:val="both"/>
              <w:rPr>
                <w:rFonts w:asciiTheme="majorBidi" w:hAnsiTheme="majorBidi" w:cstheme="majorBidi"/>
                <w:b/>
                <w:bCs/>
              </w:rPr>
            </w:pPr>
          </w:p>
        </w:tc>
        <w:tc>
          <w:tcPr>
            <w:tcW w:w="441" w:type="dxa"/>
          </w:tcPr>
          <w:p w14:paraId="22957EF2">
            <w:pPr>
              <w:pStyle w:val="17"/>
              <w:spacing w:before="0" w:beforeAutospacing="0" w:after="0" w:afterAutospacing="0"/>
              <w:jc w:val="both"/>
              <w:rPr>
                <w:rFonts w:asciiTheme="majorBidi" w:hAnsiTheme="majorBidi" w:cstheme="majorBidi"/>
                <w:b/>
                <w:bCs/>
              </w:rPr>
            </w:pPr>
          </w:p>
        </w:tc>
        <w:tc>
          <w:tcPr>
            <w:tcW w:w="477" w:type="dxa"/>
          </w:tcPr>
          <w:p w14:paraId="5C33DF8E">
            <w:pPr>
              <w:pStyle w:val="17"/>
              <w:spacing w:before="0" w:beforeAutospacing="0" w:after="0" w:afterAutospacing="0"/>
              <w:jc w:val="both"/>
              <w:rPr>
                <w:rFonts w:asciiTheme="majorBidi" w:hAnsiTheme="majorBidi" w:cstheme="majorBidi"/>
                <w:b/>
                <w:bCs/>
              </w:rPr>
            </w:pPr>
          </w:p>
        </w:tc>
        <w:tc>
          <w:tcPr>
            <w:tcW w:w="523" w:type="dxa"/>
          </w:tcPr>
          <w:p w14:paraId="4D143C07">
            <w:pPr>
              <w:pStyle w:val="17"/>
              <w:spacing w:before="0" w:beforeAutospacing="0" w:after="0" w:afterAutospacing="0"/>
              <w:jc w:val="both"/>
              <w:rPr>
                <w:rFonts w:asciiTheme="majorBidi" w:hAnsiTheme="majorBidi" w:cstheme="majorBidi"/>
                <w:b/>
                <w:bCs/>
              </w:rPr>
            </w:pPr>
          </w:p>
        </w:tc>
      </w:tr>
      <w:tr w14:paraId="0D78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880EB04">
            <w:pPr>
              <w:pStyle w:val="17"/>
              <w:spacing w:before="0" w:beforeAutospacing="0" w:after="0" w:afterAutospacing="0"/>
              <w:jc w:val="both"/>
              <w:rPr>
                <w:rFonts w:asciiTheme="majorBidi" w:hAnsiTheme="majorBidi" w:cstheme="majorBidi"/>
              </w:rPr>
            </w:pPr>
            <w:r>
              <w:rPr>
                <w:rFonts w:asciiTheme="majorBidi" w:hAnsiTheme="majorBidi" w:cstheme="majorBidi"/>
              </w:rPr>
              <w:t>24</w:t>
            </w:r>
          </w:p>
        </w:tc>
        <w:tc>
          <w:tcPr>
            <w:tcW w:w="6330" w:type="dxa"/>
          </w:tcPr>
          <w:p w14:paraId="44C4C99A">
            <w:pPr>
              <w:pStyle w:val="17"/>
              <w:spacing w:before="0" w:beforeAutospacing="0" w:after="0" w:afterAutospacing="0"/>
              <w:rPr>
                <w:rFonts w:asciiTheme="majorBidi" w:hAnsiTheme="majorBidi" w:cstheme="majorBidi"/>
              </w:rPr>
            </w:pPr>
            <w:r>
              <w:rPr>
                <w:rFonts w:asciiTheme="majorBidi" w:hAnsiTheme="majorBidi" w:cstheme="majorBidi"/>
              </w:rPr>
              <w:t>Students possess phones during exams.</w:t>
            </w:r>
          </w:p>
        </w:tc>
        <w:tc>
          <w:tcPr>
            <w:tcW w:w="523" w:type="dxa"/>
          </w:tcPr>
          <w:p w14:paraId="4C76E7EB">
            <w:pPr>
              <w:pStyle w:val="17"/>
              <w:spacing w:before="0" w:beforeAutospacing="0" w:after="0" w:afterAutospacing="0"/>
              <w:jc w:val="both"/>
              <w:rPr>
                <w:rFonts w:asciiTheme="majorBidi" w:hAnsiTheme="majorBidi" w:cstheme="majorBidi"/>
                <w:b/>
                <w:bCs/>
              </w:rPr>
            </w:pPr>
          </w:p>
        </w:tc>
        <w:tc>
          <w:tcPr>
            <w:tcW w:w="441" w:type="dxa"/>
          </w:tcPr>
          <w:p w14:paraId="08AC0D73">
            <w:pPr>
              <w:pStyle w:val="17"/>
              <w:spacing w:before="0" w:beforeAutospacing="0" w:after="0" w:afterAutospacing="0"/>
              <w:jc w:val="both"/>
              <w:rPr>
                <w:rFonts w:asciiTheme="majorBidi" w:hAnsiTheme="majorBidi" w:cstheme="majorBidi"/>
                <w:b/>
                <w:bCs/>
              </w:rPr>
            </w:pPr>
          </w:p>
        </w:tc>
        <w:tc>
          <w:tcPr>
            <w:tcW w:w="441" w:type="dxa"/>
          </w:tcPr>
          <w:p w14:paraId="4B8C978B">
            <w:pPr>
              <w:pStyle w:val="17"/>
              <w:spacing w:before="0" w:beforeAutospacing="0" w:after="0" w:afterAutospacing="0"/>
              <w:jc w:val="both"/>
              <w:rPr>
                <w:rFonts w:asciiTheme="majorBidi" w:hAnsiTheme="majorBidi" w:cstheme="majorBidi"/>
                <w:b/>
                <w:bCs/>
              </w:rPr>
            </w:pPr>
          </w:p>
        </w:tc>
        <w:tc>
          <w:tcPr>
            <w:tcW w:w="477" w:type="dxa"/>
          </w:tcPr>
          <w:p w14:paraId="6B9E941F">
            <w:pPr>
              <w:pStyle w:val="17"/>
              <w:spacing w:before="0" w:beforeAutospacing="0" w:after="0" w:afterAutospacing="0"/>
              <w:jc w:val="both"/>
              <w:rPr>
                <w:rFonts w:asciiTheme="majorBidi" w:hAnsiTheme="majorBidi" w:cstheme="majorBidi"/>
                <w:b/>
                <w:bCs/>
              </w:rPr>
            </w:pPr>
          </w:p>
        </w:tc>
        <w:tc>
          <w:tcPr>
            <w:tcW w:w="523" w:type="dxa"/>
          </w:tcPr>
          <w:p w14:paraId="3DA5674B">
            <w:pPr>
              <w:pStyle w:val="17"/>
              <w:spacing w:before="0" w:beforeAutospacing="0" w:after="0" w:afterAutospacing="0"/>
              <w:jc w:val="both"/>
              <w:rPr>
                <w:rFonts w:asciiTheme="majorBidi" w:hAnsiTheme="majorBidi" w:cstheme="majorBidi"/>
                <w:b/>
                <w:bCs/>
              </w:rPr>
            </w:pPr>
          </w:p>
        </w:tc>
      </w:tr>
      <w:tr w14:paraId="3FB2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065F738">
            <w:pPr>
              <w:pStyle w:val="17"/>
              <w:spacing w:before="0" w:beforeAutospacing="0" w:after="0" w:afterAutospacing="0"/>
              <w:jc w:val="both"/>
              <w:rPr>
                <w:rFonts w:asciiTheme="majorBidi" w:hAnsiTheme="majorBidi" w:cstheme="majorBidi"/>
              </w:rPr>
            </w:pPr>
            <w:r>
              <w:rPr>
                <w:rFonts w:asciiTheme="majorBidi" w:hAnsiTheme="majorBidi" w:cstheme="majorBidi"/>
              </w:rPr>
              <w:t>25</w:t>
            </w:r>
          </w:p>
        </w:tc>
        <w:tc>
          <w:tcPr>
            <w:tcW w:w="6330" w:type="dxa"/>
          </w:tcPr>
          <w:p w14:paraId="42CA00D3">
            <w:pPr>
              <w:pStyle w:val="17"/>
              <w:spacing w:before="0" w:beforeAutospacing="0" w:after="0" w:afterAutospacing="0"/>
              <w:rPr>
                <w:rFonts w:asciiTheme="majorBidi" w:hAnsiTheme="majorBidi" w:cstheme="majorBidi"/>
              </w:rPr>
            </w:pPr>
            <w:r>
              <w:rPr>
                <w:rFonts w:asciiTheme="majorBidi" w:hAnsiTheme="majorBidi" w:cstheme="majorBidi"/>
              </w:rPr>
              <w:t>Prevalence of cheating culture influence students' decisions to use social media during Exams.</w:t>
            </w:r>
          </w:p>
        </w:tc>
        <w:tc>
          <w:tcPr>
            <w:tcW w:w="523" w:type="dxa"/>
          </w:tcPr>
          <w:p w14:paraId="5A8E848E">
            <w:pPr>
              <w:pStyle w:val="17"/>
              <w:spacing w:before="0" w:beforeAutospacing="0" w:after="0" w:afterAutospacing="0"/>
              <w:jc w:val="both"/>
              <w:rPr>
                <w:rFonts w:asciiTheme="majorBidi" w:hAnsiTheme="majorBidi" w:cstheme="majorBidi"/>
                <w:b/>
                <w:bCs/>
              </w:rPr>
            </w:pPr>
          </w:p>
        </w:tc>
        <w:tc>
          <w:tcPr>
            <w:tcW w:w="441" w:type="dxa"/>
          </w:tcPr>
          <w:p w14:paraId="288016A0">
            <w:pPr>
              <w:pStyle w:val="17"/>
              <w:spacing w:before="0" w:beforeAutospacing="0" w:after="0" w:afterAutospacing="0"/>
              <w:jc w:val="both"/>
              <w:rPr>
                <w:rFonts w:asciiTheme="majorBidi" w:hAnsiTheme="majorBidi" w:cstheme="majorBidi"/>
                <w:b/>
                <w:bCs/>
              </w:rPr>
            </w:pPr>
          </w:p>
        </w:tc>
        <w:tc>
          <w:tcPr>
            <w:tcW w:w="441" w:type="dxa"/>
          </w:tcPr>
          <w:p w14:paraId="54F0C633">
            <w:pPr>
              <w:pStyle w:val="17"/>
              <w:spacing w:before="0" w:beforeAutospacing="0" w:after="0" w:afterAutospacing="0"/>
              <w:jc w:val="both"/>
              <w:rPr>
                <w:rFonts w:asciiTheme="majorBidi" w:hAnsiTheme="majorBidi" w:cstheme="majorBidi"/>
                <w:b/>
                <w:bCs/>
              </w:rPr>
            </w:pPr>
          </w:p>
        </w:tc>
        <w:tc>
          <w:tcPr>
            <w:tcW w:w="477" w:type="dxa"/>
          </w:tcPr>
          <w:p w14:paraId="33F076B5">
            <w:pPr>
              <w:pStyle w:val="17"/>
              <w:spacing w:before="0" w:beforeAutospacing="0" w:after="0" w:afterAutospacing="0"/>
              <w:jc w:val="both"/>
              <w:rPr>
                <w:rFonts w:asciiTheme="majorBidi" w:hAnsiTheme="majorBidi" w:cstheme="majorBidi"/>
                <w:b/>
                <w:bCs/>
              </w:rPr>
            </w:pPr>
          </w:p>
        </w:tc>
        <w:tc>
          <w:tcPr>
            <w:tcW w:w="523" w:type="dxa"/>
          </w:tcPr>
          <w:p w14:paraId="2B06D1FA">
            <w:pPr>
              <w:pStyle w:val="17"/>
              <w:spacing w:before="0" w:beforeAutospacing="0" w:after="0" w:afterAutospacing="0"/>
              <w:jc w:val="both"/>
              <w:rPr>
                <w:rFonts w:asciiTheme="majorBidi" w:hAnsiTheme="majorBidi" w:cstheme="majorBidi"/>
                <w:b/>
                <w:bCs/>
              </w:rPr>
            </w:pPr>
          </w:p>
        </w:tc>
      </w:tr>
      <w:tr w14:paraId="0C9A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F26056B">
            <w:pPr>
              <w:pStyle w:val="17"/>
              <w:spacing w:before="0" w:beforeAutospacing="0" w:after="0" w:afterAutospacing="0"/>
              <w:jc w:val="both"/>
              <w:rPr>
                <w:rFonts w:asciiTheme="majorBidi" w:hAnsiTheme="majorBidi" w:cstheme="majorBidi"/>
              </w:rPr>
            </w:pPr>
            <w:r>
              <w:rPr>
                <w:rFonts w:asciiTheme="majorBidi" w:hAnsiTheme="majorBidi" w:cstheme="majorBidi"/>
              </w:rPr>
              <w:t>26</w:t>
            </w:r>
          </w:p>
        </w:tc>
        <w:tc>
          <w:tcPr>
            <w:tcW w:w="6330" w:type="dxa"/>
          </w:tcPr>
          <w:p w14:paraId="60AAB25C">
            <w:pPr>
              <w:pStyle w:val="17"/>
              <w:spacing w:before="0" w:beforeAutospacing="0" w:after="0" w:afterAutospacing="0"/>
              <w:rPr>
                <w:rFonts w:asciiTheme="majorBidi" w:hAnsiTheme="majorBidi" w:cstheme="majorBidi"/>
              </w:rPr>
            </w:pPr>
            <w:r>
              <w:rPr>
                <w:rFonts w:asciiTheme="majorBidi" w:hAnsiTheme="majorBidi" w:cstheme="majorBidi"/>
              </w:rPr>
              <w:t>Students get answers before and during exams through social media</w:t>
            </w:r>
          </w:p>
        </w:tc>
        <w:tc>
          <w:tcPr>
            <w:tcW w:w="523" w:type="dxa"/>
          </w:tcPr>
          <w:p w14:paraId="0F89611F">
            <w:pPr>
              <w:pStyle w:val="17"/>
              <w:spacing w:before="0" w:beforeAutospacing="0" w:after="0" w:afterAutospacing="0"/>
              <w:jc w:val="both"/>
              <w:rPr>
                <w:rFonts w:asciiTheme="majorBidi" w:hAnsiTheme="majorBidi" w:cstheme="majorBidi"/>
                <w:b/>
                <w:bCs/>
              </w:rPr>
            </w:pPr>
          </w:p>
        </w:tc>
        <w:tc>
          <w:tcPr>
            <w:tcW w:w="441" w:type="dxa"/>
          </w:tcPr>
          <w:p w14:paraId="245F92BE">
            <w:pPr>
              <w:pStyle w:val="17"/>
              <w:spacing w:before="0" w:beforeAutospacing="0" w:after="0" w:afterAutospacing="0"/>
              <w:jc w:val="both"/>
              <w:rPr>
                <w:rFonts w:asciiTheme="majorBidi" w:hAnsiTheme="majorBidi" w:cstheme="majorBidi"/>
                <w:b/>
                <w:bCs/>
              </w:rPr>
            </w:pPr>
          </w:p>
        </w:tc>
        <w:tc>
          <w:tcPr>
            <w:tcW w:w="441" w:type="dxa"/>
          </w:tcPr>
          <w:p w14:paraId="018D4A82">
            <w:pPr>
              <w:pStyle w:val="17"/>
              <w:spacing w:before="0" w:beforeAutospacing="0" w:after="0" w:afterAutospacing="0"/>
              <w:jc w:val="both"/>
              <w:rPr>
                <w:rFonts w:asciiTheme="majorBidi" w:hAnsiTheme="majorBidi" w:cstheme="majorBidi"/>
                <w:b/>
                <w:bCs/>
              </w:rPr>
            </w:pPr>
          </w:p>
        </w:tc>
        <w:tc>
          <w:tcPr>
            <w:tcW w:w="477" w:type="dxa"/>
          </w:tcPr>
          <w:p w14:paraId="24701BA5">
            <w:pPr>
              <w:pStyle w:val="17"/>
              <w:spacing w:before="0" w:beforeAutospacing="0" w:after="0" w:afterAutospacing="0"/>
              <w:jc w:val="both"/>
              <w:rPr>
                <w:rFonts w:asciiTheme="majorBidi" w:hAnsiTheme="majorBidi" w:cstheme="majorBidi"/>
                <w:b/>
                <w:bCs/>
              </w:rPr>
            </w:pPr>
          </w:p>
        </w:tc>
        <w:tc>
          <w:tcPr>
            <w:tcW w:w="523" w:type="dxa"/>
          </w:tcPr>
          <w:p w14:paraId="7BE1482E">
            <w:pPr>
              <w:pStyle w:val="17"/>
              <w:spacing w:before="0" w:beforeAutospacing="0" w:after="0" w:afterAutospacing="0"/>
              <w:jc w:val="both"/>
              <w:rPr>
                <w:rFonts w:asciiTheme="majorBidi" w:hAnsiTheme="majorBidi" w:cstheme="majorBidi"/>
                <w:b/>
                <w:bCs/>
              </w:rPr>
            </w:pPr>
          </w:p>
        </w:tc>
      </w:tr>
      <w:tr w14:paraId="6CE9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10528FB">
            <w:pPr>
              <w:pStyle w:val="17"/>
              <w:spacing w:before="0" w:beforeAutospacing="0" w:after="0" w:afterAutospacing="0"/>
              <w:jc w:val="both"/>
              <w:rPr>
                <w:rFonts w:asciiTheme="majorBidi" w:hAnsiTheme="majorBidi" w:cstheme="majorBidi"/>
              </w:rPr>
            </w:pPr>
            <w:r>
              <w:rPr>
                <w:rFonts w:asciiTheme="majorBidi" w:hAnsiTheme="majorBidi" w:cstheme="majorBidi"/>
              </w:rPr>
              <w:t>27</w:t>
            </w:r>
          </w:p>
        </w:tc>
        <w:tc>
          <w:tcPr>
            <w:tcW w:w="6330" w:type="dxa"/>
          </w:tcPr>
          <w:p w14:paraId="2E01FF8C">
            <w:pPr>
              <w:pStyle w:val="17"/>
              <w:spacing w:before="0" w:beforeAutospacing="0" w:after="0" w:afterAutospacing="0"/>
              <w:rPr>
                <w:rFonts w:asciiTheme="majorBidi" w:hAnsiTheme="majorBidi" w:cstheme="majorBidi"/>
                <w:b/>
                <w:bCs/>
              </w:rPr>
            </w:pPr>
            <w:r>
              <w:rPr>
                <w:rFonts w:asciiTheme="majorBidi" w:hAnsiTheme="majorBidi" w:cstheme="majorBidi"/>
              </w:rPr>
              <w:t>The proliferation of technology has introduced new avenues for academic dishonesty.</w:t>
            </w:r>
          </w:p>
        </w:tc>
        <w:tc>
          <w:tcPr>
            <w:tcW w:w="523" w:type="dxa"/>
          </w:tcPr>
          <w:p w14:paraId="1DB579F3">
            <w:pPr>
              <w:pStyle w:val="17"/>
              <w:spacing w:before="0" w:beforeAutospacing="0" w:after="0" w:afterAutospacing="0"/>
              <w:jc w:val="both"/>
              <w:rPr>
                <w:rFonts w:asciiTheme="majorBidi" w:hAnsiTheme="majorBidi" w:cstheme="majorBidi"/>
                <w:b/>
                <w:bCs/>
              </w:rPr>
            </w:pPr>
          </w:p>
        </w:tc>
        <w:tc>
          <w:tcPr>
            <w:tcW w:w="441" w:type="dxa"/>
          </w:tcPr>
          <w:p w14:paraId="56141BD2">
            <w:pPr>
              <w:pStyle w:val="17"/>
              <w:spacing w:before="0" w:beforeAutospacing="0" w:after="0" w:afterAutospacing="0"/>
              <w:jc w:val="both"/>
              <w:rPr>
                <w:rFonts w:asciiTheme="majorBidi" w:hAnsiTheme="majorBidi" w:cstheme="majorBidi"/>
                <w:b/>
                <w:bCs/>
              </w:rPr>
            </w:pPr>
          </w:p>
        </w:tc>
        <w:tc>
          <w:tcPr>
            <w:tcW w:w="441" w:type="dxa"/>
          </w:tcPr>
          <w:p w14:paraId="5C7C1823">
            <w:pPr>
              <w:pStyle w:val="17"/>
              <w:spacing w:before="0" w:beforeAutospacing="0" w:after="0" w:afterAutospacing="0"/>
              <w:jc w:val="both"/>
              <w:rPr>
                <w:rFonts w:asciiTheme="majorBidi" w:hAnsiTheme="majorBidi" w:cstheme="majorBidi"/>
                <w:b/>
                <w:bCs/>
              </w:rPr>
            </w:pPr>
          </w:p>
        </w:tc>
        <w:tc>
          <w:tcPr>
            <w:tcW w:w="477" w:type="dxa"/>
          </w:tcPr>
          <w:p w14:paraId="1FB6D02E">
            <w:pPr>
              <w:pStyle w:val="17"/>
              <w:spacing w:before="0" w:beforeAutospacing="0" w:after="0" w:afterAutospacing="0"/>
              <w:jc w:val="both"/>
              <w:rPr>
                <w:rFonts w:asciiTheme="majorBidi" w:hAnsiTheme="majorBidi" w:cstheme="majorBidi"/>
                <w:b/>
                <w:bCs/>
              </w:rPr>
            </w:pPr>
          </w:p>
        </w:tc>
        <w:tc>
          <w:tcPr>
            <w:tcW w:w="523" w:type="dxa"/>
          </w:tcPr>
          <w:p w14:paraId="435D49E8">
            <w:pPr>
              <w:pStyle w:val="17"/>
              <w:spacing w:before="0" w:beforeAutospacing="0" w:after="0" w:afterAutospacing="0"/>
              <w:jc w:val="both"/>
              <w:rPr>
                <w:rFonts w:asciiTheme="majorBidi" w:hAnsiTheme="majorBidi" w:cstheme="majorBidi"/>
                <w:b/>
                <w:bCs/>
              </w:rPr>
            </w:pPr>
          </w:p>
        </w:tc>
      </w:tr>
      <w:tr w14:paraId="73FC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43AAD5C">
            <w:pPr>
              <w:pStyle w:val="17"/>
              <w:spacing w:before="0" w:beforeAutospacing="0" w:after="0" w:afterAutospacing="0"/>
              <w:jc w:val="both"/>
              <w:rPr>
                <w:rFonts w:asciiTheme="majorBidi" w:hAnsiTheme="majorBidi" w:cstheme="majorBidi"/>
              </w:rPr>
            </w:pPr>
            <w:r>
              <w:rPr>
                <w:rFonts w:asciiTheme="majorBidi" w:hAnsiTheme="majorBidi" w:cstheme="majorBidi"/>
              </w:rPr>
              <w:t>28</w:t>
            </w:r>
          </w:p>
        </w:tc>
        <w:tc>
          <w:tcPr>
            <w:tcW w:w="6330" w:type="dxa"/>
          </w:tcPr>
          <w:p w14:paraId="1A197FDC">
            <w:pPr>
              <w:pStyle w:val="17"/>
              <w:spacing w:before="0" w:beforeAutospacing="0" w:after="0" w:afterAutospacing="0"/>
              <w:rPr>
                <w:rFonts w:asciiTheme="majorBidi" w:hAnsiTheme="majorBidi" w:cstheme="majorBidi"/>
              </w:rPr>
            </w:pPr>
            <w:r>
              <w:rPr>
                <w:rFonts w:asciiTheme="majorBidi" w:hAnsiTheme="majorBidi" w:cstheme="majorBidi"/>
              </w:rPr>
              <w:t>In an attempt to gain social approval or conform to peer norms, students engage in dishonest behavior during examinations, including cheating or sharing exam-related content online</w:t>
            </w:r>
          </w:p>
        </w:tc>
        <w:tc>
          <w:tcPr>
            <w:tcW w:w="523" w:type="dxa"/>
          </w:tcPr>
          <w:p w14:paraId="5F4AE1CD">
            <w:pPr>
              <w:pStyle w:val="17"/>
              <w:spacing w:before="0" w:beforeAutospacing="0" w:after="0" w:afterAutospacing="0"/>
              <w:jc w:val="both"/>
              <w:rPr>
                <w:rFonts w:asciiTheme="majorBidi" w:hAnsiTheme="majorBidi" w:cstheme="majorBidi"/>
                <w:b/>
                <w:bCs/>
              </w:rPr>
            </w:pPr>
          </w:p>
        </w:tc>
        <w:tc>
          <w:tcPr>
            <w:tcW w:w="441" w:type="dxa"/>
          </w:tcPr>
          <w:p w14:paraId="56C56F3B">
            <w:pPr>
              <w:pStyle w:val="17"/>
              <w:spacing w:before="0" w:beforeAutospacing="0" w:after="0" w:afterAutospacing="0"/>
              <w:jc w:val="both"/>
              <w:rPr>
                <w:rFonts w:asciiTheme="majorBidi" w:hAnsiTheme="majorBidi" w:cstheme="majorBidi"/>
                <w:b/>
                <w:bCs/>
              </w:rPr>
            </w:pPr>
          </w:p>
        </w:tc>
        <w:tc>
          <w:tcPr>
            <w:tcW w:w="441" w:type="dxa"/>
          </w:tcPr>
          <w:p w14:paraId="6F490AA4">
            <w:pPr>
              <w:pStyle w:val="17"/>
              <w:spacing w:before="0" w:beforeAutospacing="0" w:after="0" w:afterAutospacing="0"/>
              <w:jc w:val="both"/>
              <w:rPr>
                <w:rFonts w:asciiTheme="majorBidi" w:hAnsiTheme="majorBidi" w:cstheme="majorBidi"/>
                <w:b/>
                <w:bCs/>
              </w:rPr>
            </w:pPr>
          </w:p>
        </w:tc>
        <w:tc>
          <w:tcPr>
            <w:tcW w:w="477" w:type="dxa"/>
          </w:tcPr>
          <w:p w14:paraId="602A181B">
            <w:pPr>
              <w:pStyle w:val="17"/>
              <w:spacing w:before="0" w:beforeAutospacing="0" w:after="0" w:afterAutospacing="0"/>
              <w:jc w:val="both"/>
              <w:rPr>
                <w:rFonts w:asciiTheme="majorBidi" w:hAnsiTheme="majorBidi" w:cstheme="majorBidi"/>
                <w:b/>
                <w:bCs/>
              </w:rPr>
            </w:pPr>
          </w:p>
        </w:tc>
        <w:tc>
          <w:tcPr>
            <w:tcW w:w="523" w:type="dxa"/>
          </w:tcPr>
          <w:p w14:paraId="49EBBE9E">
            <w:pPr>
              <w:pStyle w:val="17"/>
              <w:spacing w:before="0" w:beforeAutospacing="0" w:after="0" w:afterAutospacing="0"/>
              <w:jc w:val="both"/>
              <w:rPr>
                <w:rFonts w:asciiTheme="majorBidi" w:hAnsiTheme="majorBidi" w:cstheme="majorBidi"/>
                <w:b/>
                <w:bCs/>
              </w:rPr>
            </w:pPr>
          </w:p>
        </w:tc>
      </w:tr>
      <w:tr w14:paraId="4B64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916E21A">
            <w:pPr>
              <w:pStyle w:val="17"/>
              <w:spacing w:before="0" w:beforeAutospacing="0" w:after="0" w:afterAutospacing="0"/>
              <w:jc w:val="both"/>
              <w:rPr>
                <w:rFonts w:asciiTheme="majorBidi" w:hAnsiTheme="majorBidi" w:cstheme="majorBidi"/>
              </w:rPr>
            </w:pPr>
          </w:p>
        </w:tc>
        <w:tc>
          <w:tcPr>
            <w:tcW w:w="6330" w:type="dxa"/>
          </w:tcPr>
          <w:p w14:paraId="3DECD923">
            <w:pPr>
              <w:spacing w:after="0" w:line="240" w:lineRule="auto"/>
              <w:rPr>
                <w:rFonts w:asciiTheme="majorBidi" w:hAnsiTheme="majorBidi" w:cstheme="majorBidi"/>
                <w:b/>
                <w:bCs/>
                <w:sz w:val="24"/>
                <w:szCs w:val="24"/>
              </w:rPr>
            </w:pPr>
            <w:r>
              <w:rPr>
                <w:rStyle w:val="19"/>
                <w:rFonts w:asciiTheme="majorBidi" w:hAnsiTheme="majorBidi" w:cstheme="majorBidi"/>
                <w:sz w:val="24"/>
                <w:szCs w:val="24"/>
              </w:rPr>
              <w:t>Level of KCSE examinations malpractices</w:t>
            </w:r>
          </w:p>
          <w:p w14:paraId="4252D773">
            <w:pPr>
              <w:spacing w:after="0" w:line="240" w:lineRule="auto"/>
              <w:rPr>
                <w:rFonts w:asciiTheme="majorBidi" w:hAnsiTheme="majorBidi" w:cstheme="majorBidi"/>
                <w:b/>
                <w:bCs/>
                <w:sz w:val="24"/>
                <w:szCs w:val="24"/>
              </w:rPr>
            </w:pPr>
          </w:p>
        </w:tc>
        <w:tc>
          <w:tcPr>
            <w:tcW w:w="523" w:type="dxa"/>
          </w:tcPr>
          <w:p w14:paraId="7F203868">
            <w:pPr>
              <w:pStyle w:val="17"/>
              <w:spacing w:before="0" w:beforeAutospacing="0" w:after="0" w:afterAutospacing="0"/>
              <w:jc w:val="both"/>
              <w:rPr>
                <w:rFonts w:asciiTheme="majorBidi" w:hAnsiTheme="majorBidi" w:cstheme="majorBidi"/>
                <w:b/>
                <w:bCs/>
              </w:rPr>
            </w:pPr>
          </w:p>
        </w:tc>
        <w:tc>
          <w:tcPr>
            <w:tcW w:w="441" w:type="dxa"/>
          </w:tcPr>
          <w:p w14:paraId="1220E1A0">
            <w:pPr>
              <w:pStyle w:val="17"/>
              <w:spacing w:before="0" w:beforeAutospacing="0" w:after="0" w:afterAutospacing="0"/>
              <w:jc w:val="both"/>
              <w:rPr>
                <w:rFonts w:asciiTheme="majorBidi" w:hAnsiTheme="majorBidi" w:cstheme="majorBidi"/>
                <w:b/>
                <w:bCs/>
              </w:rPr>
            </w:pPr>
          </w:p>
        </w:tc>
        <w:tc>
          <w:tcPr>
            <w:tcW w:w="441" w:type="dxa"/>
          </w:tcPr>
          <w:p w14:paraId="127C63B6">
            <w:pPr>
              <w:pStyle w:val="17"/>
              <w:spacing w:before="0" w:beforeAutospacing="0" w:after="0" w:afterAutospacing="0"/>
              <w:jc w:val="both"/>
              <w:rPr>
                <w:rFonts w:asciiTheme="majorBidi" w:hAnsiTheme="majorBidi" w:cstheme="majorBidi"/>
                <w:b/>
                <w:bCs/>
              </w:rPr>
            </w:pPr>
          </w:p>
        </w:tc>
        <w:tc>
          <w:tcPr>
            <w:tcW w:w="477" w:type="dxa"/>
          </w:tcPr>
          <w:p w14:paraId="4909F384">
            <w:pPr>
              <w:pStyle w:val="17"/>
              <w:spacing w:before="0" w:beforeAutospacing="0" w:after="0" w:afterAutospacing="0"/>
              <w:jc w:val="both"/>
              <w:rPr>
                <w:rFonts w:asciiTheme="majorBidi" w:hAnsiTheme="majorBidi" w:cstheme="majorBidi"/>
                <w:b/>
                <w:bCs/>
              </w:rPr>
            </w:pPr>
          </w:p>
        </w:tc>
        <w:tc>
          <w:tcPr>
            <w:tcW w:w="523" w:type="dxa"/>
          </w:tcPr>
          <w:p w14:paraId="1DCFE3D9">
            <w:pPr>
              <w:pStyle w:val="17"/>
              <w:spacing w:before="0" w:beforeAutospacing="0" w:after="0" w:afterAutospacing="0"/>
              <w:jc w:val="both"/>
              <w:rPr>
                <w:rFonts w:asciiTheme="majorBidi" w:hAnsiTheme="majorBidi" w:cstheme="majorBidi"/>
                <w:b/>
                <w:bCs/>
              </w:rPr>
            </w:pPr>
          </w:p>
        </w:tc>
      </w:tr>
      <w:tr w14:paraId="538E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53DE679">
            <w:pPr>
              <w:pStyle w:val="17"/>
              <w:spacing w:before="0" w:beforeAutospacing="0" w:after="0" w:afterAutospacing="0"/>
              <w:jc w:val="both"/>
              <w:rPr>
                <w:rFonts w:asciiTheme="majorBidi" w:hAnsiTheme="majorBidi" w:cstheme="majorBidi"/>
              </w:rPr>
            </w:pPr>
            <w:r>
              <w:rPr>
                <w:rFonts w:asciiTheme="majorBidi" w:hAnsiTheme="majorBidi" w:cstheme="majorBidi"/>
              </w:rPr>
              <w:t>29</w:t>
            </w:r>
          </w:p>
        </w:tc>
        <w:tc>
          <w:tcPr>
            <w:tcW w:w="6330" w:type="dxa"/>
          </w:tcPr>
          <w:p w14:paraId="62BFB22E">
            <w:pPr>
              <w:spacing w:after="0" w:line="240" w:lineRule="auto"/>
              <w:rPr>
                <w:rFonts w:asciiTheme="majorBidi" w:hAnsiTheme="majorBidi" w:cstheme="majorBidi"/>
                <w:sz w:val="24"/>
                <w:szCs w:val="24"/>
              </w:rPr>
            </w:pPr>
            <w:r>
              <w:rPr>
                <w:rFonts w:asciiTheme="majorBidi" w:hAnsiTheme="majorBidi" w:cstheme="majorBidi"/>
                <w:sz w:val="24"/>
                <w:szCs w:val="24"/>
              </w:rPr>
              <w:t>Students use unfair methods to learn what was on a test before it was given.</w:t>
            </w:r>
          </w:p>
        </w:tc>
        <w:tc>
          <w:tcPr>
            <w:tcW w:w="523" w:type="dxa"/>
          </w:tcPr>
          <w:p w14:paraId="6F238339">
            <w:pPr>
              <w:pStyle w:val="17"/>
              <w:spacing w:before="0" w:beforeAutospacing="0" w:after="0" w:afterAutospacing="0"/>
              <w:jc w:val="both"/>
              <w:rPr>
                <w:rFonts w:asciiTheme="majorBidi" w:hAnsiTheme="majorBidi" w:cstheme="majorBidi"/>
                <w:b/>
                <w:bCs/>
              </w:rPr>
            </w:pPr>
          </w:p>
        </w:tc>
        <w:tc>
          <w:tcPr>
            <w:tcW w:w="441" w:type="dxa"/>
          </w:tcPr>
          <w:p w14:paraId="406E0CDB">
            <w:pPr>
              <w:pStyle w:val="17"/>
              <w:spacing w:before="0" w:beforeAutospacing="0" w:after="0" w:afterAutospacing="0"/>
              <w:jc w:val="both"/>
              <w:rPr>
                <w:rFonts w:asciiTheme="majorBidi" w:hAnsiTheme="majorBidi" w:cstheme="majorBidi"/>
                <w:b/>
                <w:bCs/>
              </w:rPr>
            </w:pPr>
          </w:p>
        </w:tc>
        <w:tc>
          <w:tcPr>
            <w:tcW w:w="441" w:type="dxa"/>
          </w:tcPr>
          <w:p w14:paraId="58EFFDCE">
            <w:pPr>
              <w:pStyle w:val="17"/>
              <w:spacing w:before="0" w:beforeAutospacing="0" w:after="0" w:afterAutospacing="0"/>
              <w:jc w:val="both"/>
              <w:rPr>
                <w:rFonts w:asciiTheme="majorBidi" w:hAnsiTheme="majorBidi" w:cstheme="majorBidi"/>
                <w:b/>
                <w:bCs/>
              </w:rPr>
            </w:pPr>
          </w:p>
        </w:tc>
        <w:tc>
          <w:tcPr>
            <w:tcW w:w="477" w:type="dxa"/>
          </w:tcPr>
          <w:p w14:paraId="09E8B649">
            <w:pPr>
              <w:pStyle w:val="17"/>
              <w:spacing w:before="0" w:beforeAutospacing="0" w:after="0" w:afterAutospacing="0"/>
              <w:jc w:val="both"/>
              <w:rPr>
                <w:rFonts w:asciiTheme="majorBidi" w:hAnsiTheme="majorBidi" w:cstheme="majorBidi"/>
                <w:b/>
                <w:bCs/>
              </w:rPr>
            </w:pPr>
          </w:p>
        </w:tc>
        <w:tc>
          <w:tcPr>
            <w:tcW w:w="523" w:type="dxa"/>
          </w:tcPr>
          <w:p w14:paraId="3FA5B7F5">
            <w:pPr>
              <w:pStyle w:val="17"/>
              <w:spacing w:before="0" w:beforeAutospacing="0" w:after="0" w:afterAutospacing="0"/>
              <w:jc w:val="both"/>
              <w:rPr>
                <w:rFonts w:asciiTheme="majorBidi" w:hAnsiTheme="majorBidi" w:cstheme="majorBidi"/>
                <w:b/>
                <w:bCs/>
              </w:rPr>
            </w:pPr>
          </w:p>
        </w:tc>
      </w:tr>
      <w:tr w14:paraId="0465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E98B3BE">
            <w:pPr>
              <w:pStyle w:val="17"/>
              <w:spacing w:before="0" w:beforeAutospacing="0" w:after="0" w:afterAutospacing="0"/>
              <w:jc w:val="both"/>
              <w:rPr>
                <w:rFonts w:asciiTheme="majorBidi" w:hAnsiTheme="majorBidi" w:cstheme="majorBidi"/>
              </w:rPr>
            </w:pPr>
            <w:r>
              <w:rPr>
                <w:rFonts w:asciiTheme="majorBidi" w:hAnsiTheme="majorBidi" w:cstheme="majorBidi"/>
              </w:rPr>
              <w:t>30</w:t>
            </w:r>
          </w:p>
        </w:tc>
        <w:tc>
          <w:tcPr>
            <w:tcW w:w="6330" w:type="dxa"/>
          </w:tcPr>
          <w:p w14:paraId="33344269">
            <w:pPr>
              <w:pStyle w:val="17"/>
              <w:spacing w:before="0" w:beforeAutospacing="0"/>
              <w:rPr>
                <w:rFonts w:asciiTheme="majorBidi" w:hAnsiTheme="majorBidi" w:cstheme="majorBidi"/>
              </w:rPr>
            </w:pPr>
            <w:r>
              <w:rPr>
                <w:rFonts w:asciiTheme="majorBidi" w:hAnsiTheme="majorBidi" w:cstheme="majorBidi"/>
              </w:rPr>
              <w:t>Students are allowed to bring irrelevant materials in examination room.</w:t>
            </w:r>
          </w:p>
        </w:tc>
        <w:tc>
          <w:tcPr>
            <w:tcW w:w="523" w:type="dxa"/>
          </w:tcPr>
          <w:p w14:paraId="76E48D6F">
            <w:pPr>
              <w:pStyle w:val="17"/>
              <w:spacing w:before="0" w:beforeAutospacing="0" w:after="0" w:afterAutospacing="0"/>
              <w:jc w:val="both"/>
              <w:rPr>
                <w:rFonts w:asciiTheme="majorBidi" w:hAnsiTheme="majorBidi" w:cstheme="majorBidi"/>
                <w:b/>
                <w:bCs/>
              </w:rPr>
            </w:pPr>
          </w:p>
        </w:tc>
        <w:tc>
          <w:tcPr>
            <w:tcW w:w="441" w:type="dxa"/>
          </w:tcPr>
          <w:p w14:paraId="3912CC9E">
            <w:pPr>
              <w:pStyle w:val="17"/>
              <w:spacing w:before="0" w:beforeAutospacing="0" w:after="0" w:afterAutospacing="0"/>
              <w:jc w:val="both"/>
              <w:rPr>
                <w:rFonts w:asciiTheme="majorBidi" w:hAnsiTheme="majorBidi" w:cstheme="majorBidi"/>
                <w:b/>
                <w:bCs/>
              </w:rPr>
            </w:pPr>
          </w:p>
        </w:tc>
        <w:tc>
          <w:tcPr>
            <w:tcW w:w="441" w:type="dxa"/>
          </w:tcPr>
          <w:p w14:paraId="21409574">
            <w:pPr>
              <w:pStyle w:val="17"/>
              <w:spacing w:before="0" w:beforeAutospacing="0" w:after="0" w:afterAutospacing="0"/>
              <w:jc w:val="both"/>
              <w:rPr>
                <w:rFonts w:asciiTheme="majorBidi" w:hAnsiTheme="majorBidi" w:cstheme="majorBidi"/>
                <w:b/>
                <w:bCs/>
              </w:rPr>
            </w:pPr>
          </w:p>
        </w:tc>
        <w:tc>
          <w:tcPr>
            <w:tcW w:w="477" w:type="dxa"/>
          </w:tcPr>
          <w:p w14:paraId="45B244A1">
            <w:pPr>
              <w:pStyle w:val="17"/>
              <w:spacing w:before="0" w:beforeAutospacing="0" w:after="0" w:afterAutospacing="0"/>
              <w:jc w:val="both"/>
              <w:rPr>
                <w:rFonts w:asciiTheme="majorBidi" w:hAnsiTheme="majorBidi" w:cstheme="majorBidi"/>
                <w:b/>
                <w:bCs/>
              </w:rPr>
            </w:pPr>
          </w:p>
        </w:tc>
        <w:tc>
          <w:tcPr>
            <w:tcW w:w="523" w:type="dxa"/>
          </w:tcPr>
          <w:p w14:paraId="62FFA4E2">
            <w:pPr>
              <w:pStyle w:val="17"/>
              <w:spacing w:before="0" w:beforeAutospacing="0" w:after="0" w:afterAutospacing="0"/>
              <w:jc w:val="both"/>
              <w:rPr>
                <w:rFonts w:asciiTheme="majorBidi" w:hAnsiTheme="majorBidi" w:cstheme="majorBidi"/>
                <w:b/>
                <w:bCs/>
              </w:rPr>
            </w:pPr>
          </w:p>
        </w:tc>
      </w:tr>
      <w:tr w14:paraId="0D2C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24C529B">
            <w:pPr>
              <w:pStyle w:val="17"/>
              <w:spacing w:before="0" w:beforeAutospacing="0" w:after="0" w:afterAutospacing="0"/>
              <w:jc w:val="both"/>
              <w:rPr>
                <w:rFonts w:asciiTheme="majorBidi" w:hAnsiTheme="majorBidi" w:cstheme="majorBidi"/>
              </w:rPr>
            </w:pPr>
            <w:r>
              <w:rPr>
                <w:rFonts w:asciiTheme="majorBidi" w:hAnsiTheme="majorBidi" w:cstheme="majorBidi"/>
              </w:rPr>
              <w:t>31</w:t>
            </w:r>
          </w:p>
        </w:tc>
        <w:tc>
          <w:tcPr>
            <w:tcW w:w="6330" w:type="dxa"/>
          </w:tcPr>
          <w:p w14:paraId="0509C9B2">
            <w:pPr>
              <w:pStyle w:val="17"/>
              <w:rPr>
                <w:rFonts w:asciiTheme="majorBidi" w:hAnsiTheme="majorBidi" w:cstheme="majorBidi"/>
              </w:rPr>
            </w:pPr>
            <w:r>
              <w:rPr>
                <w:rFonts w:asciiTheme="majorBidi" w:hAnsiTheme="majorBidi" w:cstheme="majorBidi"/>
              </w:rPr>
              <w:t>The school has put in place strong policies on examination malpractice</w:t>
            </w:r>
          </w:p>
        </w:tc>
        <w:tc>
          <w:tcPr>
            <w:tcW w:w="523" w:type="dxa"/>
          </w:tcPr>
          <w:p w14:paraId="638B6CC8">
            <w:pPr>
              <w:pStyle w:val="17"/>
              <w:spacing w:before="0" w:beforeAutospacing="0" w:after="0" w:afterAutospacing="0"/>
              <w:jc w:val="both"/>
              <w:rPr>
                <w:rFonts w:asciiTheme="majorBidi" w:hAnsiTheme="majorBidi" w:cstheme="majorBidi"/>
                <w:b/>
                <w:bCs/>
              </w:rPr>
            </w:pPr>
          </w:p>
        </w:tc>
        <w:tc>
          <w:tcPr>
            <w:tcW w:w="441" w:type="dxa"/>
          </w:tcPr>
          <w:p w14:paraId="76D91A8E">
            <w:pPr>
              <w:pStyle w:val="17"/>
              <w:spacing w:before="0" w:beforeAutospacing="0" w:after="0" w:afterAutospacing="0"/>
              <w:jc w:val="both"/>
              <w:rPr>
                <w:rFonts w:asciiTheme="majorBidi" w:hAnsiTheme="majorBidi" w:cstheme="majorBidi"/>
                <w:b/>
                <w:bCs/>
              </w:rPr>
            </w:pPr>
          </w:p>
        </w:tc>
        <w:tc>
          <w:tcPr>
            <w:tcW w:w="441" w:type="dxa"/>
          </w:tcPr>
          <w:p w14:paraId="01DCBAFE">
            <w:pPr>
              <w:pStyle w:val="17"/>
              <w:spacing w:before="0" w:beforeAutospacing="0" w:after="0" w:afterAutospacing="0"/>
              <w:jc w:val="both"/>
              <w:rPr>
                <w:rFonts w:asciiTheme="majorBidi" w:hAnsiTheme="majorBidi" w:cstheme="majorBidi"/>
                <w:b/>
                <w:bCs/>
              </w:rPr>
            </w:pPr>
          </w:p>
        </w:tc>
        <w:tc>
          <w:tcPr>
            <w:tcW w:w="477" w:type="dxa"/>
          </w:tcPr>
          <w:p w14:paraId="0BFE4A10">
            <w:pPr>
              <w:pStyle w:val="17"/>
              <w:spacing w:before="0" w:beforeAutospacing="0" w:after="0" w:afterAutospacing="0"/>
              <w:jc w:val="both"/>
              <w:rPr>
                <w:rFonts w:asciiTheme="majorBidi" w:hAnsiTheme="majorBidi" w:cstheme="majorBidi"/>
                <w:b/>
                <w:bCs/>
              </w:rPr>
            </w:pPr>
          </w:p>
        </w:tc>
        <w:tc>
          <w:tcPr>
            <w:tcW w:w="523" w:type="dxa"/>
          </w:tcPr>
          <w:p w14:paraId="356C0C9A">
            <w:pPr>
              <w:pStyle w:val="17"/>
              <w:spacing w:before="0" w:beforeAutospacing="0" w:after="0" w:afterAutospacing="0"/>
              <w:jc w:val="both"/>
              <w:rPr>
                <w:rFonts w:asciiTheme="majorBidi" w:hAnsiTheme="majorBidi" w:cstheme="majorBidi"/>
                <w:b/>
                <w:bCs/>
              </w:rPr>
            </w:pPr>
          </w:p>
        </w:tc>
      </w:tr>
      <w:tr w14:paraId="39B2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3542500">
            <w:pPr>
              <w:pStyle w:val="17"/>
              <w:spacing w:before="0" w:beforeAutospacing="0" w:after="0" w:afterAutospacing="0"/>
              <w:jc w:val="both"/>
              <w:rPr>
                <w:rFonts w:asciiTheme="majorBidi" w:hAnsiTheme="majorBidi" w:cstheme="majorBidi"/>
              </w:rPr>
            </w:pPr>
            <w:r>
              <w:rPr>
                <w:rFonts w:asciiTheme="majorBidi" w:hAnsiTheme="majorBidi" w:cstheme="majorBidi"/>
              </w:rPr>
              <w:t>32</w:t>
            </w:r>
          </w:p>
        </w:tc>
        <w:tc>
          <w:tcPr>
            <w:tcW w:w="6330" w:type="dxa"/>
          </w:tcPr>
          <w:p w14:paraId="7E1C6E20">
            <w:pPr>
              <w:pStyle w:val="17"/>
              <w:rPr>
                <w:rFonts w:asciiTheme="majorBidi" w:hAnsiTheme="majorBidi" w:cstheme="majorBidi"/>
              </w:rPr>
            </w:pPr>
            <w:r>
              <w:rPr>
                <w:rFonts w:asciiTheme="majorBidi" w:hAnsiTheme="majorBidi" w:cstheme="majorBidi"/>
              </w:rPr>
              <w:t>The school Administration does not follow the examination malpractice policies.</w:t>
            </w:r>
          </w:p>
        </w:tc>
        <w:tc>
          <w:tcPr>
            <w:tcW w:w="523" w:type="dxa"/>
          </w:tcPr>
          <w:p w14:paraId="23B9CF04">
            <w:pPr>
              <w:pStyle w:val="17"/>
              <w:spacing w:before="0" w:beforeAutospacing="0" w:after="0" w:afterAutospacing="0"/>
              <w:jc w:val="both"/>
              <w:rPr>
                <w:rFonts w:asciiTheme="majorBidi" w:hAnsiTheme="majorBidi" w:cstheme="majorBidi"/>
                <w:b/>
                <w:bCs/>
              </w:rPr>
            </w:pPr>
          </w:p>
        </w:tc>
        <w:tc>
          <w:tcPr>
            <w:tcW w:w="441" w:type="dxa"/>
          </w:tcPr>
          <w:p w14:paraId="2A479D01">
            <w:pPr>
              <w:pStyle w:val="17"/>
              <w:spacing w:before="0" w:beforeAutospacing="0" w:after="0" w:afterAutospacing="0"/>
              <w:jc w:val="both"/>
              <w:rPr>
                <w:rFonts w:asciiTheme="majorBidi" w:hAnsiTheme="majorBidi" w:cstheme="majorBidi"/>
                <w:b/>
                <w:bCs/>
              </w:rPr>
            </w:pPr>
          </w:p>
        </w:tc>
        <w:tc>
          <w:tcPr>
            <w:tcW w:w="441" w:type="dxa"/>
          </w:tcPr>
          <w:p w14:paraId="185EECF5">
            <w:pPr>
              <w:pStyle w:val="17"/>
              <w:spacing w:before="0" w:beforeAutospacing="0" w:after="0" w:afterAutospacing="0"/>
              <w:jc w:val="both"/>
              <w:rPr>
                <w:rFonts w:asciiTheme="majorBidi" w:hAnsiTheme="majorBidi" w:cstheme="majorBidi"/>
                <w:b/>
                <w:bCs/>
              </w:rPr>
            </w:pPr>
          </w:p>
        </w:tc>
        <w:tc>
          <w:tcPr>
            <w:tcW w:w="477" w:type="dxa"/>
          </w:tcPr>
          <w:p w14:paraId="0CB53252">
            <w:pPr>
              <w:pStyle w:val="17"/>
              <w:spacing w:before="0" w:beforeAutospacing="0" w:after="0" w:afterAutospacing="0"/>
              <w:jc w:val="both"/>
              <w:rPr>
                <w:rFonts w:asciiTheme="majorBidi" w:hAnsiTheme="majorBidi" w:cstheme="majorBidi"/>
                <w:b/>
                <w:bCs/>
              </w:rPr>
            </w:pPr>
          </w:p>
        </w:tc>
        <w:tc>
          <w:tcPr>
            <w:tcW w:w="523" w:type="dxa"/>
          </w:tcPr>
          <w:p w14:paraId="1E5839ED">
            <w:pPr>
              <w:pStyle w:val="17"/>
              <w:spacing w:before="0" w:beforeAutospacing="0" w:after="0" w:afterAutospacing="0"/>
              <w:jc w:val="both"/>
              <w:rPr>
                <w:rFonts w:asciiTheme="majorBidi" w:hAnsiTheme="majorBidi" w:cstheme="majorBidi"/>
                <w:b/>
                <w:bCs/>
              </w:rPr>
            </w:pPr>
          </w:p>
        </w:tc>
      </w:tr>
      <w:tr w14:paraId="7E2F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041940B">
            <w:pPr>
              <w:pStyle w:val="17"/>
              <w:spacing w:before="0" w:beforeAutospacing="0" w:after="0" w:afterAutospacing="0"/>
              <w:jc w:val="both"/>
              <w:rPr>
                <w:rFonts w:asciiTheme="majorBidi" w:hAnsiTheme="majorBidi" w:cstheme="majorBidi"/>
              </w:rPr>
            </w:pPr>
            <w:r>
              <w:rPr>
                <w:rFonts w:asciiTheme="majorBidi" w:hAnsiTheme="majorBidi" w:cstheme="majorBidi"/>
              </w:rPr>
              <w:t>33</w:t>
            </w:r>
          </w:p>
        </w:tc>
        <w:tc>
          <w:tcPr>
            <w:tcW w:w="6330" w:type="dxa"/>
          </w:tcPr>
          <w:p w14:paraId="0ED9226C">
            <w:pPr>
              <w:pStyle w:val="17"/>
              <w:rPr>
                <w:rFonts w:asciiTheme="majorBidi" w:hAnsiTheme="majorBidi" w:cstheme="majorBidi"/>
              </w:rPr>
            </w:pPr>
            <w:r>
              <w:rPr>
                <w:rFonts w:asciiTheme="majorBidi" w:hAnsiTheme="majorBidi" w:cstheme="majorBidi"/>
              </w:rPr>
              <w:t>Students receive substantial help on an individual assignment without the teacher’s permission.</w:t>
            </w:r>
          </w:p>
        </w:tc>
        <w:tc>
          <w:tcPr>
            <w:tcW w:w="523" w:type="dxa"/>
          </w:tcPr>
          <w:p w14:paraId="3B0A3418">
            <w:pPr>
              <w:pStyle w:val="17"/>
              <w:spacing w:before="0" w:beforeAutospacing="0" w:after="0" w:afterAutospacing="0"/>
              <w:jc w:val="both"/>
              <w:rPr>
                <w:rFonts w:asciiTheme="majorBidi" w:hAnsiTheme="majorBidi" w:cstheme="majorBidi"/>
                <w:b/>
                <w:bCs/>
              </w:rPr>
            </w:pPr>
          </w:p>
        </w:tc>
        <w:tc>
          <w:tcPr>
            <w:tcW w:w="441" w:type="dxa"/>
          </w:tcPr>
          <w:p w14:paraId="117D52AA">
            <w:pPr>
              <w:pStyle w:val="17"/>
              <w:spacing w:before="0" w:beforeAutospacing="0" w:after="0" w:afterAutospacing="0"/>
              <w:jc w:val="both"/>
              <w:rPr>
                <w:rFonts w:asciiTheme="majorBidi" w:hAnsiTheme="majorBidi" w:cstheme="majorBidi"/>
                <w:b/>
                <w:bCs/>
              </w:rPr>
            </w:pPr>
          </w:p>
        </w:tc>
        <w:tc>
          <w:tcPr>
            <w:tcW w:w="441" w:type="dxa"/>
          </w:tcPr>
          <w:p w14:paraId="0FD90459">
            <w:pPr>
              <w:pStyle w:val="17"/>
              <w:spacing w:before="0" w:beforeAutospacing="0" w:after="0" w:afterAutospacing="0"/>
              <w:jc w:val="both"/>
              <w:rPr>
                <w:rFonts w:asciiTheme="majorBidi" w:hAnsiTheme="majorBidi" w:cstheme="majorBidi"/>
                <w:b/>
                <w:bCs/>
              </w:rPr>
            </w:pPr>
          </w:p>
        </w:tc>
        <w:tc>
          <w:tcPr>
            <w:tcW w:w="477" w:type="dxa"/>
          </w:tcPr>
          <w:p w14:paraId="138893D7">
            <w:pPr>
              <w:pStyle w:val="17"/>
              <w:spacing w:before="0" w:beforeAutospacing="0" w:after="0" w:afterAutospacing="0"/>
              <w:jc w:val="both"/>
              <w:rPr>
                <w:rFonts w:asciiTheme="majorBidi" w:hAnsiTheme="majorBidi" w:cstheme="majorBidi"/>
                <w:b/>
                <w:bCs/>
              </w:rPr>
            </w:pPr>
          </w:p>
        </w:tc>
        <w:tc>
          <w:tcPr>
            <w:tcW w:w="523" w:type="dxa"/>
          </w:tcPr>
          <w:p w14:paraId="799C59D9">
            <w:pPr>
              <w:pStyle w:val="17"/>
              <w:spacing w:before="0" w:beforeAutospacing="0" w:after="0" w:afterAutospacing="0"/>
              <w:jc w:val="both"/>
              <w:rPr>
                <w:rFonts w:asciiTheme="majorBidi" w:hAnsiTheme="majorBidi" w:cstheme="majorBidi"/>
                <w:b/>
                <w:bCs/>
              </w:rPr>
            </w:pPr>
          </w:p>
        </w:tc>
      </w:tr>
      <w:tr w14:paraId="660F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9628456">
            <w:pPr>
              <w:pStyle w:val="17"/>
              <w:spacing w:before="0" w:beforeAutospacing="0" w:after="0" w:afterAutospacing="0"/>
              <w:jc w:val="both"/>
              <w:rPr>
                <w:rFonts w:asciiTheme="majorBidi" w:hAnsiTheme="majorBidi" w:cstheme="majorBidi"/>
              </w:rPr>
            </w:pPr>
            <w:r>
              <w:rPr>
                <w:rFonts w:asciiTheme="majorBidi" w:hAnsiTheme="majorBidi" w:cstheme="majorBidi"/>
              </w:rPr>
              <w:t>34</w:t>
            </w:r>
          </w:p>
        </w:tc>
        <w:tc>
          <w:tcPr>
            <w:tcW w:w="6330" w:type="dxa"/>
          </w:tcPr>
          <w:p w14:paraId="237B8420">
            <w:pPr>
              <w:pStyle w:val="17"/>
              <w:spacing w:before="0" w:beforeAutospacing="0"/>
              <w:rPr>
                <w:rFonts w:asciiTheme="majorBidi" w:hAnsiTheme="majorBidi" w:cstheme="majorBidi"/>
              </w:rPr>
            </w:pPr>
            <w:r>
              <w:rPr>
                <w:rFonts w:asciiTheme="majorBidi" w:hAnsiTheme="majorBidi" w:cstheme="majorBidi"/>
              </w:rPr>
              <w:t>The level of examination cheating is not very high</w:t>
            </w:r>
          </w:p>
        </w:tc>
        <w:tc>
          <w:tcPr>
            <w:tcW w:w="523" w:type="dxa"/>
          </w:tcPr>
          <w:p w14:paraId="548891E5">
            <w:pPr>
              <w:pStyle w:val="17"/>
              <w:spacing w:before="0" w:beforeAutospacing="0" w:after="0" w:afterAutospacing="0"/>
              <w:jc w:val="both"/>
              <w:rPr>
                <w:rFonts w:asciiTheme="majorBidi" w:hAnsiTheme="majorBidi" w:cstheme="majorBidi"/>
                <w:b/>
                <w:bCs/>
              </w:rPr>
            </w:pPr>
          </w:p>
        </w:tc>
        <w:tc>
          <w:tcPr>
            <w:tcW w:w="441" w:type="dxa"/>
          </w:tcPr>
          <w:p w14:paraId="1651E8F8">
            <w:pPr>
              <w:pStyle w:val="17"/>
              <w:spacing w:before="0" w:beforeAutospacing="0" w:after="0" w:afterAutospacing="0"/>
              <w:jc w:val="both"/>
              <w:rPr>
                <w:rFonts w:asciiTheme="majorBidi" w:hAnsiTheme="majorBidi" w:cstheme="majorBidi"/>
                <w:b/>
                <w:bCs/>
              </w:rPr>
            </w:pPr>
          </w:p>
        </w:tc>
        <w:tc>
          <w:tcPr>
            <w:tcW w:w="441" w:type="dxa"/>
          </w:tcPr>
          <w:p w14:paraId="5F631F59">
            <w:pPr>
              <w:pStyle w:val="17"/>
              <w:spacing w:before="0" w:beforeAutospacing="0" w:after="0" w:afterAutospacing="0"/>
              <w:jc w:val="both"/>
              <w:rPr>
                <w:rFonts w:asciiTheme="majorBidi" w:hAnsiTheme="majorBidi" w:cstheme="majorBidi"/>
                <w:b/>
                <w:bCs/>
              </w:rPr>
            </w:pPr>
          </w:p>
        </w:tc>
        <w:tc>
          <w:tcPr>
            <w:tcW w:w="477" w:type="dxa"/>
          </w:tcPr>
          <w:p w14:paraId="78B68E71">
            <w:pPr>
              <w:pStyle w:val="17"/>
              <w:spacing w:before="0" w:beforeAutospacing="0" w:after="0" w:afterAutospacing="0"/>
              <w:jc w:val="both"/>
              <w:rPr>
                <w:rFonts w:asciiTheme="majorBidi" w:hAnsiTheme="majorBidi" w:cstheme="majorBidi"/>
                <w:b/>
                <w:bCs/>
              </w:rPr>
            </w:pPr>
          </w:p>
        </w:tc>
        <w:tc>
          <w:tcPr>
            <w:tcW w:w="523" w:type="dxa"/>
          </w:tcPr>
          <w:p w14:paraId="0E838196">
            <w:pPr>
              <w:pStyle w:val="17"/>
              <w:spacing w:before="0" w:beforeAutospacing="0" w:after="0" w:afterAutospacing="0"/>
              <w:jc w:val="both"/>
              <w:rPr>
                <w:rFonts w:asciiTheme="majorBidi" w:hAnsiTheme="majorBidi" w:cstheme="majorBidi"/>
                <w:b/>
                <w:bCs/>
              </w:rPr>
            </w:pPr>
          </w:p>
        </w:tc>
      </w:tr>
      <w:tr w14:paraId="52AA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983A501">
            <w:pPr>
              <w:pStyle w:val="17"/>
              <w:spacing w:before="0" w:beforeAutospacing="0" w:after="0" w:afterAutospacing="0"/>
              <w:jc w:val="both"/>
              <w:rPr>
                <w:rFonts w:asciiTheme="majorBidi" w:hAnsiTheme="majorBidi" w:cstheme="majorBidi"/>
              </w:rPr>
            </w:pPr>
            <w:r>
              <w:rPr>
                <w:rFonts w:asciiTheme="majorBidi" w:hAnsiTheme="majorBidi" w:cstheme="majorBidi"/>
              </w:rPr>
              <w:t>35</w:t>
            </w:r>
          </w:p>
        </w:tc>
        <w:tc>
          <w:tcPr>
            <w:tcW w:w="6330" w:type="dxa"/>
          </w:tcPr>
          <w:p w14:paraId="7A5E17B6">
            <w:pPr>
              <w:pStyle w:val="17"/>
              <w:rPr>
                <w:rFonts w:asciiTheme="majorBidi" w:hAnsiTheme="majorBidi" w:cstheme="majorBidi"/>
              </w:rPr>
            </w:pPr>
            <w:r>
              <w:rPr>
                <w:rFonts w:asciiTheme="majorBidi" w:hAnsiTheme="majorBidi" w:cstheme="majorBidi"/>
              </w:rPr>
              <w:t>The punishment for engaging in examination malpractices is very tough.</w:t>
            </w:r>
          </w:p>
        </w:tc>
        <w:tc>
          <w:tcPr>
            <w:tcW w:w="523" w:type="dxa"/>
          </w:tcPr>
          <w:p w14:paraId="06C0A718">
            <w:pPr>
              <w:pStyle w:val="17"/>
              <w:spacing w:before="0" w:beforeAutospacing="0" w:after="0" w:afterAutospacing="0"/>
              <w:jc w:val="both"/>
              <w:rPr>
                <w:rFonts w:asciiTheme="majorBidi" w:hAnsiTheme="majorBidi" w:cstheme="majorBidi"/>
                <w:b/>
                <w:bCs/>
              </w:rPr>
            </w:pPr>
          </w:p>
        </w:tc>
        <w:tc>
          <w:tcPr>
            <w:tcW w:w="441" w:type="dxa"/>
          </w:tcPr>
          <w:p w14:paraId="27D6EE81">
            <w:pPr>
              <w:pStyle w:val="17"/>
              <w:spacing w:before="0" w:beforeAutospacing="0" w:after="0" w:afterAutospacing="0"/>
              <w:jc w:val="both"/>
              <w:rPr>
                <w:rFonts w:asciiTheme="majorBidi" w:hAnsiTheme="majorBidi" w:cstheme="majorBidi"/>
                <w:b/>
                <w:bCs/>
              </w:rPr>
            </w:pPr>
          </w:p>
        </w:tc>
        <w:tc>
          <w:tcPr>
            <w:tcW w:w="441" w:type="dxa"/>
          </w:tcPr>
          <w:p w14:paraId="7B8899D6">
            <w:pPr>
              <w:pStyle w:val="17"/>
              <w:spacing w:before="0" w:beforeAutospacing="0" w:after="0" w:afterAutospacing="0"/>
              <w:jc w:val="both"/>
              <w:rPr>
                <w:rFonts w:asciiTheme="majorBidi" w:hAnsiTheme="majorBidi" w:cstheme="majorBidi"/>
                <w:b/>
                <w:bCs/>
              </w:rPr>
            </w:pPr>
          </w:p>
        </w:tc>
        <w:tc>
          <w:tcPr>
            <w:tcW w:w="477" w:type="dxa"/>
          </w:tcPr>
          <w:p w14:paraId="428291D1">
            <w:pPr>
              <w:pStyle w:val="17"/>
              <w:spacing w:before="0" w:beforeAutospacing="0" w:after="0" w:afterAutospacing="0"/>
              <w:jc w:val="both"/>
              <w:rPr>
                <w:rFonts w:asciiTheme="majorBidi" w:hAnsiTheme="majorBidi" w:cstheme="majorBidi"/>
                <w:b/>
                <w:bCs/>
              </w:rPr>
            </w:pPr>
          </w:p>
        </w:tc>
        <w:tc>
          <w:tcPr>
            <w:tcW w:w="523" w:type="dxa"/>
          </w:tcPr>
          <w:p w14:paraId="2620C822">
            <w:pPr>
              <w:pStyle w:val="17"/>
              <w:spacing w:before="0" w:beforeAutospacing="0" w:after="0" w:afterAutospacing="0"/>
              <w:jc w:val="both"/>
              <w:rPr>
                <w:rFonts w:asciiTheme="majorBidi" w:hAnsiTheme="majorBidi" w:cstheme="majorBidi"/>
                <w:b/>
                <w:bCs/>
              </w:rPr>
            </w:pPr>
          </w:p>
        </w:tc>
      </w:tr>
      <w:tr w14:paraId="4C79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2D39F09">
            <w:pPr>
              <w:pStyle w:val="17"/>
              <w:spacing w:before="0" w:beforeAutospacing="0" w:after="0" w:afterAutospacing="0"/>
              <w:jc w:val="both"/>
              <w:rPr>
                <w:rFonts w:asciiTheme="majorBidi" w:hAnsiTheme="majorBidi" w:cstheme="majorBidi"/>
              </w:rPr>
            </w:pPr>
            <w:r>
              <w:rPr>
                <w:rFonts w:asciiTheme="majorBidi" w:hAnsiTheme="majorBidi" w:cstheme="majorBidi"/>
              </w:rPr>
              <w:t>36</w:t>
            </w:r>
          </w:p>
        </w:tc>
        <w:tc>
          <w:tcPr>
            <w:tcW w:w="6330" w:type="dxa"/>
          </w:tcPr>
          <w:p w14:paraId="3B890A6A">
            <w:pPr>
              <w:pStyle w:val="17"/>
              <w:rPr>
                <w:rFonts w:asciiTheme="majorBidi" w:hAnsiTheme="majorBidi" w:cstheme="majorBidi"/>
              </w:rPr>
            </w:pPr>
            <w:r>
              <w:rPr>
                <w:rFonts w:asciiTheme="majorBidi" w:hAnsiTheme="majorBidi" w:cstheme="majorBidi"/>
              </w:rPr>
              <w:t>Students would completely disapprove if they found others engaging in examination malpractices.</w:t>
            </w:r>
          </w:p>
        </w:tc>
        <w:tc>
          <w:tcPr>
            <w:tcW w:w="523" w:type="dxa"/>
          </w:tcPr>
          <w:p w14:paraId="13615EF3">
            <w:pPr>
              <w:pStyle w:val="17"/>
              <w:spacing w:before="0" w:beforeAutospacing="0" w:after="0" w:afterAutospacing="0"/>
              <w:jc w:val="both"/>
              <w:rPr>
                <w:rFonts w:asciiTheme="majorBidi" w:hAnsiTheme="majorBidi" w:cstheme="majorBidi"/>
                <w:b/>
                <w:bCs/>
              </w:rPr>
            </w:pPr>
          </w:p>
        </w:tc>
        <w:tc>
          <w:tcPr>
            <w:tcW w:w="441" w:type="dxa"/>
          </w:tcPr>
          <w:p w14:paraId="19844CF9">
            <w:pPr>
              <w:pStyle w:val="17"/>
              <w:spacing w:before="0" w:beforeAutospacing="0" w:after="0" w:afterAutospacing="0"/>
              <w:jc w:val="both"/>
              <w:rPr>
                <w:rFonts w:asciiTheme="majorBidi" w:hAnsiTheme="majorBidi" w:cstheme="majorBidi"/>
                <w:b/>
                <w:bCs/>
              </w:rPr>
            </w:pPr>
          </w:p>
        </w:tc>
        <w:tc>
          <w:tcPr>
            <w:tcW w:w="441" w:type="dxa"/>
          </w:tcPr>
          <w:p w14:paraId="0389A4E2">
            <w:pPr>
              <w:pStyle w:val="17"/>
              <w:spacing w:before="0" w:beforeAutospacing="0" w:after="0" w:afterAutospacing="0"/>
              <w:jc w:val="both"/>
              <w:rPr>
                <w:rFonts w:asciiTheme="majorBidi" w:hAnsiTheme="majorBidi" w:cstheme="majorBidi"/>
                <w:b/>
                <w:bCs/>
              </w:rPr>
            </w:pPr>
          </w:p>
        </w:tc>
        <w:tc>
          <w:tcPr>
            <w:tcW w:w="477" w:type="dxa"/>
          </w:tcPr>
          <w:p w14:paraId="52871CF6">
            <w:pPr>
              <w:pStyle w:val="17"/>
              <w:spacing w:before="0" w:beforeAutospacing="0" w:after="0" w:afterAutospacing="0"/>
              <w:jc w:val="both"/>
              <w:rPr>
                <w:rFonts w:asciiTheme="majorBidi" w:hAnsiTheme="majorBidi" w:cstheme="majorBidi"/>
                <w:b/>
                <w:bCs/>
              </w:rPr>
            </w:pPr>
          </w:p>
        </w:tc>
        <w:tc>
          <w:tcPr>
            <w:tcW w:w="523" w:type="dxa"/>
          </w:tcPr>
          <w:p w14:paraId="246EDF50">
            <w:pPr>
              <w:pStyle w:val="17"/>
              <w:spacing w:before="0" w:beforeAutospacing="0" w:after="0" w:afterAutospacing="0"/>
              <w:jc w:val="both"/>
              <w:rPr>
                <w:rFonts w:asciiTheme="majorBidi" w:hAnsiTheme="majorBidi" w:cstheme="majorBidi"/>
                <w:b/>
                <w:bCs/>
              </w:rPr>
            </w:pPr>
          </w:p>
        </w:tc>
      </w:tr>
    </w:tbl>
    <w:p w14:paraId="75E0902B">
      <w:pPr>
        <w:pStyle w:val="50"/>
        <w:spacing w:before="240"/>
        <w:jc w:val="both"/>
        <w:rPr>
          <w:rFonts w:asciiTheme="majorBidi" w:hAnsiTheme="majorBidi" w:cstheme="majorBidi"/>
          <w:b/>
          <w:bCs/>
          <w:color w:val="auto"/>
        </w:rPr>
      </w:pPr>
      <w:r>
        <w:rPr>
          <w:rFonts w:asciiTheme="majorBidi" w:hAnsiTheme="majorBidi" w:cstheme="majorBidi"/>
          <w:b/>
          <w:bCs/>
          <w:color w:val="auto"/>
        </w:rPr>
        <w:t>Thank you for your time and cooperation.</w:t>
      </w:r>
    </w:p>
    <w:p w14:paraId="47999AB0">
      <w:pPr>
        <w:pStyle w:val="50"/>
        <w:spacing w:before="240"/>
        <w:jc w:val="both"/>
        <w:rPr>
          <w:rFonts w:asciiTheme="majorBidi" w:hAnsiTheme="majorBidi" w:cstheme="majorBidi"/>
          <w:b/>
          <w:bCs/>
          <w:color w:val="auto"/>
        </w:rPr>
      </w:pPr>
    </w:p>
    <w:p w14:paraId="450F5471">
      <w:pPr>
        <w:pStyle w:val="50"/>
        <w:spacing w:before="240"/>
        <w:jc w:val="both"/>
        <w:rPr>
          <w:rFonts w:asciiTheme="majorBidi" w:hAnsiTheme="majorBidi" w:cstheme="majorBidi"/>
          <w:b/>
          <w:bCs/>
          <w:color w:val="auto"/>
        </w:rPr>
      </w:pPr>
    </w:p>
    <w:p w14:paraId="6AD036DD">
      <w:pPr>
        <w:pStyle w:val="50"/>
        <w:spacing w:before="240"/>
        <w:jc w:val="both"/>
        <w:rPr>
          <w:rFonts w:asciiTheme="majorBidi" w:hAnsiTheme="majorBidi" w:cstheme="majorBidi"/>
          <w:b/>
          <w:bCs/>
          <w:color w:val="auto"/>
        </w:rPr>
      </w:pPr>
    </w:p>
    <w:p w14:paraId="50D5AFD3">
      <w:pPr>
        <w:pStyle w:val="50"/>
        <w:spacing w:before="240"/>
        <w:jc w:val="both"/>
        <w:rPr>
          <w:rFonts w:asciiTheme="majorBidi" w:hAnsiTheme="majorBidi" w:cstheme="majorBidi"/>
          <w:b/>
          <w:bCs/>
          <w:color w:val="auto"/>
        </w:rPr>
      </w:pPr>
    </w:p>
    <w:p w14:paraId="30C70F17">
      <w:pPr>
        <w:pStyle w:val="50"/>
        <w:spacing w:before="240"/>
        <w:jc w:val="both"/>
        <w:rPr>
          <w:rFonts w:asciiTheme="majorBidi" w:hAnsiTheme="majorBidi" w:cstheme="majorBidi"/>
          <w:b/>
          <w:bCs/>
          <w:color w:val="auto"/>
        </w:rPr>
      </w:pPr>
    </w:p>
    <w:p w14:paraId="5F9AAC3C">
      <w:pPr>
        <w:pStyle w:val="2"/>
        <w:spacing w:before="0" w:after="240" w:line="240" w:lineRule="auto"/>
        <w:rPr>
          <w:rFonts w:asciiTheme="majorBidi" w:hAnsiTheme="majorBidi"/>
          <w:color w:val="auto"/>
          <w:sz w:val="24"/>
          <w:szCs w:val="24"/>
        </w:rPr>
      </w:pPr>
      <w:bookmarkStart w:id="296" w:name="_Toc194822702"/>
      <w:r>
        <w:rPr>
          <w:rFonts w:asciiTheme="majorBidi" w:hAnsiTheme="majorBidi"/>
          <w:color w:val="auto"/>
          <w:sz w:val="24"/>
          <w:szCs w:val="24"/>
        </w:rPr>
        <w:t>APPENDIX II: QUESTIONNAIRE FOR STUDENTS</w:t>
      </w:r>
      <w:bookmarkEnd w:id="296"/>
    </w:p>
    <w:p w14:paraId="4BCE738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This questionnaire is for collecting information on the same. The information to be collected from you is purely meant for research work and will be treated with utmost confidentiality. Kindly read the statements carefully and provide honest and correct answers. Please do not write your name or that of your school on this questionnaire. Please tick [√] where appropriate.</w:t>
      </w:r>
    </w:p>
    <w:p w14:paraId="4A33EECB">
      <w:pPr>
        <w:pStyle w:val="50"/>
        <w:spacing w:line="360" w:lineRule="auto"/>
        <w:jc w:val="both"/>
        <w:rPr>
          <w:rFonts w:asciiTheme="majorBidi" w:hAnsiTheme="majorBidi" w:cstheme="majorBidi"/>
          <w:color w:val="auto"/>
        </w:rPr>
      </w:pPr>
      <w:r>
        <w:rPr>
          <w:rFonts w:asciiTheme="majorBidi" w:hAnsiTheme="majorBidi" w:cstheme="majorBidi"/>
          <w:b/>
          <w:bCs/>
          <w:color w:val="auto"/>
        </w:rPr>
        <w:t xml:space="preserve">Section A Background Information </w:t>
      </w:r>
    </w:p>
    <w:p w14:paraId="455CC447">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 xml:space="preserve">Gender: </w:t>
      </w:r>
      <w:r>
        <w:rPr>
          <w:rFonts w:asciiTheme="majorBidi" w:hAnsiTheme="majorBidi" w:cstheme="majorBidi"/>
          <w:color w:val="auto"/>
        </w:rPr>
        <w:tab/>
      </w:r>
      <w:r>
        <w:rPr>
          <w:rFonts w:asciiTheme="majorBidi" w:hAnsiTheme="majorBidi" w:cstheme="majorBidi"/>
          <w:color w:val="auto"/>
        </w:rPr>
        <w:t xml:space="preserve">Male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Female [ ]</w:t>
      </w:r>
    </w:p>
    <w:p w14:paraId="12E2AC2A">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Which form are you?   Form 4 [ ]</w:t>
      </w:r>
      <w:r>
        <w:rPr>
          <w:rFonts w:asciiTheme="majorBidi" w:hAnsiTheme="majorBidi" w:cstheme="majorBidi"/>
          <w:color w:val="auto"/>
        </w:rPr>
        <w:tab/>
      </w:r>
      <w:r>
        <w:rPr>
          <w:rFonts w:asciiTheme="majorBidi" w:hAnsiTheme="majorBidi" w:cstheme="majorBidi"/>
          <w:color w:val="auto"/>
        </w:rPr>
        <w:t>Form 3 [ ]</w:t>
      </w:r>
      <w:r>
        <w:rPr>
          <w:rFonts w:asciiTheme="majorBidi" w:hAnsiTheme="majorBidi" w:cstheme="majorBidi"/>
          <w:color w:val="auto"/>
        </w:rPr>
        <w:tab/>
      </w:r>
      <w:r>
        <w:rPr>
          <w:rFonts w:asciiTheme="majorBidi" w:hAnsiTheme="majorBidi" w:cstheme="majorBidi"/>
          <w:color w:val="auto"/>
        </w:rPr>
        <w:t xml:space="preserve">Form 2 [ ] </w:t>
      </w:r>
      <w:r>
        <w:rPr>
          <w:rFonts w:asciiTheme="majorBidi" w:hAnsiTheme="majorBidi" w:cstheme="majorBidi"/>
          <w:color w:val="auto"/>
        </w:rPr>
        <w:tab/>
      </w:r>
      <w:r>
        <w:rPr>
          <w:rFonts w:asciiTheme="majorBidi" w:hAnsiTheme="majorBidi" w:cstheme="majorBidi"/>
          <w:color w:val="auto"/>
        </w:rPr>
        <w:t>Form 1 [ ]</w:t>
      </w:r>
    </w:p>
    <w:p w14:paraId="1CF38EF7">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 xml:space="preserve">What is your age? </w:t>
      </w:r>
    </w:p>
    <w:p w14:paraId="46C06D0D">
      <w:pPr>
        <w:pStyle w:val="50"/>
        <w:spacing w:line="276" w:lineRule="auto"/>
        <w:ind w:left="720"/>
        <w:jc w:val="both"/>
        <w:rPr>
          <w:rFonts w:asciiTheme="majorBidi" w:hAnsiTheme="majorBidi" w:cstheme="majorBidi"/>
          <w:color w:val="auto"/>
        </w:rPr>
      </w:pPr>
      <w:r>
        <w:rPr>
          <w:rFonts w:asciiTheme="majorBidi" w:hAnsiTheme="majorBidi" w:cstheme="majorBidi"/>
          <w:color w:val="auto"/>
        </w:rPr>
        <w:t>Below 12 years [ ]   12 – 14 [ ]   15 – 17 [ ]    18 – 20 [ ]    Above 20 Years  [ ]</w:t>
      </w:r>
    </w:p>
    <w:p w14:paraId="5F2464F6">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 xml:space="preserve">What is the category of your school? </w:t>
      </w:r>
    </w:p>
    <w:p w14:paraId="12421806">
      <w:pPr>
        <w:pStyle w:val="50"/>
        <w:spacing w:after="240"/>
        <w:ind w:left="720"/>
        <w:jc w:val="both"/>
        <w:rPr>
          <w:rFonts w:asciiTheme="majorBidi" w:hAnsiTheme="majorBidi" w:cstheme="majorBidi"/>
          <w:color w:val="auto"/>
        </w:rPr>
      </w:pPr>
      <w:r>
        <w:rPr>
          <w:rFonts w:asciiTheme="majorBidi" w:hAnsiTheme="majorBidi" w:cstheme="majorBidi"/>
          <w:color w:val="auto"/>
        </w:rPr>
        <w:t>Boys boarding [ ] Boys day [ ] Girls boarding [ ] Girls day [ ] Mixed boarding [ ] Mixed day [ ]</w:t>
      </w:r>
    </w:p>
    <w:p w14:paraId="0CA04BD1">
      <w:pPr>
        <w:pStyle w:val="17"/>
        <w:spacing w:after="0" w:afterAutospacing="0"/>
        <w:jc w:val="both"/>
        <w:rPr>
          <w:rFonts w:asciiTheme="majorBidi" w:hAnsiTheme="majorBidi" w:cstheme="majorBidi"/>
          <w:b/>
          <w:bCs/>
        </w:rPr>
      </w:pPr>
      <w:r>
        <w:rPr>
          <w:rFonts w:asciiTheme="majorBidi" w:hAnsiTheme="majorBidi" w:cstheme="majorBidi"/>
          <w:b/>
          <w:bCs/>
        </w:rPr>
        <w:t xml:space="preserve">Section B: </w:t>
      </w:r>
    </w:p>
    <w:p w14:paraId="7C8935CA">
      <w:pPr>
        <w:pStyle w:val="17"/>
        <w:numPr>
          <w:ilvl w:val="0"/>
          <w:numId w:val="29"/>
        </w:numPr>
        <w:spacing w:before="0" w:beforeAutospacing="0" w:after="240" w:afterAutospacing="0"/>
        <w:jc w:val="both"/>
        <w:rPr>
          <w:rFonts w:asciiTheme="majorBidi" w:hAnsiTheme="majorBidi" w:cstheme="majorBidi"/>
        </w:rPr>
      </w:pPr>
      <w:r>
        <w:rPr>
          <w:rFonts w:asciiTheme="majorBidi" w:hAnsiTheme="majorBidi" w:cstheme="majorBidi"/>
        </w:rPr>
        <w:t>Please tick as appropriate the extent to which you agree or disagree</w:t>
      </w:r>
      <w:r>
        <w:rPr>
          <w:rFonts w:asciiTheme="majorBidi" w:hAnsiTheme="majorBidi" w:cstheme="majorBidi"/>
        </w:rPr>
        <w:br w:type="textWrapping"/>
      </w:r>
      <w:r>
        <w:rPr>
          <w:rFonts w:asciiTheme="majorBidi" w:hAnsiTheme="majorBidi" w:cstheme="majorBidi"/>
        </w:rPr>
        <w:t>to the following statements using appropriate scale from: l=Strongly Disagree (SD)</w:t>
      </w:r>
      <w:r>
        <w:rPr>
          <w:rFonts w:asciiTheme="majorBidi" w:hAnsiTheme="majorBidi" w:cstheme="majorBidi"/>
        </w:rPr>
        <w:br w:type="textWrapping"/>
      </w:r>
      <w:r>
        <w:rPr>
          <w:rFonts w:asciiTheme="majorBidi" w:hAnsiTheme="majorBidi" w:cstheme="majorBidi"/>
        </w:rPr>
        <w:t>2=Disagree (D); 3= Neither Agree nor Disagree (N) 4=Agree (A); 5=Strongly Agree (SA)</w:t>
      </w:r>
    </w:p>
    <w:tbl>
      <w:tblPr>
        <w:tblStyle w:val="20"/>
        <w:tblW w:w="9445"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6330"/>
        <w:gridCol w:w="523"/>
        <w:gridCol w:w="441"/>
        <w:gridCol w:w="441"/>
        <w:gridCol w:w="477"/>
        <w:gridCol w:w="523"/>
      </w:tblGrid>
      <w:tr w14:paraId="425B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710" w:type="dxa"/>
          </w:tcPr>
          <w:p w14:paraId="36E16E4F">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SNO </w:t>
            </w:r>
          </w:p>
        </w:tc>
        <w:tc>
          <w:tcPr>
            <w:tcW w:w="6330" w:type="dxa"/>
          </w:tcPr>
          <w:p w14:paraId="0151A425">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Statements </w:t>
            </w:r>
          </w:p>
        </w:tc>
        <w:tc>
          <w:tcPr>
            <w:tcW w:w="523" w:type="dxa"/>
          </w:tcPr>
          <w:p w14:paraId="3412D1F2">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SD </w:t>
            </w:r>
          </w:p>
        </w:tc>
        <w:tc>
          <w:tcPr>
            <w:tcW w:w="441" w:type="dxa"/>
          </w:tcPr>
          <w:p w14:paraId="510CF4BA">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D </w:t>
            </w:r>
          </w:p>
        </w:tc>
        <w:tc>
          <w:tcPr>
            <w:tcW w:w="441" w:type="dxa"/>
          </w:tcPr>
          <w:p w14:paraId="7915514E">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N </w:t>
            </w:r>
          </w:p>
        </w:tc>
        <w:tc>
          <w:tcPr>
            <w:tcW w:w="477" w:type="dxa"/>
          </w:tcPr>
          <w:p w14:paraId="41DD1BAA">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A </w:t>
            </w:r>
          </w:p>
        </w:tc>
        <w:tc>
          <w:tcPr>
            <w:tcW w:w="523" w:type="dxa"/>
          </w:tcPr>
          <w:p w14:paraId="5A7B2C30">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SA </w:t>
            </w:r>
          </w:p>
        </w:tc>
      </w:tr>
      <w:tr w14:paraId="6702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9699E02">
            <w:pPr>
              <w:pStyle w:val="17"/>
              <w:spacing w:before="0" w:beforeAutospacing="0" w:after="0" w:afterAutospacing="0"/>
              <w:jc w:val="both"/>
              <w:rPr>
                <w:rFonts w:asciiTheme="majorBidi" w:hAnsiTheme="majorBidi" w:cstheme="majorBidi"/>
              </w:rPr>
            </w:pPr>
          </w:p>
        </w:tc>
        <w:tc>
          <w:tcPr>
            <w:tcW w:w="6330" w:type="dxa"/>
          </w:tcPr>
          <w:p w14:paraId="23DF8A8B">
            <w:pPr>
              <w:pStyle w:val="17"/>
              <w:spacing w:before="0" w:beforeAutospacing="0"/>
              <w:rPr>
                <w:rFonts w:asciiTheme="majorBidi" w:hAnsiTheme="majorBidi" w:cstheme="majorBidi"/>
                <w:b/>
                <w:bCs/>
              </w:rPr>
            </w:pPr>
            <w:r>
              <w:rPr>
                <w:rFonts w:asciiTheme="majorBidi" w:hAnsiTheme="majorBidi" w:cstheme="majorBidi"/>
                <w:b/>
                <w:bCs/>
              </w:rPr>
              <w:t xml:space="preserve">Peer Pressure in Academic integrity and examination malpractices </w:t>
            </w:r>
          </w:p>
        </w:tc>
        <w:tc>
          <w:tcPr>
            <w:tcW w:w="523" w:type="dxa"/>
          </w:tcPr>
          <w:p w14:paraId="51D2CBD7">
            <w:pPr>
              <w:pStyle w:val="17"/>
              <w:spacing w:before="0" w:beforeAutospacing="0" w:after="0" w:afterAutospacing="0"/>
              <w:jc w:val="both"/>
              <w:rPr>
                <w:rFonts w:asciiTheme="majorBidi" w:hAnsiTheme="majorBidi" w:cstheme="majorBidi"/>
                <w:b/>
                <w:bCs/>
              </w:rPr>
            </w:pPr>
          </w:p>
        </w:tc>
        <w:tc>
          <w:tcPr>
            <w:tcW w:w="441" w:type="dxa"/>
          </w:tcPr>
          <w:p w14:paraId="1EE2CCAD">
            <w:pPr>
              <w:pStyle w:val="17"/>
              <w:spacing w:before="0" w:beforeAutospacing="0" w:after="0" w:afterAutospacing="0"/>
              <w:jc w:val="both"/>
              <w:rPr>
                <w:rFonts w:asciiTheme="majorBidi" w:hAnsiTheme="majorBidi" w:cstheme="majorBidi"/>
                <w:b/>
                <w:bCs/>
              </w:rPr>
            </w:pPr>
          </w:p>
        </w:tc>
        <w:tc>
          <w:tcPr>
            <w:tcW w:w="441" w:type="dxa"/>
          </w:tcPr>
          <w:p w14:paraId="7DD2CCF4">
            <w:pPr>
              <w:pStyle w:val="17"/>
              <w:spacing w:before="0" w:beforeAutospacing="0" w:after="0" w:afterAutospacing="0"/>
              <w:jc w:val="both"/>
              <w:rPr>
                <w:rFonts w:asciiTheme="majorBidi" w:hAnsiTheme="majorBidi" w:cstheme="majorBidi"/>
                <w:b/>
                <w:bCs/>
              </w:rPr>
            </w:pPr>
          </w:p>
        </w:tc>
        <w:tc>
          <w:tcPr>
            <w:tcW w:w="477" w:type="dxa"/>
          </w:tcPr>
          <w:p w14:paraId="1B0DB11E">
            <w:pPr>
              <w:pStyle w:val="17"/>
              <w:spacing w:before="0" w:beforeAutospacing="0" w:after="0" w:afterAutospacing="0"/>
              <w:jc w:val="both"/>
              <w:rPr>
                <w:rFonts w:asciiTheme="majorBidi" w:hAnsiTheme="majorBidi" w:cstheme="majorBidi"/>
                <w:b/>
                <w:bCs/>
              </w:rPr>
            </w:pPr>
          </w:p>
        </w:tc>
        <w:tc>
          <w:tcPr>
            <w:tcW w:w="523" w:type="dxa"/>
          </w:tcPr>
          <w:p w14:paraId="775084C4">
            <w:pPr>
              <w:pStyle w:val="17"/>
              <w:spacing w:before="0" w:beforeAutospacing="0" w:after="0" w:afterAutospacing="0"/>
              <w:jc w:val="both"/>
              <w:rPr>
                <w:rFonts w:asciiTheme="majorBidi" w:hAnsiTheme="majorBidi" w:cstheme="majorBidi"/>
                <w:b/>
                <w:bCs/>
              </w:rPr>
            </w:pPr>
          </w:p>
        </w:tc>
      </w:tr>
      <w:tr w14:paraId="4FBF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E803786">
            <w:pPr>
              <w:pStyle w:val="17"/>
              <w:spacing w:before="0" w:beforeAutospacing="0" w:after="0" w:afterAutospacing="0"/>
              <w:jc w:val="both"/>
              <w:rPr>
                <w:rFonts w:asciiTheme="majorBidi" w:hAnsiTheme="majorBidi" w:cstheme="majorBidi"/>
              </w:rPr>
            </w:pPr>
            <w:r>
              <w:rPr>
                <w:rFonts w:asciiTheme="majorBidi" w:hAnsiTheme="majorBidi" w:cstheme="majorBidi"/>
              </w:rPr>
              <w:t>1</w:t>
            </w:r>
          </w:p>
        </w:tc>
        <w:tc>
          <w:tcPr>
            <w:tcW w:w="6330" w:type="dxa"/>
          </w:tcPr>
          <w:p w14:paraId="77DF06D0">
            <w:pPr>
              <w:pStyle w:val="17"/>
              <w:spacing w:before="0" w:beforeAutospacing="0" w:after="0" w:afterAutospacing="0"/>
              <w:rPr>
                <w:rFonts w:asciiTheme="majorBidi" w:hAnsiTheme="majorBidi" w:cstheme="majorBidi"/>
              </w:rPr>
            </w:pPr>
            <w:r>
              <w:rPr>
                <w:rFonts w:asciiTheme="majorBidi" w:hAnsiTheme="majorBidi" w:cstheme="majorBidi"/>
              </w:rPr>
              <w:t>Peer influence contributes to academic misconduct, including cheating in exams.</w:t>
            </w:r>
          </w:p>
        </w:tc>
        <w:tc>
          <w:tcPr>
            <w:tcW w:w="523" w:type="dxa"/>
          </w:tcPr>
          <w:p w14:paraId="4215526C">
            <w:pPr>
              <w:pStyle w:val="17"/>
              <w:spacing w:before="0" w:beforeAutospacing="0" w:after="0" w:afterAutospacing="0"/>
              <w:jc w:val="both"/>
              <w:rPr>
                <w:rFonts w:asciiTheme="majorBidi" w:hAnsiTheme="majorBidi" w:cstheme="majorBidi"/>
                <w:b/>
                <w:bCs/>
              </w:rPr>
            </w:pPr>
          </w:p>
        </w:tc>
        <w:tc>
          <w:tcPr>
            <w:tcW w:w="441" w:type="dxa"/>
          </w:tcPr>
          <w:p w14:paraId="4707D2A0">
            <w:pPr>
              <w:pStyle w:val="17"/>
              <w:spacing w:before="0" w:beforeAutospacing="0" w:after="0" w:afterAutospacing="0"/>
              <w:jc w:val="both"/>
              <w:rPr>
                <w:rFonts w:asciiTheme="majorBidi" w:hAnsiTheme="majorBidi" w:cstheme="majorBidi"/>
                <w:b/>
                <w:bCs/>
              </w:rPr>
            </w:pPr>
          </w:p>
        </w:tc>
        <w:tc>
          <w:tcPr>
            <w:tcW w:w="441" w:type="dxa"/>
          </w:tcPr>
          <w:p w14:paraId="1228125A">
            <w:pPr>
              <w:pStyle w:val="17"/>
              <w:spacing w:before="0" w:beforeAutospacing="0" w:after="0" w:afterAutospacing="0"/>
              <w:jc w:val="both"/>
              <w:rPr>
                <w:rFonts w:asciiTheme="majorBidi" w:hAnsiTheme="majorBidi" w:cstheme="majorBidi"/>
                <w:b/>
                <w:bCs/>
              </w:rPr>
            </w:pPr>
          </w:p>
        </w:tc>
        <w:tc>
          <w:tcPr>
            <w:tcW w:w="477" w:type="dxa"/>
          </w:tcPr>
          <w:p w14:paraId="2654D273">
            <w:pPr>
              <w:pStyle w:val="17"/>
              <w:spacing w:before="0" w:beforeAutospacing="0" w:after="0" w:afterAutospacing="0"/>
              <w:jc w:val="both"/>
              <w:rPr>
                <w:rFonts w:asciiTheme="majorBidi" w:hAnsiTheme="majorBidi" w:cstheme="majorBidi"/>
                <w:b/>
                <w:bCs/>
              </w:rPr>
            </w:pPr>
          </w:p>
        </w:tc>
        <w:tc>
          <w:tcPr>
            <w:tcW w:w="523" w:type="dxa"/>
          </w:tcPr>
          <w:p w14:paraId="1F1A51C2">
            <w:pPr>
              <w:pStyle w:val="17"/>
              <w:spacing w:before="0" w:beforeAutospacing="0" w:after="0" w:afterAutospacing="0"/>
              <w:jc w:val="both"/>
              <w:rPr>
                <w:rFonts w:asciiTheme="majorBidi" w:hAnsiTheme="majorBidi" w:cstheme="majorBidi"/>
                <w:b/>
                <w:bCs/>
              </w:rPr>
            </w:pPr>
          </w:p>
        </w:tc>
      </w:tr>
      <w:tr w14:paraId="659E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10" w:type="dxa"/>
          </w:tcPr>
          <w:p w14:paraId="7620C027">
            <w:pPr>
              <w:pStyle w:val="17"/>
              <w:spacing w:before="0" w:beforeAutospacing="0" w:after="0" w:afterAutospacing="0"/>
              <w:jc w:val="both"/>
              <w:rPr>
                <w:rFonts w:asciiTheme="majorBidi" w:hAnsiTheme="majorBidi" w:cstheme="majorBidi"/>
              </w:rPr>
            </w:pPr>
            <w:r>
              <w:rPr>
                <w:rFonts w:asciiTheme="majorBidi" w:hAnsiTheme="majorBidi" w:cstheme="majorBidi"/>
              </w:rPr>
              <w:t>2</w:t>
            </w:r>
          </w:p>
        </w:tc>
        <w:tc>
          <w:tcPr>
            <w:tcW w:w="6330" w:type="dxa"/>
          </w:tcPr>
          <w:p w14:paraId="6178942C">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used to deter cheating in exams.</w:t>
            </w:r>
          </w:p>
        </w:tc>
        <w:tc>
          <w:tcPr>
            <w:tcW w:w="523" w:type="dxa"/>
          </w:tcPr>
          <w:p w14:paraId="69D94D80">
            <w:pPr>
              <w:pStyle w:val="17"/>
              <w:spacing w:before="0" w:beforeAutospacing="0" w:after="0" w:afterAutospacing="0"/>
              <w:jc w:val="both"/>
              <w:rPr>
                <w:rFonts w:asciiTheme="majorBidi" w:hAnsiTheme="majorBidi" w:cstheme="majorBidi"/>
                <w:b/>
                <w:bCs/>
              </w:rPr>
            </w:pPr>
          </w:p>
        </w:tc>
        <w:tc>
          <w:tcPr>
            <w:tcW w:w="441" w:type="dxa"/>
          </w:tcPr>
          <w:p w14:paraId="507F0875">
            <w:pPr>
              <w:pStyle w:val="17"/>
              <w:spacing w:before="0" w:beforeAutospacing="0" w:after="0" w:afterAutospacing="0"/>
              <w:jc w:val="both"/>
              <w:rPr>
                <w:rFonts w:asciiTheme="majorBidi" w:hAnsiTheme="majorBidi" w:cstheme="majorBidi"/>
                <w:b/>
                <w:bCs/>
              </w:rPr>
            </w:pPr>
          </w:p>
        </w:tc>
        <w:tc>
          <w:tcPr>
            <w:tcW w:w="441" w:type="dxa"/>
          </w:tcPr>
          <w:p w14:paraId="34744BFE">
            <w:pPr>
              <w:pStyle w:val="17"/>
              <w:spacing w:before="0" w:beforeAutospacing="0" w:after="0" w:afterAutospacing="0"/>
              <w:jc w:val="both"/>
              <w:rPr>
                <w:rFonts w:asciiTheme="majorBidi" w:hAnsiTheme="majorBidi" w:cstheme="majorBidi"/>
                <w:b/>
                <w:bCs/>
              </w:rPr>
            </w:pPr>
          </w:p>
        </w:tc>
        <w:tc>
          <w:tcPr>
            <w:tcW w:w="477" w:type="dxa"/>
          </w:tcPr>
          <w:p w14:paraId="6C9420CB">
            <w:pPr>
              <w:pStyle w:val="17"/>
              <w:spacing w:before="0" w:beforeAutospacing="0" w:after="0" w:afterAutospacing="0"/>
              <w:jc w:val="both"/>
              <w:rPr>
                <w:rFonts w:asciiTheme="majorBidi" w:hAnsiTheme="majorBidi" w:cstheme="majorBidi"/>
                <w:b/>
                <w:bCs/>
              </w:rPr>
            </w:pPr>
          </w:p>
        </w:tc>
        <w:tc>
          <w:tcPr>
            <w:tcW w:w="523" w:type="dxa"/>
          </w:tcPr>
          <w:p w14:paraId="09BAFD91">
            <w:pPr>
              <w:pStyle w:val="17"/>
              <w:spacing w:before="0" w:beforeAutospacing="0" w:after="0" w:afterAutospacing="0"/>
              <w:jc w:val="both"/>
              <w:rPr>
                <w:rFonts w:asciiTheme="majorBidi" w:hAnsiTheme="majorBidi" w:cstheme="majorBidi"/>
                <w:b/>
                <w:bCs/>
              </w:rPr>
            </w:pPr>
          </w:p>
        </w:tc>
      </w:tr>
      <w:tr w14:paraId="45C2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0603CA89">
            <w:pPr>
              <w:pStyle w:val="17"/>
              <w:spacing w:before="0" w:beforeAutospacing="0" w:after="0" w:afterAutospacing="0"/>
              <w:jc w:val="both"/>
              <w:rPr>
                <w:rFonts w:asciiTheme="majorBidi" w:hAnsiTheme="majorBidi" w:cstheme="majorBidi"/>
              </w:rPr>
            </w:pPr>
            <w:r>
              <w:rPr>
                <w:rFonts w:asciiTheme="majorBidi" w:hAnsiTheme="majorBidi" w:cstheme="majorBidi"/>
              </w:rPr>
              <w:t>3</w:t>
            </w:r>
          </w:p>
        </w:tc>
        <w:tc>
          <w:tcPr>
            <w:tcW w:w="6330" w:type="dxa"/>
          </w:tcPr>
          <w:p w14:paraId="5A7D924E">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harnessed to develop intervention strategies on academic integrity.</w:t>
            </w:r>
          </w:p>
        </w:tc>
        <w:tc>
          <w:tcPr>
            <w:tcW w:w="523" w:type="dxa"/>
          </w:tcPr>
          <w:p w14:paraId="1E629E71">
            <w:pPr>
              <w:pStyle w:val="17"/>
              <w:spacing w:before="0" w:beforeAutospacing="0" w:after="0" w:afterAutospacing="0"/>
              <w:jc w:val="both"/>
              <w:rPr>
                <w:rFonts w:asciiTheme="majorBidi" w:hAnsiTheme="majorBidi" w:cstheme="majorBidi"/>
                <w:b/>
                <w:bCs/>
              </w:rPr>
            </w:pPr>
          </w:p>
        </w:tc>
        <w:tc>
          <w:tcPr>
            <w:tcW w:w="441" w:type="dxa"/>
          </w:tcPr>
          <w:p w14:paraId="4865224D">
            <w:pPr>
              <w:pStyle w:val="17"/>
              <w:spacing w:before="0" w:beforeAutospacing="0" w:after="0" w:afterAutospacing="0"/>
              <w:jc w:val="both"/>
              <w:rPr>
                <w:rFonts w:asciiTheme="majorBidi" w:hAnsiTheme="majorBidi" w:cstheme="majorBidi"/>
                <w:b/>
                <w:bCs/>
              </w:rPr>
            </w:pPr>
          </w:p>
        </w:tc>
        <w:tc>
          <w:tcPr>
            <w:tcW w:w="441" w:type="dxa"/>
          </w:tcPr>
          <w:p w14:paraId="6AE1C839">
            <w:pPr>
              <w:pStyle w:val="17"/>
              <w:spacing w:before="0" w:beforeAutospacing="0" w:after="0" w:afterAutospacing="0"/>
              <w:jc w:val="both"/>
              <w:rPr>
                <w:rFonts w:asciiTheme="majorBidi" w:hAnsiTheme="majorBidi" w:cstheme="majorBidi"/>
                <w:b/>
                <w:bCs/>
              </w:rPr>
            </w:pPr>
          </w:p>
        </w:tc>
        <w:tc>
          <w:tcPr>
            <w:tcW w:w="477" w:type="dxa"/>
          </w:tcPr>
          <w:p w14:paraId="72CB3441">
            <w:pPr>
              <w:pStyle w:val="17"/>
              <w:spacing w:before="0" w:beforeAutospacing="0" w:after="0" w:afterAutospacing="0"/>
              <w:jc w:val="both"/>
              <w:rPr>
                <w:rFonts w:asciiTheme="majorBidi" w:hAnsiTheme="majorBidi" w:cstheme="majorBidi"/>
                <w:b/>
                <w:bCs/>
              </w:rPr>
            </w:pPr>
          </w:p>
        </w:tc>
        <w:tc>
          <w:tcPr>
            <w:tcW w:w="523" w:type="dxa"/>
          </w:tcPr>
          <w:p w14:paraId="78A0A40F">
            <w:pPr>
              <w:pStyle w:val="17"/>
              <w:spacing w:before="0" w:beforeAutospacing="0" w:after="0" w:afterAutospacing="0"/>
              <w:jc w:val="both"/>
              <w:rPr>
                <w:rFonts w:asciiTheme="majorBidi" w:hAnsiTheme="majorBidi" w:cstheme="majorBidi"/>
                <w:b/>
                <w:bCs/>
              </w:rPr>
            </w:pPr>
          </w:p>
        </w:tc>
      </w:tr>
      <w:tr w14:paraId="658A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5F9D2FA3">
            <w:pPr>
              <w:pStyle w:val="17"/>
              <w:spacing w:before="0" w:beforeAutospacing="0" w:after="0" w:afterAutospacing="0"/>
              <w:jc w:val="both"/>
              <w:rPr>
                <w:rFonts w:asciiTheme="majorBidi" w:hAnsiTheme="majorBidi" w:cstheme="majorBidi"/>
              </w:rPr>
            </w:pPr>
            <w:r>
              <w:rPr>
                <w:rFonts w:asciiTheme="majorBidi" w:hAnsiTheme="majorBidi" w:cstheme="majorBidi"/>
              </w:rPr>
              <w:t>4</w:t>
            </w:r>
          </w:p>
        </w:tc>
        <w:tc>
          <w:tcPr>
            <w:tcW w:w="6330" w:type="dxa"/>
          </w:tcPr>
          <w:p w14:paraId="2C395C87">
            <w:pPr>
              <w:pStyle w:val="17"/>
              <w:spacing w:before="0" w:beforeAutospacing="0" w:after="0" w:afterAutospacing="0"/>
              <w:rPr>
                <w:rFonts w:asciiTheme="majorBidi" w:hAnsiTheme="majorBidi" w:cstheme="majorBidi"/>
              </w:rPr>
            </w:pPr>
            <w:r>
              <w:rPr>
                <w:rFonts w:asciiTheme="majorBidi" w:hAnsiTheme="majorBidi" w:cstheme="majorBidi"/>
              </w:rPr>
              <w:t>Changes in peer influence can be tracked throughout student's educational journey.</w:t>
            </w:r>
          </w:p>
        </w:tc>
        <w:tc>
          <w:tcPr>
            <w:tcW w:w="523" w:type="dxa"/>
          </w:tcPr>
          <w:p w14:paraId="2F9F787E">
            <w:pPr>
              <w:pStyle w:val="17"/>
              <w:spacing w:before="0" w:beforeAutospacing="0" w:after="0" w:afterAutospacing="0"/>
              <w:jc w:val="both"/>
              <w:rPr>
                <w:rFonts w:asciiTheme="majorBidi" w:hAnsiTheme="majorBidi" w:cstheme="majorBidi"/>
                <w:b/>
                <w:bCs/>
              </w:rPr>
            </w:pPr>
          </w:p>
        </w:tc>
        <w:tc>
          <w:tcPr>
            <w:tcW w:w="441" w:type="dxa"/>
          </w:tcPr>
          <w:p w14:paraId="13DE3E43">
            <w:pPr>
              <w:pStyle w:val="17"/>
              <w:spacing w:before="0" w:beforeAutospacing="0" w:after="0" w:afterAutospacing="0"/>
              <w:jc w:val="both"/>
              <w:rPr>
                <w:rFonts w:asciiTheme="majorBidi" w:hAnsiTheme="majorBidi" w:cstheme="majorBidi"/>
                <w:b/>
                <w:bCs/>
              </w:rPr>
            </w:pPr>
          </w:p>
        </w:tc>
        <w:tc>
          <w:tcPr>
            <w:tcW w:w="441" w:type="dxa"/>
          </w:tcPr>
          <w:p w14:paraId="50074490">
            <w:pPr>
              <w:pStyle w:val="17"/>
              <w:spacing w:before="0" w:beforeAutospacing="0" w:after="0" w:afterAutospacing="0"/>
              <w:jc w:val="both"/>
              <w:rPr>
                <w:rFonts w:asciiTheme="majorBidi" w:hAnsiTheme="majorBidi" w:cstheme="majorBidi"/>
                <w:b/>
                <w:bCs/>
              </w:rPr>
            </w:pPr>
          </w:p>
        </w:tc>
        <w:tc>
          <w:tcPr>
            <w:tcW w:w="477" w:type="dxa"/>
          </w:tcPr>
          <w:p w14:paraId="41DE394E">
            <w:pPr>
              <w:pStyle w:val="17"/>
              <w:spacing w:before="0" w:beforeAutospacing="0" w:after="0" w:afterAutospacing="0"/>
              <w:jc w:val="both"/>
              <w:rPr>
                <w:rFonts w:asciiTheme="majorBidi" w:hAnsiTheme="majorBidi" w:cstheme="majorBidi"/>
                <w:b/>
                <w:bCs/>
              </w:rPr>
            </w:pPr>
          </w:p>
        </w:tc>
        <w:tc>
          <w:tcPr>
            <w:tcW w:w="523" w:type="dxa"/>
          </w:tcPr>
          <w:p w14:paraId="05493BE2">
            <w:pPr>
              <w:pStyle w:val="17"/>
              <w:spacing w:before="0" w:beforeAutospacing="0" w:after="0" w:afterAutospacing="0"/>
              <w:jc w:val="both"/>
              <w:rPr>
                <w:rFonts w:asciiTheme="majorBidi" w:hAnsiTheme="majorBidi" w:cstheme="majorBidi"/>
                <w:b/>
                <w:bCs/>
              </w:rPr>
            </w:pPr>
          </w:p>
        </w:tc>
      </w:tr>
      <w:tr w14:paraId="292B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F742D05">
            <w:pPr>
              <w:pStyle w:val="17"/>
              <w:spacing w:before="0" w:beforeAutospacing="0" w:after="0" w:afterAutospacing="0"/>
              <w:jc w:val="both"/>
              <w:rPr>
                <w:rFonts w:asciiTheme="majorBidi" w:hAnsiTheme="majorBidi" w:cstheme="majorBidi"/>
              </w:rPr>
            </w:pPr>
            <w:r>
              <w:rPr>
                <w:rFonts w:asciiTheme="majorBidi" w:hAnsiTheme="majorBidi" w:cstheme="majorBidi"/>
              </w:rPr>
              <w:t>5</w:t>
            </w:r>
          </w:p>
        </w:tc>
        <w:tc>
          <w:tcPr>
            <w:tcW w:w="6330" w:type="dxa"/>
          </w:tcPr>
          <w:p w14:paraId="46EFD68F">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Students are more likely to cheat when they perceive their peers engaging in similar behaviors without consequences.</w:t>
            </w:r>
          </w:p>
        </w:tc>
        <w:tc>
          <w:tcPr>
            <w:tcW w:w="523" w:type="dxa"/>
          </w:tcPr>
          <w:p w14:paraId="7A06F932">
            <w:pPr>
              <w:pStyle w:val="17"/>
              <w:spacing w:before="0" w:beforeAutospacing="0" w:after="0" w:afterAutospacing="0"/>
              <w:jc w:val="both"/>
              <w:rPr>
                <w:rFonts w:asciiTheme="majorBidi" w:hAnsiTheme="majorBidi" w:cstheme="majorBidi"/>
                <w:b/>
                <w:bCs/>
              </w:rPr>
            </w:pPr>
          </w:p>
        </w:tc>
        <w:tc>
          <w:tcPr>
            <w:tcW w:w="441" w:type="dxa"/>
          </w:tcPr>
          <w:p w14:paraId="7892FDC7">
            <w:pPr>
              <w:pStyle w:val="17"/>
              <w:spacing w:before="0" w:beforeAutospacing="0" w:after="0" w:afterAutospacing="0"/>
              <w:jc w:val="both"/>
              <w:rPr>
                <w:rFonts w:asciiTheme="majorBidi" w:hAnsiTheme="majorBidi" w:cstheme="majorBidi"/>
                <w:b/>
                <w:bCs/>
              </w:rPr>
            </w:pPr>
          </w:p>
        </w:tc>
        <w:tc>
          <w:tcPr>
            <w:tcW w:w="441" w:type="dxa"/>
          </w:tcPr>
          <w:p w14:paraId="3A1EBCFF">
            <w:pPr>
              <w:pStyle w:val="17"/>
              <w:spacing w:before="0" w:beforeAutospacing="0" w:after="0" w:afterAutospacing="0"/>
              <w:jc w:val="both"/>
              <w:rPr>
                <w:rFonts w:asciiTheme="majorBidi" w:hAnsiTheme="majorBidi" w:cstheme="majorBidi"/>
                <w:b/>
                <w:bCs/>
              </w:rPr>
            </w:pPr>
          </w:p>
        </w:tc>
        <w:tc>
          <w:tcPr>
            <w:tcW w:w="477" w:type="dxa"/>
          </w:tcPr>
          <w:p w14:paraId="4845464C">
            <w:pPr>
              <w:pStyle w:val="17"/>
              <w:spacing w:before="0" w:beforeAutospacing="0" w:after="0" w:afterAutospacing="0"/>
              <w:jc w:val="both"/>
              <w:rPr>
                <w:rFonts w:asciiTheme="majorBidi" w:hAnsiTheme="majorBidi" w:cstheme="majorBidi"/>
                <w:b/>
                <w:bCs/>
              </w:rPr>
            </w:pPr>
          </w:p>
        </w:tc>
        <w:tc>
          <w:tcPr>
            <w:tcW w:w="523" w:type="dxa"/>
          </w:tcPr>
          <w:p w14:paraId="24A6AC46">
            <w:pPr>
              <w:pStyle w:val="17"/>
              <w:spacing w:before="0" w:beforeAutospacing="0" w:after="0" w:afterAutospacing="0"/>
              <w:jc w:val="both"/>
              <w:rPr>
                <w:rFonts w:asciiTheme="majorBidi" w:hAnsiTheme="majorBidi" w:cstheme="majorBidi"/>
                <w:b/>
                <w:bCs/>
              </w:rPr>
            </w:pPr>
          </w:p>
        </w:tc>
      </w:tr>
      <w:tr w14:paraId="22EF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10" w:type="dxa"/>
          </w:tcPr>
          <w:p w14:paraId="10189DF8">
            <w:pPr>
              <w:pStyle w:val="17"/>
              <w:spacing w:before="0" w:beforeAutospacing="0" w:after="0" w:afterAutospacing="0"/>
              <w:jc w:val="both"/>
              <w:rPr>
                <w:rFonts w:asciiTheme="majorBidi" w:hAnsiTheme="majorBidi" w:cstheme="majorBidi"/>
              </w:rPr>
            </w:pPr>
          </w:p>
        </w:tc>
        <w:tc>
          <w:tcPr>
            <w:tcW w:w="6330" w:type="dxa"/>
          </w:tcPr>
          <w:p w14:paraId="1B70DF14">
            <w:pPr>
              <w:pStyle w:val="17"/>
              <w:rPr>
                <w:rFonts w:asciiTheme="majorBidi" w:hAnsiTheme="majorBidi" w:cstheme="majorBidi"/>
                <w:b/>
                <w:bCs/>
              </w:rPr>
            </w:pPr>
            <w:r>
              <w:rPr>
                <w:rFonts w:asciiTheme="majorBidi" w:hAnsiTheme="majorBidi" w:cstheme="majorBidi"/>
                <w:b/>
                <w:bCs/>
              </w:rPr>
              <w:t xml:space="preserve">Parents Involvement in academic integrity and examination malpractices </w:t>
            </w:r>
          </w:p>
        </w:tc>
        <w:tc>
          <w:tcPr>
            <w:tcW w:w="523" w:type="dxa"/>
          </w:tcPr>
          <w:p w14:paraId="542ACDA5">
            <w:pPr>
              <w:pStyle w:val="17"/>
              <w:spacing w:before="0" w:beforeAutospacing="0" w:after="0" w:afterAutospacing="0"/>
              <w:jc w:val="both"/>
              <w:rPr>
                <w:rFonts w:asciiTheme="majorBidi" w:hAnsiTheme="majorBidi" w:cstheme="majorBidi"/>
                <w:b/>
                <w:bCs/>
              </w:rPr>
            </w:pPr>
          </w:p>
        </w:tc>
        <w:tc>
          <w:tcPr>
            <w:tcW w:w="441" w:type="dxa"/>
          </w:tcPr>
          <w:p w14:paraId="09200272">
            <w:pPr>
              <w:pStyle w:val="17"/>
              <w:spacing w:before="0" w:beforeAutospacing="0" w:after="0" w:afterAutospacing="0"/>
              <w:jc w:val="both"/>
              <w:rPr>
                <w:rFonts w:asciiTheme="majorBidi" w:hAnsiTheme="majorBidi" w:cstheme="majorBidi"/>
                <w:b/>
                <w:bCs/>
              </w:rPr>
            </w:pPr>
          </w:p>
        </w:tc>
        <w:tc>
          <w:tcPr>
            <w:tcW w:w="441" w:type="dxa"/>
          </w:tcPr>
          <w:p w14:paraId="2C0A782D">
            <w:pPr>
              <w:pStyle w:val="17"/>
              <w:spacing w:before="0" w:beforeAutospacing="0" w:after="0" w:afterAutospacing="0"/>
              <w:jc w:val="both"/>
              <w:rPr>
                <w:rFonts w:asciiTheme="majorBidi" w:hAnsiTheme="majorBidi" w:cstheme="majorBidi"/>
                <w:b/>
                <w:bCs/>
              </w:rPr>
            </w:pPr>
          </w:p>
        </w:tc>
        <w:tc>
          <w:tcPr>
            <w:tcW w:w="477" w:type="dxa"/>
          </w:tcPr>
          <w:p w14:paraId="28B128FF">
            <w:pPr>
              <w:pStyle w:val="17"/>
              <w:spacing w:before="0" w:beforeAutospacing="0" w:after="0" w:afterAutospacing="0"/>
              <w:jc w:val="both"/>
              <w:rPr>
                <w:rFonts w:asciiTheme="majorBidi" w:hAnsiTheme="majorBidi" w:cstheme="majorBidi"/>
                <w:b/>
                <w:bCs/>
              </w:rPr>
            </w:pPr>
          </w:p>
        </w:tc>
        <w:tc>
          <w:tcPr>
            <w:tcW w:w="523" w:type="dxa"/>
          </w:tcPr>
          <w:p w14:paraId="2F7E7F87">
            <w:pPr>
              <w:pStyle w:val="17"/>
              <w:spacing w:before="0" w:beforeAutospacing="0" w:after="0" w:afterAutospacing="0"/>
              <w:jc w:val="both"/>
              <w:rPr>
                <w:rFonts w:asciiTheme="majorBidi" w:hAnsiTheme="majorBidi" w:cstheme="majorBidi"/>
                <w:b/>
                <w:bCs/>
              </w:rPr>
            </w:pPr>
          </w:p>
        </w:tc>
      </w:tr>
      <w:tr w14:paraId="7A98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A3A9912">
            <w:pPr>
              <w:pStyle w:val="17"/>
              <w:spacing w:before="0" w:beforeAutospacing="0" w:after="0" w:afterAutospacing="0"/>
              <w:jc w:val="both"/>
              <w:rPr>
                <w:rFonts w:asciiTheme="majorBidi" w:hAnsiTheme="majorBidi" w:cstheme="majorBidi"/>
              </w:rPr>
            </w:pPr>
            <w:r>
              <w:rPr>
                <w:rFonts w:asciiTheme="majorBidi" w:hAnsiTheme="majorBidi" w:cstheme="majorBidi"/>
              </w:rPr>
              <w:t>6</w:t>
            </w:r>
          </w:p>
        </w:tc>
        <w:tc>
          <w:tcPr>
            <w:tcW w:w="6330" w:type="dxa"/>
          </w:tcPr>
          <w:p w14:paraId="450F3276">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523" w:type="dxa"/>
          </w:tcPr>
          <w:p w14:paraId="730FBA6C">
            <w:pPr>
              <w:pStyle w:val="17"/>
              <w:spacing w:before="0" w:beforeAutospacing="0" w:after="0" w:afterAutospacing="0"/>
              <w:jc w:val="both"/>
              <w:rPr>
                <w:rFonts w:asciiTheme="majorBidi" w:hAnsiTheme="majorBidi" w:cstheme="majorBidi"/>
                <w:b/>
                <w:bCs/>
              </w:rPr>
            </w:pPr>
          </w:p>
        </w:tc>
        <w:tc>
          <w:tcPr>
            <w:tcW w:w="441" w:type="dxa"/>
          </w:tcPr>
          <w:p w14:paraId="3D6FAE1B">
            <w:pPr>
              <w:pStyle w:val="17"/>
              <w:spacing w:before="0" w:beforeAutospacing="0" w:after="0" w:afterAutospacing="0"/>
              <w:jc w:val="both"/>
              <w:rPr>
                <w:rFonts w:asciiTheme="majorBidi" w:hAnsiTheme="majorBidi" w:cstheme="majorBidi"/>
                <w:b/>
                <w:bCs/>
              </w:rPr>
            </w:pPr>
          </w:p>
        </w:tc>
        <w:tc>
          <w:tcPr>
            <w:tcW w:w="441" w:type="dxa"/>
          </w:tcPr>
          <w:p w14:paraId="007718CE">
            <w:pPr>
              <w:pStyle w:val="17"/>
              <w:spacing w:before="0" w:beforeAutospacing="0" w:after="0" w:afterAutospacing="0"/>
              <w:jc w:val="both"/>
              <w:rPr>
                <w:rFonts w:asciiTheme="majorBidi" w:hAnsiTheme="majorBidi" w:cstheme="majorBidi"/>
                <w:b/>
                <w:bCs/>
              </w:rPr>
            </w:pPr>
          </w:p>
        </w:tc>
        <w:tc>
          <w:tcPr>
            <w:tcW w:w="477" w:type="dxa"/>
          </w:tcPr>
          <w:p w14:paraId="73FF45E3">
            <w:pPr>
              <w:pStyle w:val="17"/>
              <w:spacing w:before="0" w:beforeAutospacing="0" w:after="0" w:afterAutospacing="0"/>
              <w:jc w:val="both"/>
              <w:rPr>
                <w:rFonts w:asciiTheme="majorBidi" w:hAnsiTheme="majorBidi" w:cstheme="majorBidi"/>
                <w:b/>
                <w:bCs/>
              </w:rPr>
            </w:pPr>
          </w:p>
        </w:tc>
        <w:tc>
          <w:tcPr>
            <w:tcW w:w="523" w:type="dxa"/>
          </w:tcPr>
          <w:p w14:paraId="2329185E">
            <w:pPr>
              <w:pStyle w:val="17"/>
              <w:spacing w:before="0" w:beforeAutospacing="0" w:after="0" w:afterAutospacing="0"/>
              <w:jc w:val="both"/>
              <w:rPr>
                <w:rFonts w:asciiTheme="majorBidi" w:hAnsiTheme="majorBidi" w:cstheme="majorBidi"/>
                <w:b/>
                <w:bCs/>
              </w:rPr>
            </w:pPr>
          </w:p>
        </w:tc>
      </w:tr>
      <w:tr w14:paraId="4ACC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B4F3F27">
            <w:pPr>
              <w:pStyle w:val="17"/>
              <w:spacing w:before="0" w:beforeAutospacing="0" w:after="0" w:afterAutospacing="0"/>
              <w:jc w:val="both"/>
              <w:rPr>
                <w:rFonts w:asciiTheme="majorBidi" w:hAnsiTheme="majorBidi" w:cstheme="majorBidi"/>
              </w:rPr>
            </w:pPr>
            <w:r>
              <w:rPr>
                <w:rFonts w:asciiTheme="majorBidi" w:hAnsiTheme="majorBidi" w:cstheme="majorBidi"/>
              </w:rPr>
              <w:t>7</w:t>
            </w:r>
          </w:p>
        </w:tc>
        <w:tc>
          <w:tcPr>
            <w:tcW w:w="6330" w:type="dxa"/>
          </w:tcPr>
          <w:p w14:paraId="3A36A44B">
            <w:pPr>
              <w:pStyle w:val="17"/>
              <w:spacing w:before="0" w:beforeAutospacing="0" w:after="0" w:afterAutospacing="0"/>
              <w:rPr>
                <w:rFonts w:asciiTheme="majorBidi" w:hAnsiTheme="majorBidi" w:cstheme="majorBidi"/>
              </w:rPr>
            </w:pPr>
            <w:r>
              <w:rPr>
                <w:rFonts w:asciiTheme="majorBidi" w:hAnsiTheme="majorBidi" w:cstheme="majorBidi"/>
              </w:rPr>
              <w:t>Parents are involved in decision making on exam integrity.</w:t>
            </w:r>
          </w:p>
        </w:tc>
        <w:tc>
          <w:tcPr>
            <w:tcW w:w="523" w:type="dxa"/>
          </w:tcPr>
          <w:p w14:paraId="5D49A504">
            <w:pPr>
              <w:pStyle w:val="17"/>
              <w:spacing w:before="0" w:beforeAutospacing="0" w:after="0" w:afterAutospacing="0"/>
              <w:jc w:val="both"/>
              <w:rPr>
                <w:rFonts w:asciiTheme="majorBidi" w:hAnsiTheme="majorBidi" w:cstheme="majorBidi"/>
                <w:b/>
                <w:bCs/>
              </w:rPr>
            </w:pPr>
          </w:p>
        </w:tc>
        <w:tc>
          <w:tcPr>
            <w:tcW w:w="441" w:type="dxa"/>
          </w:tcPr>
          <w:p w14:paraId="6D4C6723">
            <w:pPr>
              <w:pStyle w:val="17"/>
              <w:spacing w:before="0" w:beforeAutospacing="0" w:after="0" w:afterAutospacing="0"/>
              <w:jc w:val="both"/>
              <w:rPr>
                <w:rFonts w:asciiTheme="majorBidi" w:hAnsiTheme="majorBidi" w:cstheme="majorBidi"/>
                <w:b/>
                <w:bCs/>
              </w:rPr>
            </w:pPr>
          </w:p>
        </w:tc>
        <w:tc>
          <w:tcPr>
            <w:tcW w:w="441" w:type="dxa"/>
          </w:tcPr>
          <w:p w14:paraId="271D9E01">
            <w:pPr>
              <w:pStyle w:val="17"/>
              <w:spacing w:before="0" w:beforeAutospacing="0" w:after="0" w:afterAutospacing="0"/>
              <w:jc w:val="both"/>
              <w:rPr>
                <w:rFonts w:asciiTheme="majorBidi" w:hAnsiTheme="majorBidi" w:cstheme="majorBidi"/>
                <w:b/>
                <w:bCs/>
              </w:rPr>
            </w:pPr>
          </w:p>
        </w:tc>
        <w:tc>
          <w:tcPr>
            <w:tcW w:w="477" w:type="dxa"/>
          </w:tcPr>
          <w:p w14:paraId="3643629B">
            <w:pPr>
              <w:pStyle w:val="17"/>
              <w:spacing w:before="0" w:beforeAutospacing="0" w:after="0" w:afterAutospacing="0"/>
              <w:jc w:val="both"/>
              <w:rPr>
                <w:rFonts w:asciiTheme="majorBidi" w:hAnsiTheme="majorBidi" w:cstheme="majorBidi"/>
                <w:b/>
                <w:bCs/>
              </w:rPr>
            </w:pPr>
          </w:p>
        </w:tc>
        <w:tc>
          <w:tcPr>
            <w:tcW w:w="523" w:type="dxa"/>
          </w:tcPr>
          <w:p w14:paraId="522AB0C5">
            <w:pPr>
              <w:pStyle w:val="17"/>
              <w:spacing w:before="0" w:beforeAutospacing="0" w:after="0" w:afterAutospacing="0"/>
              <w:jc w:val="both"/>
              <w:rPr>
                <w:rFonts w:asciiTheme="majorBidi" w:hAnsiTheme="majorBidi" w:cstheme="majorBidi"/>
                <w:b/>
                <w:bCs/>
              </w:rPr>
            </w:pPr>
          </w:p>
        </w:tc>
      </w:tr>
      <w:tr w14:paraId="198D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BE3D0E3">
            <w:pPr>
              <w:pStyle w:val="17"/>
              <w:spacing w:before="0" w:beforeAutospacing="0" w:after="0" w:afterAutospacing="0"/>
              <w:jc w:val="both"/>
              <w:rPr>
                <w:rFonts w:asciiTheme="majorBidi" w:hAnsiTheme="majorBidi" w:cstheme="majorBidi"/>
              </w:rPr>
            </w:pPr>
            <w:r>
              <w:rPr>
                <w:rFonts w:asciiTheme="majorBidi" w:hAnsiTheme="majorBidi" w:cstheme="majorBidi"/>
              </w:rPr>
              <w:t>8</w:t>
            </w:r>
          </w:p>
        </w:tc>
        <w:tc>
          <w:tcPr>
            <w:tcW w:w="6330" w:type="dxa"/>
          </w:tcPr>
          <w:p w14:paraId="0DD14971">
            <w:pPr>
              <w:pStyle w:val="17"/>
              <w:spacing w:before="0" w:beforeAutospacing="0" w:after="0" w:afterAutospacing="0"/>
              <w:rPr>
                <w:rFonts w:asciiTheme="majorBidi" w:hAnsiTheme="majorBidi" w:cstheme="majorBidi"/>
                <w:b/>
                <w:bCs/>
              </w:rPr>
            </w:pPr>
            <w:r>
              <w:rPr>
                <w:rFonts w:asciiTheme="majorBidi" w:hAnsiTheme="majorBidi" w:cstheme="majorBidi"/>
              </w:rPr>
              <w:t>Family backgrounds and financial situations of students impact their involvement in Exam malpractice.</w:t>
            </w:r>
          </w:p>
        </w:tc>
        <w:tc>
          <w:tcPr>
            <w:tcW w:w="523" w:type="dxa"/>
          </w:tcPr>
          <w:p w14:paraId="30FB37A3">
            <w:pPr>
              <w:pStyle w:val="17"/>
              <w:spacing w:before="0" w:beforeAutospacing="0" w:after="0" w:afterAutospacing="0"/>
              <w:jc w:val="both"/>
              <w:rPr>
                <w:rFonts w:asciiTheme="majorBidi" w:hAnsiTheme="majorBidi" w:cstheme="majorBidi"/>
                <w:b/>
                <w:bCs/>
              </w:rPr>
            </w:pPr>
          </w:p>
        </w:tc>
        <w:tc>
          <w:tcPr>
            <w:tcW w:w="441" w:type="dxa"/>
          </w:tcPr>
          <w:p w14:paraId="30923BE9">
            <w:pPr>
              <w:pStyle w:val="17"/>
              <w:spacing w:before="0" w:beforeAutospacing="0" w:after="0" w:afterAutospacing="0"/>
              <w:jc w:val="both"/>
              <w:rPr>
                <w:rFonts w:asciiTheme="majorBidi" w:hAnsiTheme="majorBidi" w:cstheme="majorBidi"/>
                <w:b/>
                <w:bCs/>
              </w:rPr>
            </w:pPr>
          </w:p>
        </w:tc>
        <w:tc>
          <w:tcPr>
            <w:tcW w:w="441" w:type="dxa"/>
          </w:tcPr>
          <w:p w14:paraId="75112F5C">
            <w:pPr>
              <w:pStyle w:val="17"/>
              <w:spacing w:before="0" w:beforeAutospacing="0" w:after="0" w:afterAutospacing="0"/>
              <w:jc w:val="both"/>
              <w:rPr>
                <w:rFonts w:asciiTheme="majorBidi" w:hAnsiTheme="majorBidi" w:cstheme="majorBidi"/>
                <w:b/>
                <w:bCs/>
              </w:rPr>
            </w:pPr>
          </w:p>
        </w:tc>
        <w:tc>
          <w:tcPr>
            <w:tcW w:w="477" w:type="dxa"/>
          </w:tcPr>
          <w:p w14:paraId="2F52D4D5">
            <w:pPr>
              <w:pStyle w:val="17"/>
              <w:spacing w:before="0" w:beforeAutospacing="0" w:after="0" w:afterAutospacing="0"/>
              <w:jc w:val="both"/>
              <w:rPr>
                <w:rFonts w:asciiTheme="majorBidi" w:hAnsiTheme="majorBidi" w:cstheme="majorBidi"/>
                <w:b/>
                <w:bCs/>
              </w:rPr>
            </w:pPr>
          </w:p>
        </w:tc>
        <w:tc>
          <w:tcPr>
            <w:tcW w:w="523" w:type="dxa"/>
          </w:tcPr>
          <w:p w14:paraId="17BBC553">
            <w:pPr>
              <w:pStyle w:val="17"/>
              <w:spacing w:before="0" w:beforeAutospacing="0" w:after="0" w:afterAutospacing="0"/>
              <w:jc w:val="both"/>
              <w:rPr>
                <w:rFonts w:asciiTheme="majorBidi" w:hAnsiTheme="majorBidi" w:cstheme="majorBidi"/>
                <w:b/>
                <w:bCs/>
              </w:rPr>
            </w:pPr>
          </w:p>
        </w:tc>
      </w:tr>
      <w:tr w14:paraId="030B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710" w:type="dxa"/>
          </w:tcPr>
          <w:p w14:paraId="6E4E5F87">
            <w:pPr>
              <w:pStyle w:val="17"/>
              <w:spacing w:before="0" w:beforeAutospacing="0" w:after="0" w:afterAutospacing="0"/>
              <w:jc w:val="both"/>
              <w:rPr>
                <w:rFonts w:asciiTheme="majorBidi" w:hAnsiTheme="majorBidi" w:cstheme="majorBidi"/>
              </w:rPr>
            </w:pPr>
            <w:r>
              <w:rPr>
                <w:rFonts w:asciiTheme="majorBidi" w:hAnsiTheme="majorBidi" w:cstheme="majorBidi"/>
              </w:rPr>
              <w:t>9</w:t>
            </w:r>
          </w:p>
        </w:tc>
        <w:tc>
          <w:tcPr>
            <w:tcW w:w="6330" w:type="dxa"/>
          </w:tcPr>
          <w:p w14:paraId="4FB39F26">
            <w:pPr>
              <w:pStyle w:val="17"/>
              <w:spacing w:before="0" w:beforeAutospacing="0" w:after="0" w:afterAutospacing="0"/>
              <w:rPr>
                <w:rFonts w:asciiTheme="majorBidi" w:hAnsiTheme="majorBidi" w:cstheme="majorBidi"/>
                <w:b/>
                <w:bCs/>
              </w:rPr>
            </w:pPr>
            <w:r>
              <w:rPr>
                <w:rFonts w:asciiTheme="majorBidi" w:hAnsiTheme="majorBidi" w:cstheme="majorBidi"/>
              </w:rPr>
              <w:t>Parents who instill values of honesty and integrity in their children contribute to a culture of academic honesty.</w:t>
            </w:r>
          </w:p>
        </w:tc>
        <w:tc>
          <w:tcPr>
            <w:tcW w:w="523" w:type="dxa"/>
          </w:tcPr>
          <w:p w14:paraId="38ED5E3B">
            <w:pPr>
              <w:pStyle w:val="17"/>
              <w:spacing w:before="0" w:beforeAutospacing="0" w:after="0" w:afterAutospacing="0"/>
              <w:jc w:val="both"/>
              <w:rPr>
                <w:rFonts w:asciiTheme="majorBidi" w:hAnsiTheme="majorBidi" w:cstheme="majorBidi"/>
                <w:b/>
                <w:bCs/>
              </w:rPr>
            </w:pPr>
          </w:p>
        </w:tc>
        <w:tc>
          <w:tcPr>
            <w:tcW w:w="441" w:type="dxa"/>
          </w:tcPr>
          <w:p w14:paraId="0544C6B8">
            <w:pPr>
              <w:pStyle w:val="17"/>
              <w:spacing w:before="0" w:beforeAutospacing="0" w:after="0" w:afterAutospacing="0"/>
              <w:jc w:val="both"/>
              <w:rPr>
                <w:rFonts w:asciiTheme="majorBidi" w:hAnsiTheme="majorBidi" w:cstheme="majorBidi"/>
                <w:b/>
                <w:bCs/>
              </w:rPr>
            </w:pPr>
          </w:p>
        </w:tc>
        <w:tc>
          <w:tcPr>
            <w:tcW w:w="441" w:type="dxa"/>
          </w:tcPr>
          <w:p w14:paraId="3A8826AF">
            <w:pPr>
              <w:pStyle w:val="17"/>
              <w:spacing w:before="0" w:beforeAutospacing="0" w:after="0" w:afterAutospacing="0"/>
              <w:jc w:val="both"/>
              <w:rPr>
                <w:rFonts w:asciiTheme="majorBidi" w:hAnsiTheme="majorBidi" w:cstheme="majorBidi"/>
                <w:b/>
                <w:bCs/>
              </w:rPr>
            </w:pPr>
          </w:p>
        </w:tc>
        <w:tc>
          <w:tcPr>
            <w:tcW w:w="477" w:type="dxa"/>
          </w:tcPr>
          <w:p w14:paraId="1440D700">
            <w:pPr>
              <w:pStyle w:val="17"/>
              <w:spacing w:before="0" w:beforeAutospacing="0" w:after="0" w:afterAutospacing="0"/>
              <w:jc w:val="both"/>
              <w:rPr>
                <w:rFonts w:asciiTheme="majorBidi" w:hAnsiTheme="majorBidi" w:cstheme="majorBidi"/>
                <w:b/>
                <w:bCs/>
              </w:rPr>
            </w:pPr>
          </w:p>
        </w:tc>
        <w:tc>
          <w:tcPr>
            <w:tcW w:w="523" w:type="dxa"/>
          </w:tcPr>
          <w:p w14:paraId="1684E329">
            <w:pPr>
              <w:pStyle w:val="17"/>
              <w:spacing w:before="0" w:beforeAutospacing="0" w:after="0" w:afterAutospacing="0"/>
              <w:jc w:val="both"/>
              <w:rPr>
                <w:rFonts w:asciiTheme="majorBidi" w:hAnsiTheme="majorBidi" w:cstheme="majorBidi"/>
                <w:b/>
                <w:bCs/>
              </w:rPr>
            </w:pPr>
          </w:p>
        </w:tc>
      </w:tr>
      <w:tr w14:paraId="7529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637AE67C">
            <w:pPr>
              <w:pStyle w:val="17"/>
              <w:spacing w:before="0" w:beforeAutospacing="0" w:after="0" w:afterAutospacing="0"/>
              <w:jc w:val="both"/>
              <w:rPr>
                <w:rFonts w:asciiTheme="majorBidi" w:hAnsiTheme="majorBidi" w:cstheme="majorBidi"/>
              </w:rPr>
            </w:pPr>
          </w:p>
        </w:tc>
        <w:tc>
          <w:tcPr>
            <w:tcW w:w="6330" w:type="dxa"/>
          </w:tcPr>
          <w:p w14:paraId="7CE90BF2">
            <w:pPr>
              <w:pStyle w:val="17"/>
              <w:rPr>
                <w:rFonts w:asciiTheme="majorBidi" w:hAnsiTheme="majorBidi" w:cstheme="majorBidi"/>
                <w:b/>
                <w:bCs/>
              </w:rPr>
            </w:pPr>
            <w:r>
              <w:rPr>
                <w:rFonts w:asciiTheme="majorBidi" w:hAnsiTheme="majorBidi" w:cstheme="majorBidi"/>
                <w:b/>
                <w:bCs/>
              </w:rPr>
              <w:t>Perceived Benefits on academic integrity and examination malpractices</w:t>
            </w:r>
          </w:p>
        </w:tc>
        <w:tc>
          <w:tcPr>
            <w:tcW w:w="523" w:type="dxa"/>
          </w:tcPr>
          <w:p w14:paraId="137C3F26">
            <w:pPr>
              <w:pStyle w:val="17"/>
              <w:spacing w:before="0" w:beforeAutospacing="0" w:after="0" w:afterAutospacing="0"/>
              <w:jc w:val="both"/>
              <w:rPr>
                <w:rFonts w:asciiTheme="majorBidi" w:hAnsiTheme="majorBidi" w:cstheme="majorBidi"/>
                <w:b/>
                <w:bCs/>
              </w:rPr>
            </w:pPr>
          </w:p>
        </w:tc>
        <w:tc>
          <w:tcPr>
            <w:tcW w:w="441" w:type="dxa"/>
          </w:tcPr>
          <w:p w14:paraId="208F4E94">
            <w:pPr>
              <w:pStyle w:val="17"/>
              <w:spacing w:before="0" w:beforeAutospacing="0" w:after="0" w:afterAutospacing="0"/>
              <w:jc w:val="both"/>
              <w:rPr>
                <w:rFonts w:asciiTheme="majorBidi" w:hAnsiTheme="majorBidi" w:cstheme="majorBidi"/>
                <w:b/>
                <w:bCs/>
              </w:rPr>
            </w:pPr>
          </w:p>
        </w:tc>
        <w:tc>
          <w:tcPr>
            <w:tcW w:w="441" w:type="dxa"/>
          </w:tcPr>
          <w:p w14:paraId="34C638F7">
            <w:pPr>
              <w:pStyle w:val="17"/>
              <w:spacing w:before="0" w:beforeAutospacing="0" w:after="0" w:afterAutospacing="0"/>
              <w:jc w:val="both"/>
              <w:rPr>
                <w:rFonts w:asciiTheme="majorBidi" w:hAnsiTheme="majorBidi" w:cstheme="majorBidi"/>
                <w:b/>
                <w:bCs/>
              </w:rPr>
            </w:pPr>
          </w:p>
        </w:tc>
        <w:tc>
          <w:tcPr>
            <w:tcW w:w="477" w:type="dxa"/>
          </w:tcPr>
          <w:p w14:paraId="33843439">
            <w:pPr>
              <w:pStyle w:val="17"/>
              <w:spacing w:before="0" w:beforeAutospacing="0" w:after="0" w:afterAutospacing="0"/>
              <w:jc w:val="both"/>
              <w:rPr>
                <w:rFonts w:asciiTheme="majorBidi" w:hAnsiTheme="majorBidi" w:cstheme="majorBidi"/>
                <w:b/>
                <w:bCs/>
              </w:rPr>
            </w:pPr>
          </w:p>
        </w:tc>
        <w:tc>
          <w:tcPr>
            <w:tcW w:w="523" w:type="dxa"/>
          </w:tcPr>
          <w:p w14:paraId="71D43609">
            <w:pPr>
              <w:pStyle w:val="17"/>
              <w:spacing w:before="0" w:beforeAutospacing="0" w:after="0" w:afterAutospacing="0"/>
              <w:jc w:val="both"/>
              <w:rPr>
                <w:rFonts w:asciiTheme="majorBidi" w:hAnsiTheme="majorBidi" w:cstheme="majorBidi"/>
                <w:b/>
                <w:bCs/>
              </w:rPr>
            </w:pPr>
          </w:p>
        </w:tc>
      </w:tr>
      <w:tr w14:paraId="313B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6594B3E0">
            <w:pPr>
              <w:pStyle w:val="17"/>
              <w:spacing w:before="0" w:beforeAutospacing="0" w:after="0" w:afterAutospacing="0"/>
              <w:jc w:val="both"/>
              <w:rPr>
                <w:rFonts w:asciiTheme="majorBidi" w:hAnsiTheme="majorBidi" w:cstheme="majorBidi"/>
              </w:rPr>
            </w:pPr>
            <w:r>
              <w:rPr>
                <w:rFonts w:asciiTheme="majorBidi" w:hAnsiTheme="majorBidi" w:cstheme="majorBidi"/>
              </w:rPr>
              <w:t>10</w:t>
            </w:r>
          </w:p>
        </w:tc>
        <w:tc>
          <w:tcPr>
            <w:tcW w:w="6330" w:type="dxa"/>
          </w:tcPr>
          <w:p w14:paraId="14C58433">
            <w:pPr>
              <w:pStyle w:val="17"/>
              <w:spacing w:before="0" w:beforeAutospacing="0" w:after="0" w:afterAutospacing="0"/>
              <w:rPr>
                <w:rFonts w:asciiTheme="majorBidi" w:hAnsiTheme="majorBidi" w:cstheme="majorBidi"/>
              </w:rPr>
            </w:pPr>
            <w:r>
              <w:rPr>
                <w:rFonts w:asciiTheme="majorBidi" w:hAnsiTheme="majorBidi" w:cstheme="majorBidi"/>
              </w:rPr>
              <w:t xml:space="preserve">Students perceived benefits of cheating correlate to exam integrity </w:t>
            </w:r>
          </w:p>
        </w:tc>
        <w:tc>
          <w:tcPr>
            <w:tcW w:w="523" w:type="dxa"/>
          </w:tcPr>
          <w:p w14:paraId="786D5A9C">
            <w:pPr>
              <w:pStyle w:val="17"/>
              <w:spacing w:before="0" w:beforeAutospacing="0" w:after="0" w:afterAutospacing="0"/>
              <w:jc w:val="both"/>
              <w:rPr>
                <w:rFonts w:asciiTheme="majorBidi" w:hAnsiTheme="majorBidi" w:cstheme="majorBidi"/>
                <w:b/>
                <w:bCs/>
              </w:rPr>
            </w:pPr>
          </w:p>
        </w:tc>
        <w:tc>
          <w:tcPr>
            <w:tcW w:w="441" w:type="dxa"/>
          </w:tcPr>
          <w:p w14:paraId="163A1AD2">
            <w:pPr>
              <w:pStyle w:val="17"/>
              <w:spacing w:before="0" w:beforeAutospacing="0" w:after="0" w:afterAutospacing="0"/>
              <w:jc w:val="both"/>
              <w:rPr>
                <w:rFonts w:asciiTheme="majorBidi" w:hAnsiTheme="majorBidi" w:cstheme="majorBidi"/>
                <w:b/>
                <w:bCs/>
              </w:rPr>
            </w:pPr>
          </w:p>
        </w:tc>
        <w:tc>
          <w:tcPr>
            <w:tcW w:w="441" w:type="dxa"/>
          </w:tcPr>
          <w:p w14:paraId="4E239F6A">
            <w:pPr>
              <w:pStyle w:val="17"/>
              <w:spacing w:before="0" w:beforeAutospacing="0" w:after="0" w:afterAutospacing="0"/>
              <w:jc w:val="both"/>
              <w:rPr>
                <w:rFonts w:asciiTheme="majorBidi" w:hAnsiTheme="majorBidi" w:cstheme="majorBidi"/>
                <w:b/>
                <w:bCs/>
              </w:rPr>
            </w:pPr>
          </w:p>
        </w:tc>
        <w:tc>
          <w:tcPr>
            <w:tcW w:w="477" w:type="dxa"/>
          </w:tcPr>
          <w:p w14:paraId="47A77708">
            <w:pPr>
              <w:pStyle w:val="17"/>
              <w:spacing w:before="0" w:beforeAutospacing="0" w:after="0" w:afterAutospacing="0"/>
              <w:jc w:val="both"/>
              <w:rPr>
                <w:rFonts w:asciiTheme="majorBidi" w:hAnsiTheme="majorBidi" w:cstheme="majorBidi"/>
                <w:b/>
                <w:bCs/>
              </w:rPr>
            </w:pPr>
          </w:p>
        </w:tc>
        <w:tc>
          <w:tcPr>
            <w:tcW w:w="523" w:type="dxa"/>
          </w:tcPr>
          <w:p w14:paraId="7E8E395B">
            <w:pPr>
              <w:pStyle w:val="17"/>
              <w:spacing w:before="0" w:beforeAutospacing="0" w:after="0" w:afterAutospacing="0"/>
              <w:jc w:val="both"/>
              <w:rPr>
                <w:rFonts w:asciiTheme="majorBidi" w:hAnsiTheme="majorBidi" w:cstheme="majorBidi"/>
                <w:b/>
                <w:bCs/>
              </w:rPr>
            </w:pPr>
          </w:p>
        </w:tc>
      </w:tr>
      <w:tr w14:paraId="12A3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4C3479FB">
            <w:pPr>
              <w:pStyle w:val="17"/>
              <w:spacing w:before="0" w:beforeAutospacing="0" w:after="0" w:afterAutospacing="0"/>
              <w:jc w:val="both"/>
              <w:rPr>
                <w:rFonts w:asciiTheme="majorBidi" w:hAnsiTheme="majorBidi" w:cstheme="majorBidi"/>
              </w:rPr>
            </w:pPr>
            <w:r>
              <w:rPr>
                <w:rFonts w:asciiTheme="majorBidi" w:hAnsiTheme="majorBidi" w:cstheme="majorBidi"/>
              </w:rPr>
              <w:t>11</w:t>
            </w:r>
          </w:p>
        </w:tc>
        <w:tc>
          <w:tcPr>
            <w:tcW w:w="6330" w:type="dxa"/>
          </w:tcPr>
          <w:p w14:paraId="14387325">
            <w:pPr>
              <w:pStyle w:val="17"/>
              <w:spacing w:before="0" w:beforeAutospacing="0" w:after="0" w:afterAutospacing="0"/>
              <w:rPr>
                <w:rFonts w:asciiTheme="majorBidi" w:hAnsiTheme="majorBidi" w:cstheme="majorBidi"/>
              </w:rPr>
            </w:pPr>
            <w:r>
              <w:rPr>
                <w:rFonts w:asciiTheme="majorBidi" w:hAnsiTheme="majorBidi" w:cstheme="majorBidi"/>
              </w:rPr>
              <w:t>Cheating in exams is influenced by Perceived benefits of getting good career courses.</w:t>
            </w:r>
          </w:p>
        </w:tc>
        <w:tc>
          <w:tcPr>
            <w:tcW w:w="523" w:type="dxa"/>
          </w:tcPr>
          <w:p w14:paraId="54A60791">
            <w:pPr>
              <w:pStyle w:val="17"/>
              <w:spacing w:before="0" w:beforeAutospacing="0" w:after="0" w:afterAutospacing="0"/>
              <w:jc w:val="both"/>
              <w:rPr>
                <w:rFonts w:asciiTheme="majorBidi" w:hAnsiTheme="majorBidi" w:cstheme="majorBidi"/>
                <w:b/>
                <w:bCs/>
              </w:rPr>
            </w:pPr>
          </w:p>
        </w:tc>
        <w:tc>
          <w:tcPr>
            <w:tcW w:w="441" w:type="dxa"/>
          </w:tcPr>
          <w:p w14:paraId="007D1734">
            <w:pPr>
              <w:pStyle w:val="17"/>
              <w:spacing w:before="0" w:beforeAutospacing="0" w:after="0" w:afterAutospacing="0"/>
              <w:jc w:val="both"/>
              <w:rPr>
                <w:rFonts w:asciiTheme="majorBidi" w:hAnsiTheme="majorBidi" w:cstheme="majorBidi"/>
                <w:b/>
                <w:bCs/>
              </w:rPr>
            </w:pPr>
          </w:p>
        </w:tc>
        <w:tc>
          <w:tcPr>
            <w:tcW w:w="441" w:type="dxa"/>
          </w:tcPr>
          <w:p w14:paraId="59EFCAFB">
            <w:pPr>
              <w:pStyle w:val="17"/>
              <w:spacing w:before="0" w:beforeAutospacing="0" w:after="0" w:afterAutospacing="0"/>
              <w:jc w:val="both"/>
              <w:rPr>
                <w:rFonts w:asciiTheme="majorBidi" w:hAnsiTheme="majorBidi" w:cstheme="majorBidi"/>
                <w:b/>
                <w:bCs/>
              </w:rPr>
            </w:pPr>
          </w:p>
        </w:tc>
        <w:tc>
          <w:tcPr>
            <w:tcW w:w="477" w:type="dxa"/>
          </w:tcPr>
          <w:p w14:paraId="5F4AD5A7">
            <w:pPr>
              <w:pStyle w:val="17"/>
              <w:spacing w:before="0" w:beforeAutospacing="0" w:after="0" w:afterAutospacing="0"/>
              <w:jc w:val="both"/>
              <w:rPr>
                <w:rFonts w:asciiTheme="majorBidi" w:hAnsiTheme="majorBidi" w:cstheme="majorBidi"/>
                <w:b/>
                <w:bCs/>
              </w:rPr>
            </w:pPr>
          </w:p>
        </w:tc>
        <w:tc>
          <w:tcPr>
            <w:tcW w:w="523" w:type="dxa"/>
          </w:tcPr>
          <w:p w14:paraId="54F33E22">
            <w:pPr>
              <w:pStyle w:val="17"/>
              <w:spacing w:before="0" w:beforeAutospacing="0" w:after="0" w:afterAutospacing="0"/>
              <w:jc w:val="both"/>
              <w:rPr>
                <w:rFonts w:asciiTheme="majorBidi" w:hAnsiTheme="majorBidi" w:cstheme="majorBidi"/>
                <w:b/>
                <w:bCs/>
              </w:rPr>
            </w:pPr>
          </w:p>
        </w:tc>
      </w:tr>
      <w:tr w14:paraId="2E3D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710" w:type="dxa"/>
          </w:tcPr>
          <w:p w14:paraId="27CD58DE">
            <w:pPr>
              <w:pStyle w:val="17"/>
              <w:spacing w:before="0" w:beforeAutospacing="0" w:after="0" w:afterAutospacing="0"/>
              <w:jc w:val="both"/>
              <w:rPr>
                <w:rFonts w:asciiTheme="majorBidi" w:hAnsiTheme="majorBidi" w:cstheme="majorBidi"/>
              </w:rPr>
            </w:pPr>
            <w:r>
              <w:rPr>
                <w:rFonts w:asciiTheme="majorBidi" w:hAnsiTheme="majorBidi" w:cstheme="majorBidi"/>
              </w:rPr>
              <w:t>12</w:t>
            </w:r>
          </w:p>
        </w:tc>
        <w:tc>
          <w:tcPr>
            <w:tcW w:w="6330" w:type="dxa"/>
          </w:tcPr>
          <w:p w14:paraId="0BD6FA05">
            <w:pPr>
              <w:pStyle w:val="17"/>
              <w:spacing w:before="0" w:beforeAutospacing="0" w:after="0" w:afterAutospacing="0"/>
              <w:rPr>
                <w:rFonts w:asciiTheme="majorBidi" w:hAnsiTheme="majorBidi" w:cstheme="majorBidi"/>
                <w:b/>
                <w:bCs/>
              </w:rPr>
            </w:pPr>
            <w:r>
              <w:rPr>
                <w:rFonts w:asciiTheme="majorBidi" w:hAnsiTheme="majorBidi" w:cstheme="majorBidi"/>
              </w:rPr>
              <w:t>The belief in fair competition is a significant driver of examination integrity.</w:t>
            </w:r>
          </w:p>
        </w:tc>
        <w:tc>
          <w:tcPr>
            <w:tcW w:w="523" w:type="dxa"/>
          </w:tcPr>
          <w:p w14:paraId="51423C3A">
            <w:pPr>
              <w:pStyle w:val="17"/>
              <w:spacing w:before="0" w:beforeAutospacing="0" w:after="0" w:afterAutospacing="0"/>
              <w:jc w:val="both"/>
              <w:rPr>
                <w:rFonts w:asciiTheme="majorBidi" w:hAnsiTheme="majorBidi" w:cstheme="majorBidi"/>
                <w:b/>
                <w:bCs/>
              </w:rPr>
            </w:pPr>
          </w:p>
        </w:tc>
        <w:tc>
          <w:tcPr>
            <w:tcW w:w="441" w:type="dxa"/>
          </w:tcPr>
          <w:p w14:paraId="750D4F90">
            <w:pPr>
              <w:pStyle w:val="17"/>
              <w:spacing w:before="0" w:beforeAutospacing="0" w:after="0" w:afterAutospacing="0"/>
              <w:jc w:val="both"/>
              <w:rPr>
                <w:rFonts w:asciiTheme="majorBidi" w:hAnsiTheme="majorBidi" w:cstheme="majorBidi"/>
                <w:b/>
                <w:bCs/>
              </w:rPr>
            </w:pPr>
          </w:p>
        </w:tc>
        <w:tc>
          <w:tcPr>
            <w:tcW w:w="441" w:type="dxa"/>
          </w:tcPr>
          <w:p w14:paraId="1AB246FE">
            <w:pPr>
              <w:pStyle w:val="17"/>
              <w:spacing w:before="0" w:beforeAutospacing="0" w:after="0" w:afterAutospacing="0"/>
              <w:jc w:val="both"/>
              <w:rPr>
                <w:rFonts w:asciiTheme="majorBidi" w:hAnsiTheme="majorBidi" w:cstheme="majorBidi"/>
                <w:b/>
                <w:bCs/>
              </w:rPr>
            </w:pPr>
          </w:p>
        </w:tc>
        <w:tc>
          <w:tcPr>
            <w:tcW w:w="477" w:type="dxa"/>
          </w:tcPr>
          <w:p w14:paraId="445A4588">
            <w:pPr>
              <w:pStyle w:val="17"/>
              <w:spacing w:before="0" w:beforeAutospacing="0" w:after="0" w:afterAutospacing="0"/>
              <w:jc w:val="both"/>
              <w:rPr>
                <w:rFonts w:asciiTheme="majorBidi" w:hAnsiTheme="majorBidi" w:cstheme="majorBidi"/>
                <w:b/>
                <w:bCs/>
              </w:rPr>
            </w:pPr>
          </w:p>
        </w:tc>
        <w:tc>
          <w:tcPr>
            <w:tcW w:w="523" w:type="dxa"/>
          </w:tcPr>
          <w:p w14:paraId="562A4247">
            <w:pPr>
              <w:pStyle w:val="17"/>
              <w:spacing w:before="0" w:beforeAutospacing="0" w:after="0" w:afterAutospacing="0"/>
              <w:jc w:val="both"/>
              <w:rPr>
                <w:rFonts w:asciiTheme="majorBidi" w:hAnsiTheme="majorBidi" w:cstheme="majorBidi"/>
                <w:b/>
                <w:bCs/>
              </w:rPr>
            </w:pPr>
          </w:p>
        </w:tc>
      </w:tr>
      <w:tr w14:paraId="39CE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AC0E9E2">
            <w:pPr>
              <w:pStyle w:val="17"/>
              <w:spacing w:before="0" w:beforeAutospacing="0" w:after="0" w:afterAutospacing="0"/>
              <w:jc w:val="both"/>
              <w:rPr>
                <w:rFonts w:asciiTheme="majorBidi" w:hAnsiTheme="majorBidi" w:cstheme="majorBidi"/>
              </w:rPr>
            </w:pPr>
            <w:r>
              <w:rPr>
                <w:rFonts w:asciiTheme="majorBidi" w:hAnsiTheme="majorBidi" w:cstheme="majorBidi"/>
              </w:rPr>
              <w:t>13</w:t>
            </w:r>
          </w:p>
        </w:tc>
        <w:tc>
          <w:tcPr>
            <w:tcW w:w="6330" w:type="dxa"/>
          </w:tcPr>
          <w:p w14:paraId="25D945DD">
            <w:pPr>
              <w:pStyle w:val="17"/>
              <w:spacing w:before="0" w:beforeAutospacing="0" w:after="0" w:afterAutospacing="0"/>
              <w:rPr>
                <w:rFonts w:asciiTheme="majorBidi" w:hAnsiTheme="majorBidi" w:cstheme="majorBidi"/>
              </w:rPr>
            </w:pPr>
            <w:r>
              <w:rPr>
                <w:rFonts w:asciiTheme="majorBidi" w:hAnsiTheme="majorBidi" w:cstheme="majorBidi"/>
              </w:rPr>
              <w:t>Students who value a level playing field perceive the benefits of maintaining fairness in examinations.</w:t>
            </w:r>
          </w:p>
        </w:tc>
        <w:tc>
          <w:tcPr>
            <w:tcW w:w="523" w:type="dxa"/>
          </w:tcPr>
          <w:p w14:paraId="1B5A030F">
            <w:pPr>
              <w:pStyle w:val="17"/>
              <w:spacing w:before="0" w:beforeAutospacing="0" w:after="0" w:afterAutospacing="0"/>
              <w:jc w:val="both"/>
              <w:rPr>
                <w:rFonts w:asciiTheme="majorBidi" w:hAnsiTheme="majorBidi" w:cstheme="majorBidi"/>
                <w:b/>
                <w:bCs/>
              </w:rPr>
            </w:pPr>
          </w:p>
        </w:tc>
        <w:tc>
          <w:tcPr>
            <w:tcW w:w="441" w:type="dxa"/>
          </w:tcPr>
          <w:p w14:paraId="67340CC5">
            <w:pPr>
              <w:pStyle w:val="17"/>
              <w:spacing w:before="0" w:beforeAutospacing="0" w:after="0" w:afterAutospacing="0"/>
              <w:jc w:val="both"/>
              <w:rPr>
                <w:rFonts w:asciiTheme="majorBidi" w:hAnsiTheme="majorBidi" w:cstheme="majorBidi"/>
                <w:b/>
                <w:bCs/>
              </w:rPr>
            </w:pPr>
          </w:p>
        </w:tc>
        <w:tc>
          <w:tcPr>
            <w:tcW w:w="441" w:type="dxa"/>
          </w:tcPr>
          <w:p w14:paraId="52DAD5DB">
            <w:pPr>
              <w:pStyle w:val="17"/>
              <w:spacing w:before="0" w:beforeAutospacing="0" w:after="0" w:afterAutospacing="0"/>
              <w:jc w:val="both"/>
              <w:rPr>
                <w:rFonts w:asciiTheme="majorBidi" w:hAnsiTheme="majorBidi" w:cstheme="majorBidi"/>
                <w:b/>
                <w:bCs/>
              </w:rPr>
            </w:pPr>
          </w:p>
        </w:tc>
        <w:tc>
          <w:tcPr>
            <w:tcW w:w="477" w:type="dxa"/>
          </w:tcPr>
          <w:p w14:paraId="304B08CD">
            <w:pPr>
              <w:pStyle w:val="17"/>
              <w:spacing w:before="0" w:beforeAutospacing="0" w:after="0" w:afterAutospacing="0"/>
              <w:jc w:val="both"/>
              <w:rPr>
                <w:rFonts w:asciiTheme="majorBidi" w:hAnsiTheme="majorBidi" w:cstheme="majorBidi"/>
                <w:b/>
                <w:bCs/>
              </w:rPr>
            </w:pPr>
          </w:p>
        </w:tc>
        <w:tc>
          <w:tcPr>
            <w:tcW w:w="523" w:type="dxa"/>
          </w:tcPr>
          <w:p w14:paraId="499D7CEF">
            <w:pPr>
              <w:pStyle w:val="17"/>
              <w:spacing w:before="0" w:beforeAutospacing="0" w:after="0" w:afterAutospacing="0"/>
              <w:jc w:val="both"/>
              <w:rPr>
                <w:rFonts w:asciiTheme="majorBidi" w:hAnsiTheme="majorBidi" w:cstheme="majorBidi"/>
                <w:b/>
                <w:bCs/>
              </w:rPr>
            </w:pPr>
          </w:p>
        </w:tc>
      </w:tr>
      <w:tr w14:paraId="5BE12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4B171FDC">
            <w:pPr>
              <w:pStyle w:val="17"/>
              <w:spacing w:before="0" w:beforeAutospacing="0" w:after="0" w:afterAutospacing="0"/>
              <w:jc w:val="both"/>
              <w:rPr>
                <w:rFonts w:asciiTheme="majorBidi" w:hAnsiTheme="majorBidi" w:cstheme="majorBidi"/>
              </w:rPr>
            </w:pPr>
            <w:r>
              <w:rPr>
                <w:rFonts w:asciiTheme="majorBidi" w:hAnsiTheme="majorBidi" w:cstheme="majorBidi"/>
              </w:rPr>
              <w:t>14</w:t>
            </w:r>
          </w:p>
        </w:tc>
        <w:tc>
          <w:tcPr>
            <w:tcW w:w="6330" w:type="dxa"/>
          </w:tcPr>
          <w:p w14:paraId="512E1642">
            <w:pPr>
              <w:pStyle w:val="17"/>
              <w:spacing w:before="0" w:beforeAutospacing="0" w:after="0" w:afterAutospacing="0"/>
              <w:rPr>
                <w:rFonts w:asciiTheme="majorBidi" w:hAnsiTheme="majorBidi" w:cstheme="majorBidi"/>
                <w:b/>
                <w:bCs/>
              </w:rPr>
            </w:pPr>
            <w:r>
              <w:rPr>
                <w:rFonts w:asciiTheme="majorBidi" w:hAnsiTheme="majorBidi" w:cstheme="majorBidi"/>
              </w:rPr>
              <w:t>The perception that academic success directly translates to future career opportunities motivates candidates to consider academic dishonesty.</w:t>
            </w:r>
          </w:p>
        </w:tc>
        <w:tc>
          <w:tcPr>
            <w:tcW w:w="523" w:type="dxa"/>
          </w:tcPr>
          <w:p w14:paraId="7018CBEC">
            <w:pPr>
              <w:pStyle w:val="17"/>
              <w:spacing w:before="0" w:beforeAutospacing="0" w:after="0" w:afterAutospacing="0"/>
              <w:jc w:val="both"/>
              <w:rPr>
                <w:rFonts w:asciiTheme="majorBidi" w:hAnsiTheme="majorBidi" w:cstheme="majorBidi"/>
                <w:b/>
                <w:bCs/>
              </w:rPr>
            </w:pPr>
          </w:p>
        </w:tc>
        <w:tc>
          <w:tcPr>
            <w:tcW w:w="441" w:type="dxa"/>
          </w:tcPr>
          <w:p w14:paraId="025416CC">
            <w:pPr>
              <w:pStyle w:val="17"/>
              <w:spacing w:before="0" w:beforeAutospacing="0" w:after="0" w:afterAutospacing="0"/>
              <w:jc w:val="both"/>
              <w:rPr>
                <w:rFonts w:asciiTheme="majorBidi" w:hAnsiTheme="majorBidi" w:cstheme="majorBidi"/>
                <w:b/>
                <w:bCs/>
              </w:rPr>
            </w:pPr>
          </w:p>
        </w:tc>
        <w:tc>
          <w:tcPr>
            <w:tcW w:w="441" w:type="dxa"/>
          </w:tcPr>
          <w:p w14:paraId="6EFB3F89">
            <w:pPr>
              <w:pStyle w:val="17"/>
              <w:spacing w:before="0" w:beforeAutospacing="0" w:after="0" w:afterAutospacing="0"/>
              <w:jc w:val="both"/>
              <w:rPr>
                <w:rFonts w:asciiTheme="majorBidi" w:hAnsiTheme="majorBidi" w:cstheme="majorBidi"/>
                <w:b/>
                <w:bCs/>
              </w:rPr>
            </w:pPr>
          </w:p>
        </w:tc>
        <w:tc>
          <w:tcPr>
            <w:tcW w:w="477" w:type="dxa"/>
          </w:tcPr>
          <w:p w14:paraId="37C16A27">
            <w:pPr>
              <w:pStyle w:val="17"/>
              <w:spacing w:before="0" w:beforeAutospacing="0" w:after="0" w:afterAutospacing="0"/>
              <w:jc w:val="both"/>
              <w:rPr>
                <w:rFonts w:asciiTheme="majorBidi" w:hAnsiTheme="majorBidi" w:cstheme="majorBidi"/>
                <w:b/>
                <w:bCs/>
              </w:rPr>
            </w:pPr>
          </w:p>
        </w:tc>
        <w:tc>
          <w:tcPr>
            <w:tcW w:w="523" w:type="dxa"/>
          </w:tcPr>
          <w:p w14:paraId="12121CA2">
            <w:pPr>
              <w:pStyle w:val="17"/>
              <w:spacing w:before="0" w:beforeAutospacing="0" w:after="0" w:afterAutospacing="0"/>
              <w:jc w:val="both"/>
              <w:rPr>
                <w:rFonts w:asciiTheme="majorBidi" w:hAnsiTheme="majorBidi" w:cstheme="majorBidi"/>
                <w:b/>
                <w:bCs/>
              </w:rPr>
            </w:pPr>
          </w:p>
        </w:tc>
      </w:tr>
      <w:tr w14:paraId="4B97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6831CE8E">
            <w:pPr>
              <w:pStyle w:val="17"/>
              <w:spacing w:before="0" w:beforeAutospacing="0" w:after="0" w:afterAutospacing="0"/>
              <w:jc w:val="both"/>
              <w:rPr>
                <w:rFonts w:asciiTheme="majorBidi" w:hAnsiTheme="majorBidi" w:cstheme="majorBidi"/>
              </w:rPr>
            </w:pPr>
          </w:p>
        </w:tc>
        <w:tc>
          <w:tcPr>
            <w:tcW w:w="6330" w:type="dxa"/>
          </w:tcPr>
          <w:p w14:paraId="59CE1060">
            <w:pPr>
              <w:pStyle w:val="17"/>
              <w:rPr>
                <w:rFonts w:asciiTheme="majorBidi" w:hAnsiTheme="majorBidi" w:cstheme="majorBidi"/>
                <w:b/>
                <w:bCs/>
              </w:rPr>
            </w:pPr>
            <w:r>
              <w:rPr>
                <w:rFonts w:asciiTheme="majorBidi" w:hAnsiTheme="majorBidi" w:cstheme="majorBidi"/>
                <w:b/>
                <w:bCs/>
              </w:rPr>
              <w:t xml:space="preserve">Teaching Approaches on academic integrity and examination malpractices </w:t>
            </w:r>
          </w:p>
        </w:tc>
        <w:tc>
          <w:tcPr>
            <w:tcW w:w="523" w:type="dxa"/>
          </w:tcPr>
          <w:p w14:paraId="51571734">
            <w:pPr>
              <w:pStyle w:val="17"/>
              <w:spacing w:before="0" w:beforeAutospacing="0" w:after="0" w:afterAutospacing="0"/>
              <w:jc w:val="both"/>
              <w:rPr>
                <w:rFonts w:asciiTheme="majorBidi" w:hAnsiTheme="majorBidi" w:cstheme="majorBidi"/>
                <w:b/>
                <w:bCs/>
              </w:rPr>
            </w:pPr>
          </w:p>
        </w:tc>
        <w:tc>
          <w:tcPr>
            <w:tcW w:w="441" w:type="dxa"/>
          </w:tcPr>
          <w:p w14:paraId="1522080D">
            <w:pPr>
              <w:pStyle w:val="17"/>
              <w:spacing w:before="0" w:beforeAutospacing="0" w:after="0" w:afterAutospacing="0"/>
              <w:jc w:val="both"/>
              <w:rPr>
                <w:rFonts w:asciiTheme="majorBidi" w:hAnsiTheme="majorBidi" w:cstheme="majorBidi"/>
                <w:b/>
                <w:bCs/>
              </w:rPr>
            </w:pPr>
          </w:p>
        </w:tc>
        <w:tc>
          <w:tcPr>
            <w:tcW w:w="441" w:type="dxa"/>
          </w:tcPr>
          <w:p w14:paraId="559B8C40">
            <w:pPr>
              <w:pStyle w:val="17"/>
              <w:spacing w:before="0" w:beforeAutospacing="0" w:after="0" w:afterAutospacing="0"/>
              <w:jc w:val="both"/>
              <w:rPr>
                <w:rFonts w:asciiTheme="majorBidi" w:hAnsiTheme="majorBidi" w:cstheme="majorBidi"/>
                <w:b/>
                <w:bCs/>
              </w:rPr>
            </w:pPr>
          </w:p>
        </w:tc>
        <w:tc>
          <w:tcPr>
            <w:tcW w:w="477" w:type="dxa"/>
          </w:tcPr>
          <w:p w14:paraId="4B604F90">
            <w:pPr>
              <w:pStyle w:val="17"/>
              <w:spacing w:before="0" w:beforeAutospacing="0" w:after="0" w:afterAutospacing="0"/>
              <w:jc w:val="both"/>
              <w:rPr>
                <w:rFonts w:asciiTheme="majorBidi" w:hAnsiTheme="majorBidi" w:cstheme="majorBidi"/>
                <w:b/>
                <w:bCs/>
              </w:rPr>
            </w:pPr>
          </w:p>
        </w:tc>
        <w:tc>
          <w:tcPr>
            <w:tcW w:w="523" w:type="dxa"/>
          </w:tcPr>
          <w:p w14:paraId="48D918C2">
            <w:pPr>
              <w:pStyle w:val="17"/>
              <w:spacing w:before="0" w:beforeAutospacing="0" w:after="0" w:afterAutospacing="0"/>
              <w:jc w:val="both"/>
              <w:rPr>
                <w:rFonts w:asciiTheme="majorBidi" w:hAnsiTheme="majorBidi" w:cstheme="majorBidi"/>
                <w:b/>
                <w:bCs/>
              </w:rPr>
            </w:pPr>
          </w:p>
        </w:tc>
      </w:tr>
      <w:tr w14:paraId="7B2E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16140BBE">
            <w:pPr>
              <w:pStyle w:val="17"/>
              <w:spacing w:before="0" w:beforeAutospacing="0" w:after="0" w:afterAutospacing="0"/>
              <w:jc w:val="both"/>
              <w:rPr>
                <w:rFonts w:asciiTheme="majorBidi" w:hAnsiTheme="majorBidi" w:cstheme="majorBidi"/>
              </w:rPr>
            </w:pPr>
            <w:r>
              <w:rPr>
                <w:rFonts w:asciiTheme="majorBidi" w:hAnsiTheme="majorBidi" w:cstheme="majorBidi"/>
              </w:rPr>
              <w:t>15</w:t>
            </w:r>
          </w:p>
        </w:tc>
        <w:tc>
          <w:tcPr>
            <w:tcW w:w="6330" w:type="dxa"/>
          </w:tcPr>
          <w:p w14:paraId="1A1342A8">
            <w:pPr>
              <w:pStyle w:val="17"/>
              <w:spacing w:before="0" w:beforeAutospacing="0" w:after="0" w:afterAutospacing="0"/>
              <w:rPr>
                <w:rFonts w:asciiTheme="majorBidi" w:hAnsiTheme="majorBidi" w:cstheme="majorBidi"/>
                <w:b/>
                <w:bCs/>
              </w:rPr>
            </w:pPr>
            <w:r>
              <w:rPr>
                <w:rFonts w:asciiTheme="majorBidi" w:hAnsiTheme="majorBidi" w:cstheme="majorBidi"/>
              </w:rPr>
              <w:t>Examiners talk invited by the school influence exam cheating.</w:t>
            </w:r>
          </w:p>
        </w:tc>
        <w:tc>
          <w:tcPr>
            <w:tcW w:w="523" w:type="dxa"/>
          </w:tcPr>
          <w:p w14:paraId="6FF0D735">
            <w:pPr>
              <w:pStyle w:val="17"/>
              <w:spacing w:before="0" w:beforeAutospacing="0" w:after="0" w:afterAutospacing="0"/>
              <w:jc w:val="both"/>
              <w:rPr>
                <w:rFonts w:asciiTheme="majorBidi" w:hAnsiTheme="majorBidi" w:cstheme="majorBidi"/>
                <w:b/>
                <w:bCs/>
              </w:rPr>
            </w:pPr>
          </w:p>
        </w:tc>
        <w:tc>
          <w:tcPr>
            <w:tcW w:w="441" w:type="dxa"/>
          </w:tcPr>
          <w:p w14:paraId="057D0498">
            <w:pPr>
              <w:pStyle w:val="17"/>
              <w:spacing w:before="0" w:beforeAutospacing="0" w:after="0" w:afterAutospacing="0"/>
              <w:jc w:val="both"/>
              <w:rPr>
                <w:rFonts w:asciiTheme="majorBidi" w:hAnsiTheme="majorBidi" w:cstheme="majorBidi"/>
                <w:b/>
                <w:bCs/>
              </w:rPr>
            </w:pPr>
          </w:p>
        </w:tc>
        <w:tc>
          <w:tcPr>
            <w:tcW w:w="441" w:type="dxa"/>
          </w:tcPr>
          <w:p w14:paraId="2825E3E8">
            <w:pPr>
              <w:pStyle w:val="17"/>
              <w:spacing w:before="0" w:beforeAutospacing="0" w:after="0" w:afterAutospacing="0"/>
              <w:jc w:val="both"/>
              <w:rPr>
                <w:rFonts w:asciiTheme="majorBidi" w:hAnsiTheme="majorBidi" w:cstheme="majorBidi"/>
                <w:b/>
                <w:bCs/>
              </w:rPr>
            </w:pPr>
          </w:p>
        </w:tc>
        <w:tc>
          <w:tcPr>
            <w:tcW w:w="477" w:type="dxa"/>
          </w:tcPr>
          <w:p w14:paraId="50A506F5">
            <w:pPr>
              <w:pStyle w:val="17"/>
              <w:spacing w:before="0" w:beforeAutospacing="0" w:after="0" w:afterAutospacing="0"/>
              <w:jc w:val="both"/>
              <w:rPr>
                <w:rFonts w:asciiTheme="majorBidi" w:hAnsiTheme="majorBidi" w:cstheme="majorBidi"/>
                <w:b/>
                <w:bCs/>
              </w:rPr>
            </w:pPr>
          </w:p>
        </w:tc>
        <w:tc>
          <w:tcPr>
            <w:tcW w:w="523" w:type="dxa"/>
          </w:tcPr>
          <w:p w14:paraId="6608D060">
            <w:pPr>
              <w:pStyle w:val="17"/>
              <w:spacing w:before="0" w:beforeAutospacing="0" w:after="0" w:afterAutospacing="0"/>
              <w:jc w:val="both"/>
              <w:rPr>
                <w:rFonts w:asciiTheme="majorBidi" w:hAnsiTheme="majorBidi" w:cstheme="majorBidi"/>
                <w:b/>
                <w:bCs/>
              </w:rPr>
            </w:pPr>
          </w:p>
        </w:tc>
      </w:tr>
      <w:tr w14:paraId="60F9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4F1CA6E2">
            <w:pPr>
              <w:pStyle w:val="17"/>
              <w:spacing w:before="0" w:beforeAutospacing="0" w:after="0" w:afterAutospacing="0"/>
              <w:jc w:val="both"/>
              <w:rPr>
                <w:rFonts w:asciiTheme="majorBidi" w:hAnsiTheme="majorBidi" w:cstheme="majorBidi"/>
              </w:rPr>
            </w:pPr>
            <w:r>
              <w:rPr>
                <w:rFonts w:asciiTheme="majorBidi" w:hAnsiTheme="majorBidi" w:cstheme="majorBidi"/>
              </w:rPr>
              <w:t>16</w:t>
            </w:r>
          </w:p>
        </w:tc>
        <w:tc>
          <w:tcPr>
            <w:tcW w:w="6330" w:type="dxa"/>
          </w:tcPr>
          <w:p w14:paraId="193B0558">
            <w:pPr>
              <w:pStyle w:val="17"/>
              <w:spacing w:before="0" w:beforeAutospacing="0" w:after="0" w:afterAutospacing="0"/>
              <w:rPr>
                <w:rFonts w:asciiTheme="majorBidi" w:hAnsiTheme="majorBidi" w:cstheme="majorBidi"/>
                <w:b/>
                <w:bCs/>
              </w:rPr>
            </w:pPr>
            <w:r>
              <w:rPr>
                <w:rFonts w:asciiTheme="majorBidi" w:hAnsiTheme="majorBidi" w:cstheme="majorBidi"/>
              </w:rPr>
              <w:t>Teaching students about the importance of ethical behavior and integrating values such as integrity and honesty into lessons can promote a culture of academic honesty.</w:t>
            </w:r>
          </w:p>
        </w:tc>
        <w:tc>
          <w:tcPr>
            <w:tcW w:w="523" w:type="dxa"/>
          </w:tcPr>
          <w:p w14:paraId="0848C143">
            <w:pPr>
              <w:pStyle w:val="17"/>
              <w:spacing w:before="0" w:beforeAutospacing="0" w:after="0" w:afterAutospacing="0"/>
              <w:jc w:val="both"/>
              <w:rPr>
                <w:rFonts w:asciiTheme="majorBidi" w:hAnsiTheme="majorBidi" w:cstheme="majorBidi"/>
                <w:b/>
                <w:bCs/>
              </w:rPr>
            </w:pPr>
          </w:p>
        </w:tc>
        <w:tc>
          <w:tcPr>
            <w:tcW w:w="441" w:type="dxa"/>
          </w:tcPr>
          <w:p w14:paraId="6A2AD4F8">
            <w:pPr>
              <w:pStyle w:val="17"/>
              <w:spacing w:before="0" w:beforeAutospacing="0" w:after="0" w:afterAutospacing="0"/>
              <w:jc w:val="both"/>
              <w:rPr>
                <w:rFonts w:asciiTheme="majorBidi" w:hAnsiTheme="majorBidi" w:cstheme="majorBidi"/>
                <w:b/>
                <w:bCs/>
              </w:rPr>
            </w:pPr>
          </w:p>
        </w:tc>
        <w:tc>
          <w:tcPr>
            <w:tcW w:w="441" w:type="dxa"/>
          </w:tcPr>
          <w:p w14:paraId="08391FB0">
            <w:pPr>
              <w:pStyle w:val="17"/>
              <w:spacing w:before="0" w:beforeAutospacing="0" w:after="0" w:afterAutospacing="0"/>
              <w:jc w:val="both"/>
              <w:rPr>
                <w:rFonts w:asciiTheme="majorBidi" w:hAnsiTheme="majorBidi" w:cstheme="majorBidi"/>
                <w:b/>
                <w:bCs/>
              </w:rPr>
            </w:pPr>
          </w:p>
        </w:tc>
        <w:tc>
          <w:tcPr>
            <w:tcW w:w="477" w:type="dxa"/>
          </w:tcPr>
          <w:p w14:paraId="12816481">
            <w:pPr>
              <w:pStyle w:val="17"/>
              <w:spacing w:before="0" w:beforeAutospacing="0" w:after="0" w:afterAutospacing="0"/>
              <w:jc w:val="both"/>
              <w:rPr>
                <w:rFonts w:asciiTheme="majorBidi" w:hAnsiTheme="majorBidi" w:cstheme="majorBidi"/>
                <w:b/>
                <w:bCs/>
              </w:rPr>
            </w:pPr>
          </w:p>
        </w:tc>
        <w:tc>
          <w:tcPr>
            <w:tcW w:w="523" w:type="dxa"/>
          </w:tcPr>
          <w:p w14:paraId="08F959DF">
            <w:pPr>
              <w:pStyle w:val="17"/>
              <w:spacing w:before="0" w:beforeAutospacing="0" w:after="0" w:afterAutospacing="0"/>
              <w:jc w:val="both"/>
              <w:rPr>
                <w:rFonts w:asciiTheme="majorBidi" w:hAnsiTheme="majorBidi" w:cstheme="majorBidi"/>
                <w:b/>
                <w:bCs/>
              </w:rPr>
            </w:pPr>
          </w:p>
        </w:tc>
      </w:tr>
      <w:tr w14:paraId="175B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5B9FA1CA">
            <w:pPr>
              <w:pStyle w:val="17"/>
              <w:spacing w:before="0" w:beforeAutospacing="0" w:after="0" w:afterAutospacing="0"/>
              <w:jc w:val="both"/>
              <w:rPr>
                <w:rFonts w:asciiTheme="majorBidi" w:hAnsiTheme="majorBidi" w:cstheme="majorBidi"/>
              </w:rPr>
            </w:pPr>
            <w:r>
              <w:rPr>
                <w:rFonts w:asciiTheme="majorBidi" w:hAnsiTheme="majorBidi" w:cstheme="majorBidi"/>
              </w:rPr>
              <w:t>17</w:t>
            </w:r>
          </w:p>
        </w:tc>
        <w:tc>
          <w:tcPr>
            <w:tcW w:w="6330" w:type="dxa"/>
          </w:tcPr>
          <w:p w14:paraId="160EAA9C">
            <w:pPr>
              <w:pStyle w:val="17"/>
              <w:spacing w:before="0" w:beforeAutospacing="0" w:after="0" w:afterAutospacing="0"/>
              <w:rPr>
                <w:rFonts w:asciiTheme="majorBidi" w:hAnsiTheme="majorBidi" w:cstheme="majorBidi"/>
              </w:rPr>
            </w:pPr>
            <w:r>
              <w:rPr>
                <w:rFonts w:asciiTheme="majorBidi" w:hAnsiTheme="majorBidi" w:cstheme="majorBidi"/>
              </w:rPr>
              <w:t>Positive teacher-student relationships, characterized by trust and support, reduce the likelihood of cheating.</w:t>
            </w:r>
          </w:p>
        </w:tc>
        <w:tc>
          <w:tcPr>
            <w:tcW w:w="523" w:type="dxa"/>
          </w:tcPr>
          <w:p w14:paraId="4BB3EF8C">
            <w:pPr>
              <w:pStyle w:val="17"/>
              <w:spacing w:before="0" w:beforeAutospacing="0" w:after="0" w:afterAutospacing="0"/>
              <w:jc w:val="both"/>
              <w:rPr>
                <w:rFonts w:asciiTheme="majorBidi" w:hAnsiTheme="majorBidi" w:cstheme="majorBidi"/>
                <w:b/>
                <w:bCs/>
              </w:rPr>
            </w:pPr>
          </w:p>
        </w:tc>
        <w:tc>
          <w:tcPr>
            <w:tcW w:w="441" w:type="dxa"/>
          </w:tcPr>
          <w:p w14:paraId="50F9B5A2">
            <w:pPr>
              <w:pStyle w:val="17"/>
              <w:spacing w:before="0" w:beforeAutospacing="0" w:after="0" w:afterAutospacing="0"/>
              <w:jc w:val="both"/>
              <w:rPr>
                <w:rFonts w:asciiTheme="majorBidi" w:hAnsiTheme="majorBidi" w:cstheme="majorBidi"/>
                <w:b/>
                <w:bCs/>
              </w:rPr>
            </w:pPr>
          </w:p>
        </w:tc>
        <w:tc>
          <w:tcPr>
            <w:tcW w:w="441" w:type="dxa"/>
          </w:tcPr>
          <w:p w14:paraId="16B9F7A6">
            <w:pPr>
              <w:pStyle w:val="17"/>
              <w:spacing w:before="0" w:beforeAutospacing="0" w:after="0" w:afterAutospacing="0"/>
              <w:jc w:val="both"/>
              <w:rPr>
                <w:rFonts w:asciiTheme="majorBidi" w:hAnsiTheme="majorBidi" w:cstheme="majorBidi"/>
                <w:b/>
                <w:bCs/>
              </w:rPr>
            </w:pPr>
          </w:p>
        </w:tc>
        <w:tc>
          <w:tcPr>
            <w:tcW w:w="477" w:type="dxa"/>
          </w:tcPr>
          <w:p w14:paraId="775E4F14">
            <w:pPr>
              <w:pStyle w:val="17"/>
              <w:spacing w:before="0" w:beforeAutospacing="0" w:after="0" w:afterAutospacing="0"/>
              <w:jc w:val="both"/>
              <w:rPr>
                <w:rFonts w:asciiTheme="majorBidi" w:hAnsiTheme="majorBidi" w:cstheme="majorBidi"/>
                <w:b/>
                <w:bCs/>
              </w:rPr>
            </w:pPr>
          </w:p>
        </w:tc>
        <w:tc>
          <w:tcPr>
            <w:tcW w:w="523" w:type="dxa"/>
          </w:tcPr>
          <w:p w14:paraId="780C9FCF">
            <w:pPr>
              <w:pStyle w:val="17"/>
              <w:spacing w:before="0" w:beforeAutospacing="0" w:after="0" w:afterAutospacing="0"/>
              <w:jc w:val="both"/>
              <w:rPr>
                <w:rFonts w:asciiTheme="majorBidi" w:hAnsiTheme="majorBidi" w:cstheme="majorBidi"/>
                <w:b/>
                <w:bCs/>
              </w:rPr>
            </w:pPr>
          </w:p>
        </w:tc>
      </w:tr>
      <w:tr w14:paraId="3514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34A00622">
            <w:pPr>
              <w:pStyle w:val="17"/>
              <w:spacing w:before="0" w:beforeAutospacing="0" w:after="0" w:afterAutospacing="0"/>
              <w:jc w:val="both"/>
              <w:rPr>
                <w:rFonts w:asciiTheme="majorBidi" w:hAnsiTheme="majorBidi" w:cstheme="majorBidi"/>
              </w:rPr>
            </w:pPr>
            <w:r>
              <w:rPr>
                <w:rFonts w:asciiTheme="majorBidi" w:hAnsiTheme="majorBidi" w:cstheme="majorBidi"/>
              </w:rPr>
              <w:t>18</w:t>
            </w:r>
          </w:p>
        </w:tc>
        <w:tc>
          <w:tcPr>
            <w:tcW w:w="6330" w:type="dxa"/>
          </w:tcPr>
          <w:p w14:paraId="7A18291B">
            <w:pPr>
              <w:pStyle w:val="17"/>
              <w:spacing w:before="0" w:beforeAutospacing="0" w:after="0" w:afterAutospacing="0"/>
              <w:rPr>
                <w:rFonts w:asciiTheme="majorBidi" w:hAnsiTheme="majorBidi" w:cstheme="majorBidi"/>
                <w:b/>
                <w:bCs/>
              </w:rPr>
            </w:pPr>
            <w:r>
              <w:rPr>
                <w:rFonts w:asciiTheme="majorBidi" w:hAnsiTheme="majorBidi" w:cstheme="majorBidi"/>
              </w:rPr>
              <w:t xml:space="preserve">Teaching approaches that provide constructive feedback and opportunities for students to redo assignments and assessments contribute to examination integrity. </w:t>
            </w:r>
          </w:p>
        </w:tc>
        <w:tc>
          <w:tcPr>
            <w:tcW w:w="523" w:type="dxa"/>
          </w:tcPr>
          <w:p w14:paraId="0BEDDA16">
            <w:pPr>
              <w:pStyle w:val="17"/>
              <w:spacing w:before="0" w:beforeAutospacing="0" w:after="0" w:afterAutospacing="0"/>
              <w:jc w:val="both"/>
              <w:rPr>
                <w:rFonts w:asciiTheme="majorBidi" w:hAnsiTheme="majorBidi" w:cstheme="majorBidi"/>
                <w:b/>
                <w:bCs/>
              </w:rPr>
            </w:pPr>
          </w:p>
        </w:tc>
        <w:tc>
          <w:tcPr>
            <w:tcW w:w="441" w:type="dxa"/>
          </w:tcPr>
          <w:p w14:paraId="3ED43969">
            <w:pPr>
              <w:pStyle w:val="17"/>
              <w:spacing w:before="0" w:beforeAutospacing="0" w:after="0" w:afterAutospacing="0"/>
              <w:jc w:val="both"/>
              <w:rPr>
                <w:rFonts w:asciiTheme="majorBidi" w:hAnsiTheme="majorBidi" w:cstheme="majorBidi"/>
                <w:b/>
                <w:bCs/>
              </w:rPr>
            </w:pPr>
          </w:p>
        </w:tc>
        <w:tc>
          <w:tcPr>
            <w:tcW w:w="441" w:type="dxa"/>
          </w:tcPr>
          <w:p w14:paraId="6EAB4C8E">
            <w:pPr>
              <w:pStyle w:val="17"/>
              <w:spacing w:before="0" w:beforeAutospacing="0" w:after="0" w:afterAutospacing="0"/>
              <w:jc w:val="both"/>
              <w:rPr>
                <w:rFonts w:asciiTheme="majorBidi" w:hAnsiTheme="majorBidi" w:cstheme="majorBidi"/>
                <w:b/>
                <w:bCs/>
              </w:rPr>
            </w:pPr>
          </w:p>
        </w:tc>
        <w:tc>
          <w:tcPr>
            <w:tcW w:w="477" w:type="dxa"/>
          </w:tcPr>
          <w:p w14:paraId="3CA4D481">
            <w:pPr>
              <w:pStyle w:val="17"/>
              <w:spacing w:before="0" w:beforeAutospacing="0" w:after="0" w:afterAutospacing="0"/>
              <w:jc w:val="both"/>
              <w:rPr>
                <w:rFonts w:asciiTheme="majorBidi" w:hAnsiTheme="majorBidi" w:cstheme="majorBidi"/>
                <w:b/>
                <w:bCs/>
              </w:rPr>
            </w:pPr>
          </w:p>
        </w:tc>
        <w:tc>
          <w:tcPr>
            <w:tcW w:w="523" w:type="dxa"/>
          </w:tcPr>
          <w:p w14:paraId="1A792884">
            <w:pPr>
              <w:pStyle w:val="17"/>
              <w:spacing w:before="0" w:beforeAutospacing="0" w:after="0" w:afterAutospacing="0"/>
              <w:jc w:val="both"/>
              <w:rPr>
                <w:rFonts w:asciiTheme="majorBidi" w:hAnsiTheme="majorBidi" w:cstheme="majorBidi"/>
                <w:b/>
                <w:bCs/>
              </w:rPr>
            </w:pPr>
          </w:p>
        </w:tc>
      </w:tr>
      <w:tr w14:paraId="4D5E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C4FFF12">
            <w:pPr>
              <w:pStyle w:val="17"/>
              <w:spacing w:before="0" w:beforeAutospacing="0" w:after="0" w:afterAutospacing="0"/>
              <w:jc w:val="both"/>
              <w:rPr>
                <w:rFonts w:asciiTheme="majorBidi" w:hAnsiTheme="majorBidi" w:cstheme="majorBidi"/>
              </w:rPr>
            </w:pPr>
            <w:r>
              <w:rPr>
                <w:rFonts w:asciiTheme="majorBidi" w:hAnsiTheme="majorBidi" w:cstheme="majorBidi"/>
              </w:rPr>
              <w:t>19</w:t>
            </w:r>
          </w:p>
        </w:tc>
        <w:tc>
          <w:tcPr>
            <w:tcW w:w="6330" w:type="dxa"/>
          </w:tcPr>
          <w:p w14:paraId="03F93D8B">
            <w:pPr>
              <w:pStyle w:val="17"/>
              <w:spacing w:before="0" w:beforeAutospacing="0" w:after="0" w:afterAutospacing="0"/>
              <w:rPr>
                <w:rFonts w:asciiTheme="majorBidi" w:hAnsiTheme="majorBidi" w:cstheme="majorBidi"/>
                <w:b/>
                <w:bCs/>
              </w:rPr>
            </w:pPr>
            <w:r>
              <w:rPr>
                <w:rFonts w:asciiTheme="majorBidi" w:hAnsiTheme="majorBidi" w:cstheme="majorBidi"/>
              </w:rPr>
              <w:t>Teachers’ decisions regarding syllabus coverage are affected by time constraints, poor students’ attendance and curriculum requirements.</w:t>
            </w:r>
          </w:p>
        </w:tc>
        <w:tc>
          <w:tcPr>
            <w:tcW w:w="523" w:type="dxa"/>
          </w:tcPr>
          <w:p w14:paraId="0BBAB579">
            <w:pPr>
              <w:pStyle w:val="17"/>
              <w:spacing w:before="0" w:beforeAutospacing="0" w:after="0" w:afterAutospacing="0"/>
              <w:jc w:val="both"/>
              <w:rPr>
                <w:rFonts w:asciiTheme="majorBidi" w:hAnsiTheme="majorBidi" w:cstheme="majorBidi"/>
                <w:b/>
                <w:bCs/>
              </w:rPr>
            </w:pPr>
          </w:p>
        </w:tc>
        <w:tc>
          <w:tcPr>
            <w:tcW w:w="441" w:type="dxa"/>
          </w:tcPr>
          <w:p w14:paraId="14D08A5F">
            <w:pPr>
              <w:pStyle w:val="17"/>
              <w:spacing w:before="0" w:beforeAutospacing="0" w:after="0" w:afterAutospacing="0"/>
              <w:jc w:val="both"/>
              <w:rPr>
                <w:rFonts w:asciiTheme="majorBidi" w:hAnsiTheme="majorBidi" w:cstheme="majorBidi"/>
                <w:b/>
                <w:bCs/>
              </w:rPr>
            </w:pPr>
          </w:p>
        </w:tc>
        <w:tc>
          <w:tcPr>
            <w:tcW w:w="441" w:type="dxa"/>
          </w:tcPr>
          <w:p w14:paraId="1F5926D2">
            <w:pPr>
              <w:pStyle w:val="17"/>
              <w:spacing w:before="0" w:beforeAutospacing="0" w:after="0" w:afterAutospacing="0"/>
              <w:jc w:val="both"/>
              <w:rPr>
                <w:rFonts w:asciiTheme="majorBidi" w:hAnsiTheme="majorBidi" w:cstheme="majorBidi"/>
                <w:b/>
                <w:bCs/>
              </w:rPr>
            </w:pPr>
          </w:p>
        </w:tc>
        <w:tc>
          <w:tcPr>
            <w:tcW w:w="477" w:type="dxa"/>
          </w:tcPr>
          <w:p w14:paraId="3A3304A1">
            <w:pPr>
              <w:pStyle w:val="17"/>
              <w:spacing w:before="0" w:beforeAutospacing="0" w:after="0" w:afterAutospacing="0"/>
              <w:jc w:val="both"/>
              <w:rPr>
                <w:rFonts w:asciiTheme="majorBidi" w:hAnsiTheme="majorBidi" w:cstheme="majorBidi"/>
                <w:b/>
                <w:bCs/>
              </w:rPr>
            </w:pPr>
          </w:p>
        </w:tc>
        <w:tc>
          <w:tcPr>
            <w:tcW w:w="523" w:type="dxa"/>
          </w:tcPr>
          <w:p w14:paraId="5245731F">
            <w:pPr>
              <w:pStyle w:val="17"/>
              <w:spacing w:before="0" w:beforeAutospacing="0" w:after="0" w:afterAutospacing="0"/>
              <w:jc w:val="both"/>
              <w:rPr>
                <w:rFonts w:asciiTheme="majorBidi" w:hAnsiTheme="majorBidi" w:cstheme="majorBidi"/>
                <w:b/>
                <w:bCs/>
              </w:rPr>
            </w:pPr>
          </w:p>
        </w:tc>
      </w:tr>
      <w:tr w14:paraId="295C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712A9D5">
            <w:pPr>
              <w:pStyle w:val="17"/>
              <w:spacing w:before="0" w:beforeAutospacing="0" w:after="0" w:afterAutospacing="0"/>
              <w:jc w:val="both"/>
              <w:rPr>
                <w:rFonts w:asciiTheme="majorBidi" w:hAnsiTheme="majorBidi" w:cstheme="majorBidi"/>
              </w:rPr>
            </w:pPr>
          </w:p>
        </w:tc>
        <w:tc>
          <w:tcPr>
            <w:tcW w:w="6330" w:type="dxa"/>
          </w:tcPr>
          <w:p w14:paraId="620A1037">
            <w:pPr>
              <w:pStyle w:val="17"/>
              <w:rPr>
                <w:rFonts w:asciiTheme="majorBidi" w:hAnsiTheme="majorBidi" w:cstheme="majorBidi"/>
                <w:b/>
                <w:bCs/>
              </w:rPr>
            </w:pPr>
            <w:r>
              <w:rPr>
                <w:rFonts w:asciiTheme="majorBidi" w:hAnsiTheme="majorBidi" w:cstheme="majorBidi"/>
                <w:b/>
                <w:bCs/>
              </w:rPr>
              <w:t xml:space="preserve">Syllabus coverage relates to academic integrity and examination malpractices </w:t>
            </w:r>
          </w:p>
        </w:tc>
        <w:tc>
          <w:tcPr>
            <w:tcW w:w="523" w:type="dxa"/>
          </w:tcPr>
          <w:p w14:paraId="371D04E4">
            <w:pPr>
              <w:pStyle w:val="17"/>
              <w:spacing w:before="0" w:beforeAutospacing="0" w:after="0" w:afterAutospacing="0"/>
              <w:jc w:val="both"/>
              <w:rPr>
                <w:rFonts w:asciiTheme="majorBidi" w:hAnsiTheme="majorBidi" w:cstheme="majorBidi"/>
                <w:b/>
                <w:bCs/>
              </w:rPr>
            </w:pPr>
          </w:p>
        </w:tc>
        <w:tc>
          <w:tcPr>
            <w:tcW w:w="441" w:type="dxa"/>
          </w:tcPr>
          <w:p w14:paraId="6F5182C8">
            <w:pPr>
              <w:pStyle w:val="17"/>
              <w:spacing w:before="0" w:beforeAutospacing="0" w:after="0" w:afterAutospacing="0"/>
              <w:jc w:val="both"/>
              <w:rPr>
                <w:rFonts w:asciiTheme="majorBidi" w:hAnsiTheme="majorBidi" w:cstheme="majorBidi"/>
                <w:b/>
                <w:bCs/>
              </w:rPr>
            </w:pPr>
          </w:p>
        </w:tc>
        <w:tc>
          <w:tcPr>
            <w:tcW w:w="441" w:type="dxa"/>
          </w:tcPr>
          <w:p w14:paraId="25131856">
            <w:pPr>
              <w:pStyle w:val="17"/>
              <w:spacing w:before="0" w:beforeAutospacing="0" w:after="0" w:afterAutospacing="0"/>
              <w:jc w:val="both"/>
              <w:rPr>
                <w:rFonts w:asciiTheme="majorBidi" w:hAnsiTheme="majorBidi" w:cstheme="majorBidi"/>
                <w:b/>
                <w:bCs/>
              </w:rPr>
            </w:pPr>
          </w:p>
        </w:tc>
        <w:tc>
          <w:tcPr>
            <w:tcW w:w="477" w:type="dxa"/>
          </w:tcPr>
          <w:p w14:paraId="68996173">
            <w:pPr>
              <w:pStyle w:val="17"/>
              <w:spacing w:before="0" w:beforeAutospacing="0" w:after="0" w:afterAutospacing="0"/>
              <w:jc w:val="both"/>
              <w:rPr>
                <w:rFonts w:asciiTheme="majorBidi" w:hAnsiTheme="majorBidi" w:cstheme="majorBidi"/>
                <w:b/>
                <w:bCs/>
              </w:rPr>
            </w:pPr>
          </w:p>
        </w:tc>
        <w:tc>
          <w:tcPr>
            <w:tcW w:w="523" w:type="dxa"/>
          </w:tcPr>
          <w:p w14:paraId="5F3C5A2F">
            <w:pPr>
              <w:pStyle w:val="17"/>
              <w:spacing w:before="0" w:beforeAutospacing="0" w:after="0" w:afterAutospacing="0"/>
              <w:jc w:val="both"/>
              <w:rPr>
                <w:rFonts w:asciiTheme="majorBidi" w:hAnsiTheme="majorBidi" w:cstheme="majorBidi"/>
                <w:b/>
                <w:bCs/>
              </w:rPr>
            </w:pPr>
          </w:p>
        </w:tc>
      </w:tr>
      <w:tr w14:paraId="56A2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0D9D7E2">
            <w:pPr>
              <w:pStyle w:val="17"/>
              <w:spacing w:before="0" w:beforeAutospacing="0" w:after="0" w:afterAutospacing="0"/>
              <w:jc w:val="both"/>
              <w:rPr>
                <w:rFonts w:asciiTheme="majorBidi" w:hAnsiTheme="majorBidi" w:cstheme="majorBidi"/>
              </w:rPr>
            </w:pPr>
            <w:r>
              <w:rPr>
                <w:rFonts w:asciiTheme="majorBidi" w:hAnsiTheme="majorBidi" w:cstheme="majorBidi"/>
              </w:rPr>
              <w:t>20</w:t>
            </w:r>
          </w:p>
        </w:tc>
        <w:tc>
          <w:tcPr>
            <w:tcW w:w="6330" w:type="dxa"/>
          </w:tcPr>
          <w:p w14:paraId="203BED2B">
            <w:pPr>
              <w:pStyle w:val="17"/>
              <w:spacing w:before="0" w:beforeAutospacing="0" w:after="0" w:afterAutospacing="0"/>
              <w:rPr>
                <w:rFonts w:asciiTheme="majorBidi" w:hAnsiTheme="majorBidi" w:cstheme="majorBidi"/>
              </w:rPr>
            </w:pPr>
            <w:r>
              <w:rPr>
                <w:rFonts w:asciiTheme="majorBidi" w:hAnsiTheme="majorBidi" w:cstheme="majorBidi"/>
              </w:rPr>
              <w:t>Curriculum overload, where schools attempt to cover an excessive amount of content within a limited timeframe, can lead to stress and anxiety among students.</w:t>
            </w:r>
          </w:p>
        </w:tc>
        <w:tc>
          <w:tcPr>
            <w:tcW w:w="523" w:type="dxa"/>
          </w:tcPr>
          <w:p w14:paraId="36064BF6">
            <w:pPr>
              <w:pStyle w:val="17"/>
              <w:spacing w:before="0" w:beforeAutospacing="0" w:after="0" w:afterAutospacing="0"/>
              <w:jc w:val="both"/>
              <w:rPr>
                <w:rFonts w:asciiTheme="majorBidi" w:hAnsiTheme="majorBidi" w:cstheme="majorBidi"/>
                <w:b/>
                <w:bCs/>
              </w:rPr>
            </w:pPr>
          </w:p>
        </w:tc>
        <w:tc>
          <w:tcPr>
            <w:tcW w:w="441" w:type="dxa"/>
          </w:tcPr>
          <w:p w14:paraId="2A9CDED5">
            <w:pPr>
              <w:pStyle w:val="17"/>
              <w:spacing w:before="0" w:beforeAutospacing="0" w:after="0" w:afterAutospacing="0"/>
              <w:jc w:val="both"/>
              <w:rPr>
                <w:rFonts w:asciiTheme="majorBidi" w:hAnsiTheme="majorBidi" w:cstheme="majorBidi"/>
                <w:b/>
                <w:bCs/>
              </w:rPr>
            </w:pPr>
          </w:p>
        </w:tc>
        <w:tc>
          <w:tcPr>
            <w:tcW w:w="441" w:type="dxa"/>
          </w:tcPr>
          <w:p w14:paraId="5F1D4946">
            <w:pPr>
              <w:pStyle w:val="17"/>
              <w:spacing w:before="0" w:beforeAutospacing="0" w:after="0" w:afterAutospacing="0"/>
              <w:jc w:val="both"/>
              <w:rPr>
                <w:rFonts w:asciiTheme="majorBidi" w:hAnsiTheme="majorBidi" w:cstheme="majorBidi"/>
                <w:b/>
                <w:bCs/>
              </w:rPr>
            </w:pPr>
          </w:p>
        </w:tc>
        <w:tc>
          <w:tcPr>
            <w:tcW w:w="477" w:type="dxa"/>
          </w:tcPr>
          <w:p w14:paraId="0190EF9B">
            <w:pPr>
              <w:pStyle w:val="17"/>
              <w:spacing w:before="0" w:beforeAutospacing="0" w:after="0" w:afterAutospacing="0"/>
              <w:jc w:val="both"/>
              <w:rPr>
                <w:rFonts w:asciiTheme="majorBidi" w:hAnsiTheme="majorBidi" w:cstheme="majorBidi"/>
                <w:b/>
                <w:bCs/>
              </w:rPr>
            </w:pPr>
          </w:p>
        </w:tc>
        <w:tc>
          <w:tcPr>
            <w:tcW w:w="523" w:type="dxa"/>
          </w:tcPr>
          <w:p w14:paraId="3044B360">
            <w:pPr>
              <w:pStyle w:val="17"/>
              <w:spacing w:before="0" w:beforeAutospacing="0" w:after="0" w:afterAutospacing="0"/>
              <w:jc w:val="both"/>
              <w:rPr>
                <w:rFonts w:asciiTheme="majorBidi" w:hAnsiTheme="majorBidi" w:cstheme="majorBidi"/>
                <w:b/>
                <w:bCs/>
              </w:rPr>
            </w:pPr>
          </w:p>
        </w:tc>
      </w:tr>
      <w:tr w14:paraId="7B83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5DF50C4">
            <w:pPr>
              <w:pStyle w:val="17"/>
              <w:spacing w:before="0" w:beforeAutospacing="0" w:after="0" w:afterAutospacing="0"/>
              <w:jc w:val="both"/>
              <w:rPr>
                <w:rFonts w:asciiTheme="majorBidi" w:hAnsiTheme="majorBidi" w:cstheme="majorBidi"/>
              </w:rPr>
            </w:pPr>
            <w:r>
              <w:rPr>
                <w:rFonts w:asciiTheme="majorBidi" w:hAnsiTheme="majorBidi" w:cstheme="majorBidi"/>
              </w:rPr>
              <w:t>21</w:t>
            </w:r>
          </w:p>
        </w:tc>
        <w:tc>
          <w:tcPr>
            <w:tcW w:w="6330" w:type="dxa"/>
          </w:tcPr>
          <w:p w14:paraId="032A2F59">
            <w:pPr>
              <w:pStyle w:val="17"/>
              <w:spacing w:before="0" w:beforeAutospacing="0" w:after="0" w:afterAutospacing="0"/>
              <w:rPr>
                <w:rFonts w:asciiTheme="majorBidi" w:hAnsiTheme="majorBidi" w:cstheme="majorBidi"/>
                <w:b/>
                <w:bCs/>
              </w:rPr>
            </w:pPr>
            <w:r>
              <w:rPr>
                <w:rFonts w:asciiTheme="majorBidi" w:hAnsiTheme="majorBidi" w:cstheme="majorBidi"/>
              </w:rPr>
              <w:t>The pressure to complete the syllabus can create an environment where students may be more likely to engage in unethical practices during examinations.</w:t>
            </w:r>
          </w:p>
        </w:tc>
        <w:tc>
          <w:tcPr>
            <w:tcW w:w="523" w:type="dxa"/>
          </w:tcPr>
          <w:p w14:paraId="04670908">
            <w:pPr>
              <w:pStyle w:val="17"/>
              <w:spacing w:before="0" w:beforeAutospacing="0" w:after="0" w:afterAutospacing="0"/>
              <w:jc w:val="both"/>
              <w:rPr>
                <w:rFonts w:asciiTheme="majorBidi" w:hAnsiTheme="majorBidi" w:cstheme="majorBidi"/>
                <w:b/>
                <w:bCs/>
              </w:rPr>
            </w:pPr>
          </w:p>
        </w:tc>
        <w:tc>
          <w:tcPr>
            <w:tcW w:w="441" w:type="dxa"/>
          </w:tcPr>
          <w:p w14:paraId="7FD22503">
            <w:pPr>
              <w:pStyle w:val="17"/>
              <w:spacing w:before="0" w:beforeAutospacing="0" w:after="0" w:afterAutospacing="0"/>
              <w:jc w:val="both"/>
              <w:rPr>
                <w:rFonts w:asciiTheme="majorBidi" w:hAnsiTheme="majorBidi" w:cstheme="majorBidi"/>
                <w:b/>
                <w:bCs/>
              </w:rPr>
            </w:pPr>
          </w:p>
        </w:tc>
        <w:tc>
          <w:tcPr>
            <w:tcW w:w="441" w:type="dxa"/>
          </w:tcPr>
          <w:p w14:paraId="3BE2E243">
            <w:pPr>
              <w:pStyle w:val="17"/>
              <w:spacing w:before="0" w:beforeAutospacing="0" w:after="0" w:afterAutospacing="0"/>
              <w:jc w:val="both"/>
              <w:rPr>
                <w:rFonts w:asciiTheme="majorBidi" w:hAnsiTheme="majorBidi" w:cstheme="majorBidi"/>
                <w:b/>
                <w:bCs/>
              </w:rPr>
            </w:pPr>
          </w:p>
        </w:tc>
        <w:tc>
          <w:tcPr>
            <w:tcW w:w="477" w:type="dxa"/>
          </w:tcPr>
          <w:p w14:paraId="0A0EEA8D">
            <w:pPr>
              <w:pStyle w:val="17"/>
              <w:spacing w:before="0" w:beforeAutospacing="0" w:after="0" w:afterAutospacing="0"/>
              <w:jc w:val="both"/>
              <w:rPr>
                <w:rFonts w:asciiTheme="majorBidi" w:hAnsiTheme="majorBidi" w:cstheme="majorBidi"/>
                <w:b/>
                <w:bCs/>
              </w:rPr>
            </w:pPr>
          </w:p>
        </w:tc>
        <w:tc>
          <w:tcPr>
            <w:tcW w:w="523" w:type="dxa"/>
          </w:tcPr>
          <w:p w14:paraId="7948DE43">
            <w:pPr>
              <w:pStyle w:val="17"/>
              <w:spacing w:before="0" w:beforeAutospacing="0" w:after="0" w:afterAutospacing="0"/>
              <w:jc w:val="both"/>
              <w:rPr>
                <w:rFonts w:asciiTheme="majorBidi" w:hAnsiTheme="majorBidi" w:cstheme="majorBidi"/>
                <w:b/>
                <w:bCs/>
              </w:rPr>
            </w:pPr>
          </w:p>
        </w:tc>
      </w:tr>
      <w:tr w14:paraId="3042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6DC0D74">
            <w:pPr>
              <w:pStyle w:val="17"/>
              <w:spacing w:before="0" w:beforeAutospacing="0" w:after="0" w:afterAutospacing="0"/>
              <w:jc w:val="both"/>
              <w:rPr>
                <w:rFonts w:asciiTheme="majorBidi" w:hAnsiTheme="majorBidi" w:cstheme="majorBidi"/>
              </w:rPr>
            </w:pPr>
            <w:r>
              <w:rPr>
                <w:rFonts w:asciiTheme="majorBidi" w:hAnsiTheme="majorBidi" w:cstheme="majorBidi"/>
              </w:rPr>
              <w:t>22</w:t>
            </w:r>
          </w:p>
        </w:tc>
        <w:tc>
          <w:tcPr>
            <w:tcW w:w="6330" w:type="dxa"/>
          </w:tcPr>
          <w:p w14:paraId="42FCC985">
            <w:pPr>
              <w:pStyle w:val="17"/>
              <w:spacing w:before="0" w:beforeAutospacing="0" w:after="0" w:afterAutospacing="0"/>
              <w:rPr>
                <w:rFonts w:asciiTheme="majorBidi" w:hAnsiTheme="majorBidi" w:cstheme="majorBidi"/>
              </w:rPr>
            </w:pPr>
            <w:r>
              <w:rPr>
                <w:rFonts w:asciiTheme="majorBidi" w:hAnsiTheme="majorBidi" w:cstheme="majorBidi"/>
              </w:rPr>
              <w:t xml:space="preserve">Time constraints can result in rushed teaching and learning processes. </w:t>
            </w:r>
          </w:p>
        </w:tc>
        <w:tc>
          <w:tcPr>
            <w:tcW w:w="523" w:type="dxa"/>
          </w:tcPr>
          <w:p w14:paraId="76CBDDDD">
            <w:pPr>
              <w:pStyle w:val="17"/>
              <w:spacing w:before="0" w:beforeAutospacing="0" w:after="0" w:afterAutospacing="0"/>
              <w:jc w:val="both"/>
              <w:rPr>
                <w:rFonts w:asciiTheme="majorBidi" w:hAnsiTheme="majorBidi" w:cstheme="majorBidi"/>
                <w:b/>
                <w:bCs/>
              </w:rPr>
            </w:pPr>
          </w:p>
        </w:tc>
        <w:tc>
          <w:tcPr>
            <w:tcW w:w="441" w:type="dxa"/>
          </w:tcPr>
          <w:p w14:paraId="060B4C5E">
            <w:pPr>
              <w:pStyle w:val="17"/>
              <w:spacing w:before="0" w:beforeAutospacing="0" w:after="0" w:afterAutospacing="0"/>
              <w:jc w:val="both"/>
              <w:rPr>
                <w:rFonts w:asciiTheme="majorBidi" w:hAnsiTheme="majorBidi" w:cstheme="majorBidi"/>
                <w:b/>
                <w:bCs/>
              </w:rPr>
            </w:pPr>
          </w:p>
        </w:tc>
        <w:tc>
          <w:tcPr>
            <w:tcW w:w="441" w:type="dxa"/>
          </w:tcPr>
          <w:p w14:paraId="7A7D66F8">
            <w:pPr>
              <w:pStyle w:val="17"/>
              <w:spacing w:before="0" w:beforeAutospacing="0" w:after="0" w:afterAutospacing="0"/>
              <w:jc w:val="both"/>
              <w:rPr>
                <w:rFonts w:asciiTheme="majorBidi" w:hAnsiTheme="majorBidi" w:cstheme="majorBidi"/>
                <w:b/>
                <w:bCs/>
              </w:rPr>
            </w:pPr>
          </w:p>
        </w:tc>
        <w:tc>
          <w:tcPr>
            <w:tcW w:w="477" w:type="dxa"/>
          </w:tcPr>
          <w:p w14:paraId="37E43A78">
            <w:pPr>
              <w:pStyle w:val="17"/>
              <w:spacing w:before="0" w:beforeAutospacing="0" w:after="0" w:afterAutospacing="0"/>
              <w:jc w:val="both"/>
              <w:rPr>
                <w:rFonts w:asciiTheme="majorBidi" w:hAnsiTheme="majorBidi" w:cstheme="majorBidi"/>
                <w:b/>
                <w:bCs/>
              </w:rPr>
            </w:pPr>
          </w:p>
        </w:tc>
        <w:tc>
          <w:tcPr>
            <w:tcW w:w="523" w:type="dxa"/>
          </w:tcPr>
          <w:p w14:paraId="49A3E988">
            <w:pPr>
              <w:pStyle w:val="17"/>
              <w:spacing w:before="0" w:beforeAutospacing="0" w:after="0" w:afterAutospacing="0"/>
              <w:jc w:val="both"/>
              <w:rPr>
                <w:rFonts w:asciiTheme="majorBidi" w:hAnsiTheme="majorBidi" w:cstheme="majorBidi"/>
                <w:b/>
                <w:bCs/>
              </w:rPr>
            </w:pPr>
          </w:p>
        </w:tc>
      </w:tr>
      <w:tr w14:paraId="2338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FE6CAF8">
            <w:pPr>
              <w:pStyle w:val="17"/>
              <w:spacing w:before="0" w:beforeAutospacing="0" w:after="0" w:afterAutospacing="0"/>
              <w:jc w:val="both"/>
              <w:rPr>
                <w:rFonts w:asciiTheme="majorBidi" w:hAnsiTheme="majorBidi" w:cstheme="majorBidi"/>
              </w:rPr>
            </w:pPr>
            <w:r>
              <w:rPr>
                <w:rFonts w:asciiTheme="majorBidi" w:hAnsiTheme="majorBidi" w:cstheme="majorBidi"/>
              </w:rPr>
              <w:t>23</w:t>
            </w:r>
          </w:p>
        </w:tc>
        <w:tc>
          <w:tcPr>
            <w:tcW w:w="6330" w:type="dxa"/>
          </w:tcPr>
          <w:p w14:paraId="24053E73">
            <w:pPr>
              <w:pStyle w:val="17"/>
              <w:spacing w:before="0" w:beforeAutospacing="0" w:after="0" w:afterAutospacing="0"/>
              <w:rPr>
                <w:rFonts w:asciiTheme="majorBidi" w:hAnsiTheme="majorBidi" w:cstheme="majorBidi"/>
              </w:rPr>
            </w:pPr>
            <w:r>
              <w:rPr>
                <w:rFonts w:asciiTheme="majorBidi" w:hAnsiTheme="majorBidi" w:cstheme="majorBidi"/>
              </w:rPr>
              <w:t>Students have a strong foundational knowledge of the subject while being exposed to a wide range of topics.</w:t>
            </w:r>
          </w:p>
        </w:tc>
        <w:tc>
          <w:tcPr>
            <w:tcW w:w="523" w:type="dxa"/>
          </w:tcPr>
          <w:p w14:paraId="783977A6">
            <w:pPr>
              <w:pStyle w:val="17"/>
              <w:spacing w:before="0" w:beforeAutospacing="0" w:after="0" w:afterAutospacing="0"/>
              <w:jc w:val="both"/>
              <w:rPr>
                <w:rFonts w:asciiTheme="majorBidi" w:hAnsiTheme="majorBidi" w:cstheme="majorBidi"/>
                <w:b/>
                <w:bCs/>
              </w:rPr>
            </w:pPr>
          </w:p>
        </w:tc>
        <w:tc>
          <w:tcPr>
            <w:tcW w:w="441" w:type="dxa"/>
          </w:tcPr>
          <w:p w14:paraId="4FB00C25">
            <w:pPr>
              <w:pStyle w:val="17"/>
              <w:spacing w:before="0" w:beforeAutospacing="0" w:after="0" w:afterAutospacing="0"/>
              <w:jc w:val="both"/>
              <w:rPr>
                <w:rFonts w:asciiTheme="majorBidi" w:hAnsiTheme="majorBidi" w:cstheme="majorBidi"/>
                <w:b/>
                <w:bCs/>
              </w:rPr>
            </w:pPr>
          </w:p>
        </w:tc>
        <w:tc>
          <w:tcPr>
            <w:tcW w:w="441" w:type="dxa"/>
          </w:tcPr>
          <w:p w14:paraId="2FCED690">
            <w:pPr>
              <w:pStyle w:val="17"/>
              <w:spacing w:before="0" w:beforeAutospacing="0" w:after="0" w:afterAutospacing="0"/>
              <w:jc w:val="both"/>
              <w:rPr>
                <w:rFonts w:asciiTheme="majorBidi" w:hAnsiTheme="majorBidi" w:cstheme="majorBidi"/>
                <w:b/>
                <w:bCs/>
              </w:rPr>
            </w:pPr>
          </w:p>
        </w:tc>
        <w:tc>
          <w:tcPr>
            <w:tcW w:w="477" w:type="dxa"/>
          </w:tcPr>
          <w:p w14:paraId="2D0A141A">
            <w:pPr>
              <w:pStyle w:val="17"/>
              <w:spacing w:before="0" w:beforeAutospacing="0" w:after="0" w:afterAutospacing="0"/>
              <w:jc w:val="both"/>
              <w:rPr>
                <w:rFonts w:asciiTheme="majorBidi" w:hAnsiTheme="majorBidi" w:cstheme="majorBidi"/>
                <w:b/>
                <w:bCs/>
              </w:rPr>
            </w:pPr>
          </w:p>
        </w:tc>
        <w:tc>
          <w:tcPr>
            <w:tcW w:w="523" w:type="dxa"/>
          </w:tcPr>
          <w:p w14:paraId="76B1EF5A">
            <w:pPr>
              <w:pStyle w:val="17"/>
              <w:spacing w:before="0" w:beforeAutospacing="0" w:after="0" w:afterAutospacing="0"/>
              <w:jc w:val="both"/>
              <w:rPr>
                <w:rFonts w:asciiTheme="majorBidi" w:hAnsiTheme="majorBidi" w:cstheme="majorBidi"/>
                <w:b/>
                <w:bCs/>
              </w:rPr>
            </w:pPr>
          </w:p>
        </w:tc>
      </w:tr>
      <w:tr w14:paraId="751E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710" w:type="dxa"/>
          </w:tcPr>
          <w:p w14:paraId="3F52FF46">
            <w:pPr>
              <w:pStyle w:val="17"/>
              <w:spacing w:before="0" w:beforeAutospacing="0" w:after="0" w:afterAutospacing="0"/>
              <w:jc w:val="both"/>
              <w:rPr>
                <w:rFonts w:asciiTheme="majorBidi" w:hAnsiTheme="majorBidi" w:cstheme="majorBidi"/>
              </w:rPr>
            </w:pPr>
          </w:p>
        </w:tc>
        <w:tc>
          <w:tcPr>
            <w:tcW w:w="6330" w:type="dxa"/>
          </w:tcPr>
          <w:p w14:paraId="6E17FE16">
            <w:pPr>
              <w:pStyle w:val="17"/>
              <w:rPr>
                <w:rFonts w:asciiTheme="majorBidi" w:hAnsiTheme="majorBidi" w:cstheme="majorBidi"/>
                <w:b/>
                <w:bCs/>
              </w:rPr>
            </w:pPr>
            <w:r>
              <w:rPr>
                <w:rFonts w:asciiTheme="majorBidi" w:hAnsiTheme="majorBidi" w:cstheme="majorBidi"/>
                <w:b/>
                <w:bCs/>
              </w:rPr>
              <w:t xml:space="preserve">Social media in academic integrity and examination malpractices </w:t>
            </w:r>
          </w:p>
        </w:tc>
        <w:tc>
          <w:tcPr>
            <w:tcW w:w="523" w:type="dxa"/>
          </w:tcPr>
          <w:p w14:paraId="297B9425">
            <w:pPr>
              <w:pStyle w:val="17"/>
              <w:spacing w:before="0" w:beforeAutospacing="0" w:after="0" w:afterAutospacing="0"/>
              <w:jc w:val="both"/>
              <w:rPr>
                <w:rFonts w:asciiTheme="majorBidi" w:hAnsiTheme="majorBidi" w:cstheme="majorBidi"/>
                <w:b/>
                <w:bCs/>
              </w:rPr>
            </w:pPr>
          </w:p>
        </w:tc>
        <w:tc>
          <w:tcPr>
            <w:tcW w:w="441" w:type="dxa"/>
          </w:tcPr>
          <w:p w14:paraId="04EF168D">
            <w:pPr>
              <w:pStyle w:val="17"/>
              <w:spacing w:before="0" w:beforeAutospacing="0" w:after="0" w:afterAutospacing="0"/>
              <w:jc w:val="both"/>
              <w:rPr>
                <w:rFonts w:asciiTheme="majorBidi" w:hAnsiTheme="majorBidi" w:cstheme="majorBidi"/>
                <w:b/>
                <w:bCs/>
              </w:rPr>
            </w:pPr>
          </w:p>
        </w:tc>
        <w:tc>
          <w:tcPr>
            <w:tcW w:w="441" w:type="dxa"/>
          </w:tcPr>
          <w:p w14:paraId="6340E128">
            <w:pPr>
              <w:pStyle w:val="17"/>
              <w:spacing w:before="0" w:beforeAutospacing="0" w:after="0" w:afterAutospacing="0"/>
              <w:jc w:val="both"/>
              <w:rPr>
                <w:rFonts w:asciiTheme="majorBidi" w:hAnsiTheme="majorBidi" w:cstheme="majorBidi"/>
                <w:b/>
                <w:bCs/>
              </w:rPr>
            </w:pPr>
          </w:p>
        </w:tc>
        <w:tc>
          <w:tcPr>
            <w:tcW w:w="477" w:type="dxa"/>
          </w:tcPr>
          <w:p w14:paraId="4B0AB5BD">
            <w:pPr>
              <w:pStyle w:val="17"/>
              <w:spacing w:before="0" w:beforeAutospacing="0" w:after="0" w:afterAutospacing="0"/>
              <w:jc w:val="both"/>
              <w:rPr>
                <w:rFonts w:asciiTheme="majorBidi" w:hAnsiTheme="majorBidi" w:cstheme="majorBidi"/>
                <w:b/>
                <w:bCs/>
              </w:rPr>
            </w:pPr>
          </w:p>
        </w:tc>
        <w:tc>
          <w:tcPr>
            <w:tcW w:w="523" w:type="dxa"/>
          </w:tcPr>
          <w:p w14:paraId="74EAF750">
            <w:pPr>
              <w:pStyle w:val="17"/>
              <w:spacing w:before="0" w:beforeAutospacing="0" w:after="0" w:afterAutospacing="0"/>
              <w:jc w:val="both"/>
              <w:rPr>
                <w:rFonts w:asciiTheme="majorBidi" w:hAnsiTheme="majorBidi" w:cstheme="majorBidi"/>
                <w:b/>
                <w:bCs/>
              </w:rPr>
            </w:pPr>
          </w:p>
        </w:tc>
      </w:tr>
      <w:tr w14:paraId="35F6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428B620">
            <w:pPr>
              <w:pStyle w:val="17"/>
              <w:spacing w:before="0" w:beforeAutospacing="0" w:after="0" w:afterAutospacing="0"/>
              <w:jc w:val="both"/>
              <w:rPr>
                <w:rFonts w:asciiTheme="majorBidi" w:hAnsiTheme="majorBidi" w:cstheme="majorBidi"/>
              </w:rPr>
            </w:pPr>
            <w:r>
              <w:rPr>
                <w:rFonts w:asciiTheme="majorBidi" w:hAnsiTheme="majorBidi" w:cstheme="majorBidi"/>
              </w:rPr>
              <w:t>24</w:t>
            </w:r>
          </w:p>
        </w:tc>
        <w:tc>
          <w:tcPr>
            <w:tcW w:w="6330" w:type="dxa"/>
          </w:tcPr>
          <w:p w14:paraId="18DFC99C">
            <w:pPr>
              <w:pStyle w:val="17"/>
              <w:spacing w:before="0" w:beforeAutospacing="0" w:after="0" w:afterAutospacing="0"/>
              <w:rPr>
                <w:rFonts w:asciiTheme="majorBidi" w:hAnsiTheme="majorBidi" w:cstheme="majorBidi"/>
              </w:rPr>
            </w:pPr>
            <w:r>
              <w:rPr>
                <w:rFonts w:asciiTheme="majorBidi" w:hAnsiTheme="majorBidi" w:cstheme="majorBidi"/>
              </w:rPr>
              <w:t>Students possess phones during exams.</w:t>
            </w:r>
          </w:p>
        </w:tc>
        <w:tc>
          <w:tcPr>
            <w:tcW w:w="523" w:type="dxa"/>
          </w:tcPr>
          <w:p w14:paraId="5C46334C">
            <w:pPr>
              <w:pStyle w:val="17"/>
              <w:spacing w:before="0" w:beforeAutospacing="0" w:after="0" w:afterAutospacing="0"/>
              <w:jc w:val="both"/>
              <w:rPr>
                <w:rFonts w:asciiTheme="majorBidi" w:hAnsiTheme="majorBidi" w:cstheme="majorBidi"/>
                <w:b/>
                <w:bCs/>
              </w:rPr>
            </w:pPr>
          </w:p>
        </w:tc>
        <w:tc>
          <w:tcPr>
            <w:tcW w:w="441" w:type="dxa"/>
          </w:tcPr>
          <w:p w14:paraId="0C2ACB58">
            <w:pPr>
              <w:pStyle w:val="17"/>
              <w:spacing w:before="0" w:beforeAutospacing="0" w:after="0" w:afterAutospacing="0"/>
              <w:jc w:val="both"/>
              <w:rPr>
                <w:rFonts w:asciiTheme="majorBidi" w:hAnsiTheme="majorBidi" w:cstheme="majorBidi"/>
                <w:b/>
                <w:bCs/>
              </w:rPr>
            </w:pPr>
          </w:p>
        </w:tc>
        <w:tc>
          <w:tcPr>
            <w:tcW w:w="441" w:type="dxa"/>
          </w:tcPr>
          <w:p w14:paraId="60C7B58D">
            <w:pPr>
              <w:pStyle w:val="17"/>
              <w:spacing w:before="0" w:beforeAutospacing="0" w:after="0" w:afterAutospacing="0"/>
              <w:jc w:val="both"/>
              <w:rPr>
                <w:rFonts w:asciiTheme="majorBidi" w:hAnsiTheme="majorBidi" w:cstheme="majorBidi"/>
                <w:b/>
                <w:bCs/>
              </w:rPr>
            </w:pPr>
          </w:p>
        </w:tc>
        <w:tc>
          <w:tcPr>
            <w:tcW w:w="477" w:type="dxa"/>
          </w:tcPr>
          <w:p w14:paraId="688CC01B">
            <w:pPr>
              <w:pStyle w:val="17"/>
              <w:spacing w:before="0" w:beforeAutospacing="0" w:after="0" w:afterAutospacing="0"/>
              <w:jc w:val="both"/>
              <w:rPr>
                <w:rFonts w:asciiTheme="majorBidi" w:hAnsiTheme="majorBidi" w:cstheme="majorBidi"/>
                <w:b/>
                <w:bCs/>
              </w:rPr>
            </w:pPr>
          </w:p>
        </w:tc>
        <w:tc>
          <w:tcPr>
            <w:tcW w:w="523" w:type="dxa"/>
          </w:tcPr>
          <w:p w14:paraId="7AB2BC7F">
            <w:pPr>
              <w:pStyle w:val="17"/>
              <w:spacing w:before="0" w:beforeAutospacing="0" w:after="0" w:afterAutospacing="0"/>
              <w:jc w:val="both"/>
              <w:rPr>
                <w:rFonts w:asciiTheme="majorBidi" w:hAnsiTheme="majorBidi" w:cstheme="majorBidi"/>
                <w:b/>
                <w:bCs/>
              </w:rPr>
            </w:pPr>
          </w:p>
        </w:tc>
      </w:tr>
      <w:tr w14:paraId="7E44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72252F0">
            <w:pPr>
              <w:pStyle w:val="17"/>
              <w:spacing w:before="0" w:beforeAutospacing="0" w:after="0" w:afterAutospacing="0"/>
              <w:jc w:val="both"/>
              <w:rPr>
                <w:rFonts w:asciiTheme="majorBidi" w:hAnsiTheme="majorBidi" w:cstheme="majorBidi"/>
              </w:rPr>
            </w:pPr>
            <w:r>
              <w:rPr>
                <w:rFonts w:asciiTheme="majorBidi" w:hAnsiTheme="majorBidi" w:cstheme="majorBidi"/>
              </w:rPr>
              <w:t>25</w:t>
            </w:r>
          </w:p>
        </w:tc>
        <w:tc>
          <w:tcPr>
            <w:tcW w:w="6330" w:type="dxa"/>
          </w:tcPr>
          <w:p w14:paraId="0AD4958F">
            <w:pPr>
              <w:pStyle w:val="17"/>
              <w:spacing w:before="0" w:beforeAutospacing="0" w:after="0" w:afterAutospacing="0"/>
              <w:rPr>
                <w:rFonts w:asciiTheme="majorBidi" w:hAnsiTheme="majorBidi" w:cstheme="majorBidi"/>
              </w:rPr>
            </w:pPr>
            <w:r>
              <w:rPr>
                <w:rFonts w:asciiTheme="majorBidi" w:hAnsiTheme="majorBidi" w:cstheme="majorBidi"/>
              </w:rPr>
              <w:t>Prevalence of cheating culture influence students' decisions to use social media during Exams.</w:t>
            </w:r>
          </w:p>
        </w:tc>
        <w:tc>
          <w:tcPr>
            <w:tcW w:w="523" w:type="dxa"/>
          </w:tcPr>
          <w:p w14:paraId="187A56A9">
            <w:pPr>
              <w:pStyle w:val="17"/>
              <w:spacing w:before="0" w:beforeAutospacing="0" w:after="0" w:afterAutospacing="0"/>
              <w:jc w:val="both"/>
              <w:rPr>
                <w:rFonts w:asciiTheme="majorBidi" w:hAnsiTheme="majorBidi" w:cstheme="majorBidi"/>
                <w:b/>
                <w:bCs/>
              </w:rPr>
            </w:pPr>
          </w:p>
        </w:tc>
        <w:tc>
          <w:tcPr>
            <w:tcW w:w="441" w:type="dxa"/>
          </w:tcPr>
          <w:p w14:paraId="285B3E5A">
            <w:pPr>
              <w:pStyle w:val="17"/>
              <w:spacing w:before="0" w:beforeAutospacing="0" w:after="0" w:afterAutospacing="0"/>
              <w:jc w:val="both"/>
              <w:rPr>
                <w:rFonts w:asciiTheme="majorBidi" w:hAnsiTheme="majorBidi" w:cstheme="majorBidi"/>
                <w:b/>
                <w:bCs/>
              </w:rPr>
            </w:pPr>
          </w:p>
        </w:tc>
        <w:tc>
          <w:tcPr>
            <w:tcW w:w="441" w:type="dxa"/>
          </w:tcPr>
          <w:p w14:paraId="4F73DBEF">
            <w:pPr>
              <w:pStyle w:val="17"/>
              <w:spacing w:before="0" w:beforeAutospacing="0" w:after="0" w:afterAutospacing="0"/>
              <w:jc w:val="both"/>
              <w:rPr>
                <w:rFonts w:asciiTheme="majorBidi" w:hAnsiTheme="majorBidi" w:cstheme="majorBidi"/>
                <w:b/>
                <w:bCs/>
              </w:rPr>
            </w:pPr>
          </w:p>
        </w:tc>
        <w:tc>
          <w:tcPr>
            <w:tcW w:w="477" w:type="dxa"/>
          </w:tcPr>
          <w:p w14:paraId="2AC9467A">
            <w:pPr>
              <w:pStyle w:val="17"/>
              <w:spacing w:before="0" w:beforeAutospacing="0" w:after="0" w:afterAutospacing="0"/>
              <w:jc w:val="both"/>
              <w:rPr>
                <w:rFonts w:asciiTheme="majorBidi" w:hAnsiTheme="majorBidi" w:cstheme="majorBidi"/>
                <w:b/>
                <w:bCs/>
              </w:rPr>
            </w:pPr>
          </w:p>
        </w:tc>
        <w:tc>
          <w:tcPr>
            <w:tcW w:w="523" w:type="dxa"/>
          </w:tcPr>
          <w:p w14:paraId="06A18A52">
            <w:pPr>
              <w:pStyle w:val="17"/>
              <w:spacing w:before="0" w:beforeAutospacing="0" w:after="0" w:afterAutospacing="0"/>
              <w:jc w:val="both"/>
              <w:rPr>
                <w:rFonts w:asciiTheme="majorBidi" w:hAnsiTheme="majorBidi" w:cstheme="majorBidi"/>
                <w:b/>
                <w:bCs/>
              </w:rPr>
            </w:pPr>
          </w:p>
        </w:tc>
      </w:tr>
      <w:tr w14:paraId="570D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43FBE99">
            <w:pPr>
              <w:pStyle w:val="17"/>
              <w:spacing w:before="0" w:beforeAutospacing="0" w:after="0" w:afterAutospacing="0"/>
              <w:jc w:val="both"/>
              <w:rPr>
                <w:rFonts w:asciiTheme="majorBidi" w:hAnsiTheme="majorBidi" w:cstheme="majorBidi"/>
              </w:rPr>
            </w:pPr>
            <w:r>
              <w:rPr>
                <w:rFonts w:asciiTheme="majorBidi" w:hAnsiTheme="majorBidi" w:cstheme="majorBidi"/>
              </w:rPr>
              <w:t>26</w:t>
            </w:r>
          </w:p>
        </w:tc>
        <w:tc>
          <w:tcPr>
            <w:tcW w:w="6330" w:type="dxa"/>
          </w:tcPr>
          <w:p w14:paraId="6C7FA4A8">
            <w:pPr>
              <w:pStyle w:val="17"/>
              <w:spacing w:before="0" w:beforeAutospacing="0" w:after="0" w:afterAutospacing="0"/>
              <w:rPr>
                <w:rFonts w:asciiTheme="majorBidi" w:hAnsiTheme="majorBidi" w:cstheme="majorBidi"/>
              </w:rPr>
            </w:pPr>
            <w:r>
              <w:rPr>
                <w:rFonts w:asciiTheme="majorBidi" w:hAnsiTheme="majorBidi" w:cstheme="majorBidi"/>
              </w:rPr>
              <w:t>Students get answers before and during exams through social media</w:t>
            </w:r>
          </w:p>
        </w:tc>
        <w:tc>
          <w:tcPr>
            <w:tcW w:w="523" w:type="dxa"/>
          </w:tcPr>
          <w:p w14:paraId="77DCC042">
            <w:pPr>
              <w:pStyle w:val="17"/>
              <w:spacing w:before="0" w:beforeAutospacing="0" w:after="0" w:afterAutospacing="0"/>
              <w:jc w:val="both"/>
              <w:rPr>
                <w:rFonts w:asciiTheme="majorBidi" w:hAnsiTheme="majorBidi" w:cstheme="majorBidi"/>
                <w:b/>
                <w:bCs/>
              </w:rPr>
            </w:pPr>
          </w:p>
        </w:tc>
        <w:tc>
          <w:tcPr>
            <w:tcW w:w="441" w:type="dxa"/>
          </w:tcPr>
          <w:p w14:paraId="6AC88E4C">
            <w:pPr>
              <w:pStyle w:val="17"/>
              <w:spacing w:before="0" w:beforeAutospacing="0" w:after="0" w:afterAutospacing="0"/>
              <w:jc w:val="both"/>
              <w:rPr>
                <w:rFonts w:asciiTheme="majorBidi" w:hAnsiTheme="majorBidi" w:cstheme="majorBidi"/>
                <w:b/>
                <w:bCs/>
              </w:rPr>
            </w:pPr>
          </w:p>
        </w:tc>
        <w:tc>
          <w:tcPr>
            <w:tcW w:w="441" w:type="dxa"/>
          </w:tcPr>
          <w:p w14:paraId="2B07F039">
            <w:pPr>
              <w:pStyle w:val="17"/>
              <w:spacing w:before="0" w:beforeAutospacing="0" w:after="0" w:afterAutospacing="0"/>
              <w:jc w:val="both"/>
              <w:rPr>
                <w:rFonts w:asciiTheme="majorBidi" w:hAnsiTheme="majorBidi" w:cstheme="majorBidi"/>
                <w:b/>
                <w:bCs/>
              </w:rPr>
            </w:pPr>
          </w:p>
        </w:tc>
        <w:tc>
          <w:tcPr>
            <w:tcW w:w="477" w:type="dxa"/>
          </w:tcPr>
          <w:p w14:paraId="6A9782DC">
            <w:pPr>
              <w:pStyle w:val="17"/>
              <w:spacing w:before="0" w:beforeAutospacing="0" w:after="0" w:afterAutospacing="0"/>
              <w:jc w:val="both"/>
              <w:rPr>
                <w:rFonts w:asciiTheme="majorBidi" w:hAnsiTheme="majorBidi" w:cstheme="majorBidi"/>
                <w:b/>
                <w:bCs/>
              </w:rPr>
            </w:pPr>
          </w:p>
        </w:tc>
        <w:tc>
          <w:tcPr>
            <w:tcW w:w="523" w:type="dxa"/>
          </w:tcPr>
          <w:p w14:paraId="51842F0D">
            <w:pPr>
              <w:pStyle w:val="17"/>
              <w:spacing w:before="0" w:beforeAutospacing="0" w:after="0" w:afterAutospacing="0"/>
              <w:jc w:val="both"/>
              <w:rPr>
                <w:rFonts w:asciiTheme="majorBidi" w:hAnsiTheme="majorBidi" w:cstheme="majorBidi"/>
                <w:b/>
                <w:bCs/>
              </w:rPr>
            </w:pPr>
          </w:p>
        </w:tc>
      </w:tr>
      <w:tr w14:paraId="2B4E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C3A927B">
            <w:pPr>
              <w:pStyle w:val="17"/>
              <w:spacing w:before="0" w:beforeAutospacing="0" w:after="0" w:afterAutospacing="0"/>
              <w:jc w:val="both"/>
              <w:rPr>
                <w:rFonts w:asciiTheme="majorBidi" w:hAnsiTheme="majorBidi" w:cstheme="majorBidi"/>
              </w:rPr>
            </w:pPr>
            <w:r>
              <w:rPr>
                <w:rFonts w:asciiTheme="majorBidi" w:hAnsiTheme="majorBidi" w:cstheme="majorBidi"/>
              </w:rPr>
              <w:t>27</w:t>
            </w:r>
          </w:p>
        </w:tc>
        <w:tc>
          <w:tcPr>
            <w:tcW w:w="6330" w:type="dxa"/>
          </w:tcPr>
          <w:p w14:paraId="7E125DE9">
            <w:pPr>
              <w:pStyle w:val="17"/>
              <w:spacing w:before="0" w:beforeAutospacing="0" w:after="0" w:afterAutospacing="0"/>
              <w:rPr>
                <w:rFonts w:asciiTheme="majorBidi" w:hAnsiTheme="majorBidi" w:cstheme="majorBidi"/>
                <w:b/>
                <w:bCs/>
              </w:rPr>
            </w:pPr>
            <w:r>
              <w:rPr>
                <w:rFonts w:asciiTheme="majorBidi" w:hAnsiTheme="majorBidi" w:cstheme="majorBidi"/>
              </w:rPr>
              <w:t>The proliferation of technology has introduced new avenues for academic dishonesty.</w:t>
            </w:r>
          </w:p>
        </w:tc>
        <w:tc>
          <w:tcPr>
            <w:tcW w:w="523" w:type="dxa"/>
          </w:tcPr>
          <w:p w14:paraId="21A99CB2">
            <w:pPr>
              <w:pStyle w:val="17"/>
              <w:spacing w:before="0" w:beforeAutospacing="0" w:after="0" w:afterAutospacing="0"/>
              <w:jc w:val="both"/>
              <w:rPr>
                <w:rFonts w:asciiTheme="majorBidi" w:hAnsiTheme="majorBidi" w:cstheme="majorBidi"/>
                <w:b/>
                <w:bCs/>
              </w:rPr>
            </w:pPr>
          </w:p>
        </w:tc>
        <w:tc>
          <w:tcPr>
            <w:tcW w:w="441" w:type="dxa"/>
          </w:tcPr>
          <w:p w14:paraId="02ED259F">
            <w:pPr>
              <w:pStyle w:val="17"/>
              <w:spacing w:before="0" w:beforeAutospacing="0" w:after="0" w:afterAutospacing="0"/>
              <w:jc w:val="both"/>
              <w:rPr>
                <w:rFonts w:asciiTheme="majorBidi" w:hAnsiTheme="majorBidi" w:cstheme="majorBidi"/>
                <w:b/>
                <w:bCs/>
              </w:rPr>
            </w:pPr>
          </w:p>
        </w:tc>
        <w:tc>
          <w:tcPr>
            <w:tcW w:w="441" w:type="dxa"/>
          </w:tcPr>
          <w:p w14:paraId="5EC8E6C7">
            <w:pPr>
              <w:pStyle w:val="17"/>
              <w:spacing w:before="0" w:beforeAutospacing="0" w:after="0" w:afterAutospacing="0"/>
              <w:jc w:val="both"/>
              <w:rPr>
                <w:rFonts w:asciiTheme="majorBidi" w:hAnsiTheme="majorBidi" w:cstheme="majorBidi"/>
                <w:b/>
                <w:bCs/>
              </w:rPr>
            </w:pPr>
          </w:p>
        </w:tc>
        <w:tc>
          <w:tcPr>
            <w:tcW w:w="477" w:type="dxa"/>
          </w:tcPr>
          <w:p w14:paraId="5C4A4BF7">
            <w:pPr>
              <w:pStyle w:val="17"/>
              <w:spacing w:before="0" w:beforeAutospacing="0" w:after="0" w:afterAutospacing="0"/>
              <w:jc w:val="both"/>
              <w:rPr>
                <w:rFonts w:asciiTheme="majorBidi" w:hAnsiTheme="majorBidi" w:cstheme="majorBidi"/>
                <w:b/>
                <w:bCs/>
              </w:rPr>
            </w:pPr>
          </w:p>
        </w:tc>
        <w:tc>
          <w:tcPr>
            <w:tcW w:w="523" w:type="dxa"/>
          </w:tcPr>
          <w:p w14:paraId="29513440">
            <w:pPr>
              <w:pStyle w:val="17"/>
              <w:spacing w:before="0" w:beforeAutospacing="0" w:after="0" w:afterAutospacing="0"/>
              <w:jc w:val="both"/>
              <w:rPr>
                <w:rFonts w:asciiTheme="majorBidi" w:hAnsiTheme="majorBidi" w:cstheme="majorBidi"/>
                <w:b/>
                <w:bCs/>
              </w:rPr>
            </w:pPr>
          </w:p>
        </w:tc>
      </w:tr>
      <w:tr w14:paraId="7767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2747AF4">
            <w:pPr>
              <w:pStyle w:val="17"/>
              <w:spacing w:before="0" w:beforeAutospacing="0" w:after="0" w:afterAutospacing="0"/>
              <w:jc w:val="both"/>
              <w:rPr>
                <w:rFonts w:asciiTheme="majorBidi" w:hAnsiTheme="majorBidi" w:cstheme="majorBidi"/>
              </w:rPr>
            </w:pPr>
            <w:r>
              <w:rPr>
                <w:rFonts w:asciiTheme="majorBidi" w:hAnsiTheme="majorBidi" w:cstheme="majorBidi"/>
              </w:rPr>
              <w:t>28</w:t>
            </w:r>
          </w:p>
        </w:tc>
        <w:tc>
          <w:tcPr>
            <w:tcW w:w="6330" w:type="dxa"/>
          </w:tcPr>
          <w:p w14:paraId="799DDA86">
            <w:pPr>
              <w:pStyle w:val="17"/>
              <w:spacing w:before="0" w:beforeAutospacing="0" w:after="0" w:afterAutospacing="0"/>
              <w:rPr>
                <w:rFonts w:asciiTheme="majorBidi" w:hAnsiTheme="majorBidi" w:cstheme="majorBidi"/>
              </w:rPr>
            </w:pPr>
            <w:r>
              <w:rPr>
                <w:rFonts w:asciiTheme="majorBidi" w:hAnsiTheme="majorBidi" w:cstheme="majorBidi"/>
              </w:rPr>
              <w:t>In an attempt to gain social approval or conform to peer norms, students engage in dishonest behavior during examinations, including cheating or sharing exam-related content online</w:t>
            </w:r>
          </w:p>
        </w:tc>
        <w:tc>
          <w:tcPr>
            <w:tcW w:w="523" w:type="dxa"/>
          </w:tcPr>
          <w:p w14:paraId="37D5387F">
            <w:pPr>
              <w:pStyle w:val="17"/>
              <w:spacing w:before="0" w:beforeAutospacing="0" w:after="0" w:afterAutospacing="0"/>
              <w:jc w:val="both"/>
              <w:rPr>
                <w:rFonts w:asciiTheme="majorBidi" w:hAnsiTheme="majorBidi" w:cstheme="majorBidi"/>
                <w:b/>
                <w:bCs/>
              </w:rPr>
            </w:pPr>
          </w:p>
        </w:tc>
        <w:tc>
          <w:tcPr>
            <w:tcW w:w="441" w:type="dxa"/>
          </w:tcPr>
          <w:p w14:paraId="09E536AF">
            <w:pPr>
              <w:pStyle w:val="17"/>
              <w:spacing w:before="0" w:beforeAutospacing="0" w:after="0" w:afterAutospacing="0"/>
              <w:jc w:val="both"/>
              <w:rPr>
                <w:rFonts w:asciiTheme="majorBidi" w:hAnsiTheme="majorBidi" w:cstheme="majorBidi"/>
                <w:b/>
                <w:bCs/>
              </w:rPr>
            </w:pPr>
          </w:p>
        </w:tc>
        <w:tc>
          <w:tcPr>
            <w:tcW w:w="441" w:type="dxa"/>
          </w:tcPr>
          <w:p w14:paraId="396F832F">
            <w:pPr>
              <w:pStyle w:val="17"/>
              <w:spacing w:before="0" w:beforeAutospacing="0" w:after="0" w:afterAutospacing="0"/>
              <w:jc w:val="both"/>
              <w:rPr>
                <w:rFonts w:asciiTheme="majorBidi" w:hAnsiTheme="majorBidi" w:cstheme="majorBidi"/>
                <w:b/>
                <w:bCs/>
              </w:rPr>
            </w:pPr>
          </w:p>
        </w:tc>
        <w:tc>
          <w:tcPr>
            <w:tcW w:w="477" w:type="dxa"/>
          </w:tcPr>
          <w:p w14:paraId="060870FA">
            <w:pPr>
              <w:pStyle w:val="17"/>
              <w:spacing w:before="0" w:beforeAutospacing="0" w:after="0" w:afterAutospacing="0"/>
              <w:jc w:val="both"/>
              <w:rPr>
                <w:rFonts w:asciiTheme="majorBidi" w:hAnsiTheme="majorBidi" w:cstheme="majorBidi"/>
                <w:b/>
                <w:bCs/>
              </w:rPr>
            </w:pPr>
          </w:p>
        </w:tc>
        <w:tc>
          <w:tcPr>
            <w:tcW w:w="523" w:type="dxa"/>
          </w:tcPr>
          <w:p w14:paraId="0CE2E491">
            <w:pPr>
              <w:pStyle w:val="17"/>
              <w:spacing w:before="0" w:beforeAutospacing="0" w:after="0" w:afterAutospacing="0"/>
              <w:jc w:val="both"/>
              <w:rPr>
                <w:rFonts w:asciiTheme="majorBidi" w:hAnsiTheme="majorBidi" w:cstheme="majorBidi"/>
                <w:b/>
                <w:bCs/>
              </w:rPr>
            </w:pPr>
          </w:p>
        </w:tc>
      </w:tr>
      <w:tr w14:paraId="7CA4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D7EB991">
            <w:pPr>
              <w:pStyle w:val="17"/>
              <w:spacing w:before="0" w:beforeAutospacing="0" w:after="0" w:afterAutospacing="0"/>
              <w:jc w:val="both"/>
              <w:rPr>
                <w:rFonts w:asciiTheme="majorBidi" w:hAnsiTheme="majorBidi" w:cstheme="majorBidi"/>
              </w:rPr>
            </w:pPr>
          </w:p>
        </w:tc>
        <w:tc>
          <w:tcPr>
            <w:tcW w:w="6330" w:type="dxa"/>
          </w:tcPr>
          <w:p w14:paraId="38959048">
            <w:pPr>
              <w:spacing w:after="0" w:line="240" w:lineRule="auto"/>
              <w:rPr>
                <w:rFonts w:asciiTheme="majorBidi" w:hAnsiTheme="majorBidi" w:cstheme="majorBidi"/>
                <w:b/>
                <w:bCs/>
                <w:sz w:val="24"/>
                <w:szCs w:val="24"/>
              </w:rPr>
            </w:pPr>
            <w:r>
              <w:rPr>
                <w:rStyle w:val="19"/>
                <w:rFonts w:asciiTheme="majorBidi" w:hAnsiTheme="majorBidi" w:cstheme="majorBidi"/>
                <w:sz w:val="24"/>
                <w:szCs w:val="24"/>
              </w:rPr>
              <w:t>Level of KCSE examinations malpractices</w:t>
            </w:r>
          </w:p>
          <w:p w14:paraId="06F61C0B">
            <w:pPr>
              <w:spacing w:after="0" w:line="240" w:lineRule="auto"/>
              <w:rPr>
                <w:rFonts w:asciiTheme="majorBidi" w:hAnsiTheme="majorBidi" w:cstheme="majorBidi"/>
                <w:b/>
                <w:bCs/>
                <w:sz w:val="24"/>
                <w:szCs w:val="24"/>
              </w:rPr>
            </w:pPr>
          </w:p>
        </w:tc>
        <w:tc>
          <w:tcPr>
            <w:tcW w:w="523" w:type="dxa"/>
          </w:tcPr>
          <w:p w14:paraId="2A9E7F54">
            <w:pPr>
              <w:pStyle w:val="17"/>
              <w:spacing w:before="0" w:beforeAutospacing="0" w:after="0" w:afterAutospacing="0"/>
              <w:jc w:val="both"/>
              <w:rPr>
                <w:rFonts w:asciiTheme="majorBidi" w:hAnsiTheme="majorBidi" w:cstheme="majorBidi"/>
                <w:b/>
                <w:bCs/>
              </w:rPr>
            </w:pPr>
          </w:p>
        </w:tc>
        <w:tc>
          <w:tcPr>
            <w:tcW w:w="441" w:type="dxa"/>
          </w:tcPr>
          <w:p w14:paraId="1D878F3C">
            <w:pPr>
              <w:pStyle w:val="17"/>
              <w:spacing w:before="0" w:beforeAutospacing="0" w:after="0" w:afterAutospacing="0"/>
              <w:jc w:val="both"/>
              <w:rPr>
                <w:rFonts w:asciiTheme="majorBidi" w:hAnsiTheme="majorBidi" w:cstheme="majorBidi"/>
                <w:b/>
                <w:bCs/>
              </w:rPr>
            </w:pPr>
          </w:p>
        </w:tc>
        <w:tc>
          <w:tcPr>
            <w:tcW w:w="441" w:type="dxa"/>
          </w:tcPr>
          <w:p w14:paraId="748EC2D7">
            <w:pPr>
              <w:pStyle w:val="17"/>
              <w:spacing w:before="0" w:beforeAutospacing="0" w:after="0" w:afterAutospacing="0"/>
              <w:jc w:val="both"/>
              <w:rPr>
                <w:rFonts w:asciiTheme="majorBidi" w:hAnsiTheme="majorBidi" w:cstheme="majorBidi"/>
                <w:b/>
                <w:bCs/>
              </w:rPr>
            </w:pPr>
          </w:p>
        </w:tc>
        <w:tc>
          <w:tcPr>
            <w:tcW w:w="477" w:type="dxa"/>
          </w:tcPr>
          <w:p w14:paraId="23D5AE57">
            <w:pPr>
              <w:pStyle w:val="17"/>
              <w:spacing w:before="0" w:beforeAutospacing="0" w:after="0" w:afterAutospacing="0"/>
              <w:jc w:val="both"/>
              <w:rPr>
                <w:rFonts w:asciiTheme="majorBidi" w:hAnsiTheme="majorBidi" w:cstheme="majorBidi"/>
                <w:b/>
                <w:bCs/>
              </w:rPr>
            </w:pPr>
          </w:p>
        </w:tc>
        <w:tc>
          <w:tcPr>
            <w:tcW w:w="523" w:type="dxa"/>
          </w:tcPr>
          <w:p w14:paraId="578DF960">
            <w:pPr>
              <w:pStyle w:val="17"/>
              <w:spacing w:before="0" w:beforeAutospacing="0" w:after="0" w:afterAutospacing="0"/>
              <w:jc w:val="both"/>
              <w:rPr>
                <w:rFonts w:asciiTheme="majorBidi" w:hAnsiTheme="majorBidi" w:cstheme="majorBidi"/>
                <w:b/>
                <w:bCs/>
              </w:rPr>
            </w:pPr>
          </w:p>
        </w:tc>
      </w:tr>
      <w:tr w14:paraId="64A0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584A82D">
            <w:pPr>
              <w:pStyle w:val="17"/>
              <w:spacing w:before="0" w:beforeAutospacing="0" w:after="0" w:afterAutospacing="0"/>
              <w:jc w:val="both"/>
              <w:rPr>
                <w:rFonts w:asciiTheme="majorBidi" w:hAnsiTheme="majorBidi" w:cstheme="majorBidi"/>
              </w:rPr>
            </w:pPr>
            <w:r>
              <w:rPr>
                <w:rFonts w:asciiTheme="majorBidi" w:hAnsiTheme="majorBidi" w:cstheme="majorBidi"/>
              </w:rPr>
              <w:t>29</w:t>
            </w:r>
          </w:p>
        </w:tc>
        <w:tc>
          <w:tcPr>
            <w:tcW w:w="6330" w:type="dxa"/>
          </w:tcPr>
          <w:p w14:paraId="5D34B41E">
            <w:pPr>
              <w:spacing w:after="0" w:line="240" w:lineRule="auto"/>
              <w:rPr>
                <w:rFonts w:asciiTheme="majorBidi" w:hAnsiTheme="majorBidi" w:cstheme="majorBidi"/>
                <w:sz w:val="24"/>
                <w:szCs w:val="24"/>
              </w:rPr>
            </w:pPr>
            <w:r>
              <w:rPr>
                <w:rFonts w:asciiTheme="majorBidi" w:hAnsiTheme="majorBidi" w:cstheme="majorBidi"/>
                <w:sz w:val="24"/>
                <w:szCs w:val="24"/>
              </w:rPr>
              <w:t>Students use unfair methods to learn what was on a test before it was given.</w:t>
            </w:r>
          </w:p>
        </w:tc>
        <w:tc>
          <w:tcPr>
            <w:tcW w:w="523" w:type="dxa"/>
          </w:tcPr>
          <w:p w14:paraId="49EEC0B5">
            <w:pPr>
              <w:pStyle w:val="17"/>
              <w:spacing w:before="0" w:beforeAutospacing="0" w:after="0" w:afterAutospacing="0"/>
              <w:jc w:val="both"/>
              <w:rPr>
                <w:rFonts w:asciiTheme="majorBidi" w:hAnsiTheme="majorBidi" w:cstheme="majorBidi"/>
                <w:b/>
                <w:bCs/>
              </w:rPr>
            </w:pPr>
          </w:p>
        </w:tc>
        <w:tc>
          <w:tcPr>
            <w:tcW w:w="441" w:type="dxa"/>
          </w:tcPr>
          <w:p w14:paraId="6763C97A">
            <w:pPr>
              <w:pStyle w:val="17"/>
              <w:spacing w:before="0" w:beforeAutospacing="0" w:after="0" w:afterAutospacing="0"/>
              <w:jc w:val="both"/>
              <w:rPr>
                <w:rFonts w:asciiTheme="majorBidi" w:hAnsiTheme="majorBidi" w:cstheme="majorBidi"/>
                <w:b/>
                <w:bCs/>
              </w:rPr>
            </w:pPr>
          </w:p>
        </w:tc>
        <w:tc>
          <w:tcPr>
            <w:tcW w:w="441" w:type="dxa"/>
          </w:tcPr>
          <w:p w14:paraId="7A353278">
            <w:pPr>
              <w:pStyle w:val="17"/>
              <w:spacing w:before="0" w:beforeAutospacing="0" w:after="0" w:afterAutospacing="0"/>
              <w:jc w:val="both"/>
              <w:rPr>
                <w:rFonts w:asciiTheme="majorBidi" w:hAnsiTheme="majorBidi" w:cstheme="majorBidi"/>
                <w:b/>
                <w:bCs/>
              </w:rPr>
            </w:pPr>
          </w:p>
        </w:tc>
        <w:tc>
          <w:tcPr>
            <w:tcW w:w="477" w:type="dxa"/>
          </w:tcPr>
          <w:p w14:paraId="65DE2E09">
            <w:pPr>
              <w:pStyle w:val="17"/>
              <w:spacing w:before="0" w:beforeAutospacing="0" w:after="0" w:afterAutospacing="0"/>
              <w:jc w:val="both"/>
              <w:rPr>
                <w:rFonts w:asciiTheme="majorBidi" w:hAnsiTheme="majorBidi" w:cstheme="majorBidi"/>
                <w:b/>
                <w:bCs/>
              </w:rPr>
            </w:pPr>
          </w:p>
        </w:tc>
        <w:tc>
          <w:tcPr>
            <w:tcW w:w="523" w:type="dxa"/>
          </w:tcPr>
          <w:p w14:paraId="179906A2">
            <w:pPr>
              <w:pStyle w:val="17"/>
              <w:spacing w:before="0" w:beforeAutospacing="0" w:after="0" w:afterAutospacing="0"/>
              <w:jc w:val="both"/>
              <w:rPr>
                <w:rFonts w:asciiTheme="majorBidi" w:hAnsiTheme="majorBidi" w:cstheme="majorBidi"/>
                <w:b/>
                <w:bCs/>
              </w:rPr>
            </w:pPr>
          </w:p>
        </w:tc>
      </w:tr>
      <w:tr w14:paraId="495B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14038C7">
            <w:pPr>
              <w:pStyle w:val="17"/>
              <w:spacing w:before="0" w:beforeAutospacing="0" w:after="0" w:afterAutospacing="0"/>
              <w:jc w:val="both"/>
              <w:rPr>
                <w:rFonts w:asciiTheme="majorBidi" w:hAnsiTheme="majorBidi" w:cstheme="majorBidi"/>
              </w:rPr>
            </w:pPr>
            <w:r>
              <w:rPr>
                <w:rFonts w:asciiTheme="majorBidi" w:hAnsiTheme="majorBidi" w:cstheme="majorBidi"/>
              </w:rPr>
              <w:t>30</w:t>
            </w:r>
          </w:p>
        </w:tc>
        <w:tc>
          <w:tcPr>
            <w:tcW w:w="6330" w:type="dxa"/>
          </w:tcPr>
          <w:p w14:paraId="47CF1909">
            <w:pPr>
              <w:pStyle w:val="17"/>
              <w:spacing w:before="0" w:beforeAutospacing="0"/>
              <w:rPr>
                <w:rFonts w:asciiTheme="majorBidi" w:hAnsiTheme="majorBidi" w:cstheme="majorBidi"/>
              </w:rPr>
            </w:pPr>
            <w:r>
              <w:rPr>
                <w:rFonts w:asciiTheme="majorBidi" w:hAnsiTheme="majorBidi" w:cstheme="majorBidi"/>
              </w:rPr>
              <w:t>Students are allowed to bring irrelevant materials in examination room.</w:t>
            </w:r>
          </w:p>
        </w:tc>
        <w:tc>
          <w:tcPr>
            <w:tcW w:w="523" w:type="dxa"/>
          </w:tcPr>
          <w:p w14:paraId="6F005A17">
            <w:pPr>
              <w:pStyle w:val="17"/>
              <w:spacing w:before="0" w:beforeAutospacing="0" w:after="0" w:afterAutospacing="0"/>
              <w:jc w:val="both"/>
              <w:rPr>
                <w:rFonts w:asciiTheme="majorBidi" w:hAnsiTheme="majorBidi" w:cstheme="majorBidi"/>
                <w:b/>
                <w:bCs/>
              </w:rPr>
            </w:pPr>
          </w:p>
        </w:tc>
        <w:tc>
          <w:tcPr>
            <w:tcW w:w="441" w:type="dxa"/>
          </w:tcPr>
          <w:p w14:paraId="7B8D0CCD">
            <w:pPr>
              <w:pStyle w:val="17"/>
              <w:spacing w:before="0" w:beforeAutospacing="0" w:after="0" w:afterAutospacing="0"/>
              <w:jc w:val="both"/>
              <w:rPr>
                <w:rFonts w:asciiTheme="majorBidi" w:hAnsiTheme="majorBidi" w:cstheme="majorBidi"/>
                <w:b/>
                <w:bCs/>
              </w:rPr>
            </w:pPr>
          </w:p>
        </w:tc>
        <w:tc>
          <w:tcPr>
            <w:tcW w:w="441" w:type="dxa"/>
          </w:tcPr>
          <w:p w14:paraId="6D311CC4">
            <w:pPr>
              <w:pStyle w:val="17"/>
              <w:spacing w:before="0" w:beforeAutospacing="0" w:after="0" w:afterAutospacing="0"/>
              <w:jc w:val="both"/>
              <w:rPr>
                <w:rFonts w:asciiTheme="majorBidi" w:hAnsiTheme="majorBidi" w:cstheme="majorBidi"/>
                <w:b/>
                <w:bCs/>
              </w:rPr>
            </w:pPr>
          </w:p>
        </w:tc>
        <w:tc>
          <w:tcPr>
            <w:tcW w:w="477" w:type="dxa"/>
          </w:tcPr>
          <w:p w14:paraId="102974A1">
            <w:pPr>
              <w:pStyle w:val="17"/>
              <w:spacing w:before="0" w:beforeAutospacing="0" w:after="0" w:afterAutospacing="0"/>
              <w:jc w:val="both"/>
              <w:rPr>
                <w:rFonts w:asciiTheme="majorBidi" w:hAnsiTheme="majorBidi" w:cstheme="majorBidi"/>
                <w:b/>
                <w:bCs/>
              </w:rPr>
            </w:pPr>
          </w:p>
        </w:tc>
        <w:tc>
          <w:tcPr>
            <w:tcW w:w="523" w:type="dxa"/>
          </w:tcPr>
          <w:p w14:paraId="216C0DD8">
            <w:pPr>
              <w:pStyle w:val="17"/>
              <w:spacing w:before="0" w:beforeAutospacing="0" w:after="0" w:afterAutospacing="0"/>
              <w:jc w:val="both"/>
              <w:rPr>
                <w:rFonts w:asciiTheme="majorBidi" w:hAnsiTheme="majorBidi" w:cstheme="majorBidi"/>
                <w:b/>
                <w:bCs/>
              </w:rPr>
            </w:pPr>
          </w:p>
        </w:tc>
      </w:tr>
      <w:tr w14:paraId="0FE9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64560E1">
            <w:pPr>
              <w:pStyle w:val="17"/>
              <w:spacing w:before="0" w:beforeAutospacing="0" w:after="0" w:afterAutospacing="0"/>
              <w:jc w:val="both"/>
              <w:rPr>
                <w:rFonts w:asciiTheme="majorBidi" w:hAnsiTheme="majorBidi" w:cstheme="majorBidi"/>
              </w:rPr>
            </w:pPr>
            <w:r>
              <w:rPr>
                <w:rFonts w:asciiTheme="majorBidi" w:hAnsiTheme="majorBidi" w:cstheme="majorBidi"/>
              </w:rPr>
              <w:t>31</w:t>
            </w:r>
          </w:p>
        </w:tc>
        <w:tc>
          <w:tcPr>
            <w:tcW w:w="6330" w:type="dxa"/>
          </w:tcPr>
          <w:p w14:paraId="0EA286A3">
            <w:pPr>
              <w:pStyle w:val="17"/>
              <w:rPr>
                <w:rFonts w:asciiTheme="majorBidi" w:hAnsiTheme="majorBidi" w:cstheme="majorBidi"/>
              </w:rPr>
            </w:pPr>
            <w:r>
              <w:rPr>
                <w:rFonts w:asciiTheme="majorBidi" w:hAnsiTheme="majorBidi" w:cstheme="majorBidi"/>
              </w:rPr>
              <w:t>The school has put in place strong policies on examination malpractice</w:t>
            </w:r>
          </w:p>
        </w:tc>
        <w:tc>
          <w:tcPr>
            <w:tcW w:w="523" w:type="dxa"/>
          </w:tcPr>
          <w:p w14:paraId="0C13C81A">
            <w:pPr>
              <w:pStyle w:val="17"/>
              <w:spacing w:before="0" w:beforeAutospacing="0" w:after="0" w:afterAutospacing="0"/>
              <w:jc w:val="both"/>
              <w:rPr>
                <w:rFonts w:asciiTheme="majorBidi" w:hAnsiTheme="majorBidi" w:cstheme="majorBidi"/>
                <w:b/>
                <w:bCs/>
              </w:rPr>
            </w:pPr>
          </w:p>
        </w:tc>
        <w:tc>
          <w:tcPr>
            <w:tcW w:w="441" w:type="dxa"/>
          </w:tcPr>
          <w:p w14:paraId="6DF0395A">
            <w:pPr>
              <w:pStyle w:val="17"/>
              <w:spacing w:before="0" w:beforeAutospacing="0" w:after="0" w:afterAutospacing="0"/>
              <w:jc w:val="both"/>
              <w:rPr>
                <w:rFonts w:asciiTheme="majorBidi" w:hAnsiTheme="majorBidi" w:cstheme="majorBidi"/>
                <w:b/>
                <w:bCs/>
              </w:rPr>
            </w:pPr>
          </w:p>
        </w:tc>
        <w:tc>
          <w:tcPr>
            <w:tcW w:w="441" w:type="dxa"/>
          </w:tcPr>
          <w:p w14:paraId="33D51C78">
            <w:pPr>
              <w:pStyle w:val="17"/>
              <w:spacing w:before="0" w:beforeAutospacing="0" w:after="0" w:afterAutospacing="0"/>
              <w:jc w:val="both"/>
              <w:rPr>
                <w:rFonts w:asciiTheme="majorBidi" w:hAnsiTheme="majorBidi" w:cstheme="majorBidi"/>
                <w:b/>
                <w:bCs/>
              </w:rPr>
            </w:pPr>
          </w:p>
        </w:tc>
        <w:tc>
          <w:tcPr>
            <w:tcW w:w="477" w:type="dxa"/>
          </w:tcPr>
          <w:p w14:paraId="11B1FB4B">
            <w:pPr>
              <w:pStyle w:val="17"/>
              <w:spacing w:before="0" w:beforeAutospacing="0" w:after="0" w:afterAutospacing="0"/>
              <w:jc w:val="both"/>
              <w:rPr>
                <w:rFonts w:asciiTheme="majorBidi" w:hAnsiTheme="majorBidi" w:cstheme="majorBidi"/>
                <w:b/>
                <w:bCs/>
              </w:rPr>
            </w:pPr>
          </w:p>
        </w:tc>
        <w:tc>
          <w:tcPr>
            <w:tcW w:w="523" w:type="dxa"/>
          </w:tcPr>
          <w:p w14:paraId="74021B99">
            <w:pPr>
              <w:pStyle w:val="17"/>
              <w:spacing w:before="0" w:beforeAutospacing="0" w:after="0" w:afterAutospacing="0"/>
              <w:jc w:val="both"/>
              <w:rPr>
                <w:rFonts w:asciiTheme="majorBidi" w:hAnsiTheme="majorBidi" w:cstheme="majorBidi"/>
                <w:b/>
                <w:bCs/>
              </w:rPr>
            </w:pPr>
          </w:p>
        </w:tc>
      </w:tr>
      <w:tr w14:paraId="0587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3D14A38">
            <w:pPr>
              <w:pStyle w:val="17"/>
              <w:spacing w:before="0" w:beforeAutospacing="0" w:after="0" w:afterAutospacing="0"/>
              <w:jc w:val="both"/>
              <w:rPr>
                <w:rFonts w:asciiTheme="majorBidi" w:hAnsiTheme="majorBidi" w:cstheme="majorBidi"/>
              </w:rPr>
            </w:pPr>
            <w:r>
              <w:rPr>
                <w:rFonts w:asciiTheme="majorBidi" w:hAnsiTheme="majorBidi" w:cstheme="majorBidi"/>
              </w:rPr>
              <w:t>32</w:t>
            </w:r>
          </w:p>
        </w:tc>
        <w:tc>
          <w:tcPr>
            <w:tcW w:w="6330" w:type="dxa"/>
          </w:tcPr>
          <w:p w14:paraId="5F1906EE">
            <w:pPr>
              <w:pStyle w:val="17"/>
              <w:rPr>
                <w:rFonts w:asciiTheme="majorBidi" w:hAnsiTheme="majorBidi" w:cstheme="majorBidi"/>
              </w:rPr>
            </w:pPr>
            <w:r>
              <w:rPr>
                <w:rFonts w:asciiTheme="majorBidi" w:hAnsiTheme="majorBidi" w:cstheme="majorBidi"/>
              </w:rPr>
              <w:t>The school Administration does not follow the examination malpractice policies.</w:t>
            </w:r>
          </w:p>
        </w:tc>
        <w:tc>
          <w:tcPr>
            <w:tcW w:w="523" w:type="dxa"/>
          </w:tcPr>
          <w:p w14:paraId="5E2BC854">
            <w:pPr>
              <w:pStyle w:val="17"/>
              <w:spacing w:before="0" w:beforeAutospacing="0" w:after="0" w:afterAutospacing="0"/>
              <w:jc w:val="both"/>
              <w:rPr>
                <w:rFonts w:asciiTheme="majorBidi" w:hAnsiTheme="majorBidi" w:cstheme="majorBidi"/>
                <w:b/>
                <w:bCs/>
              </w:rPr>
            </w:pPr>
          </w:p>
        </w:tc>
        <w:tc>
          <w:tcPr>
            <w:tcW w:w="441" w:type="dxa"/>
          </w:tcPr>
          <w:p w14:paraId="50B11F9F">
            <w:pPr>
              <w:pStyle w:val="17"/>
              <w:spacing w:before="0" w:beforeAutospacing="0" w:after="0" w:afterAutospacing="0"/>
              <w:jc w:val="both"/>
              <w:rPr>
                <w:rFonts w:asciiTheme="majorBidi" w:hAnsiTheme="majorBidi" w:cstheme="majorBidi"/>
                <w:b/>
                <w:bCs/>
              </w:rPr>
            </w:pPr>
          </w:p>
        </w:tc>
        <w:tc>
          <w:tcPr>
            <w:tcW w:w="441" w:type="dxa"/>
          </w:tcPr>
          <w:p w14:paraId="36170030">
            <w:pPr>
              <w:pStyle w:val="17"/>
              <w:spacing w:before="0" w:beforeAutospacing="0" w:after="0" w:afterAutospacing="0"/>
              <w:jc w:val="both"/>
              <w:rPr>
                <w:rFonts w:asciiTheme="majorBidi" w:hAnsiTheme="majorBidi" w:cstheme="majorBidi"/>
                <w:b/>
                <w:bCs/>
              </w:rPr>
            </w:pPr>
          </w:p>
        </w:tc>
        <w:tc>
          <w:tcPr>
            <w:tcW w:w="477" w:type="dxa"/>
          </w:tcPr>
          <w:p w14:paraId="2B6EFAB8">
            <w:pPr>
              <w:pStyle w:val="17"/>
              <w:spacing w:before="0" w:beforeAutospacing="0" w:after="0" w:afterAutospacing="0"/>
              <w:jc w:val="both"/>
              <w:rPr>
                <w:rFonts w:asciiTheme="majorBidi" w:hAnsiTheme="majorBidi" w:cstheme="majorBidi"/>
                <w:b/>
                <w:bCs/>
              </w:rPr>
            </w:pPr>
          </w:p>
        </w:tc>
        <w:tc>
          <w:tcPr>
            <w:tcW w:w="523" w:type="dxa"/>
          </w:tcPr>
          <w:p w14:paraId="5B95310B">
            <w:pPr>
              <w:pStyle w:val="17"/>
              <w:spacing w:before="0" w:beforeAutospacing="0" w:after="0" w:afterAutospacing="0"/>
              <w:jc w:val="both"/>
              <w:rPr>
                <w:rFonts w:asciiTheme="majorBidi" w:hAnsiTheme="majorBidi" w:cstheme="majorBidi"/>
                <w:b/>
                <w:bCs/>
              </w:rPr>
            </w:pPr>
          </w:p>
        </w:tc>
      </w:tr>
      <w:tr w14:paraId="30B7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6CBAF2D">
            <w:pPr>
              <w:pStyle w:val="17"/>
              <w:spacing w:before="0" w:beforeAutospacing="0" w:after="0" w:afterAutospacing="0"/>
              <w:jc w:val="both"/>
              <w:rPr>
                <w:rFonts w:asciiTheme="majorBidi" w:hAnsiTheme="majorBidi" w:cstheme="majorBidi"/>
              </w:rPr>
            </w:pPr>
            <w:r>
              <w:rPr>
                <w:rFonts w:asciiTheme="majorBidi" w:hAnsiTheme="majorBidi" w:cstheme="majorBidi"/>
              </w:rPr>
              <w:t>33</w:t>
            </w:r>
          </w:p>
        </w:tc>
        <w:tc>
          <w:tcPr>
            <w:tcW w:w="6330" w:type="dxa"/>
          </w:tcPr>
          <w:p w14:paraId="3F0C281D">
            <w:pPr>
              <w:pStyle w:val="17"/>
              <w:rPr>
                <w:rFonts w:asciiTheme="majorBidi" w:hAnsiTheme="majorBidi" w:cstheme="majorBidi"/>
              </w:rPr>
            </w:pPr>
            <w:r>
              <w:rPr>
                <w:rFonts w:asciiTheme="majorBidi" w:hAnsiTheme="majorBidi" w:cstheme="majorBidi"/>
              </w:rPr>
              <w:t>Students receive substantial help on an individual assignment without the teacher’s permission.</w:t>
            </w:r>
          </w:p>
        </w:tc>
        <w:tc>
          <w:tcPr>
            <w:tcW w:w="523" w:type="dxa"/>
          </w:tcPr>
          <w:p w14:paraId="506BC769">
            <w:pPr>
              <w:pStyle w:val="17"/>
              <w:spacing w:before="0" w:beforeAutospacing="0" w:after="0" w:afterAutospacing="0"/>
              <w:jc w:val="both"/>
              <w:rPr>
                <w:rFonts w:asciiTheme="majorBidi" w:hAnsiTheme="majorBidi" w:cstheme="majorBidi"/>
                <w:b/>
                <w:bCs/>
              </w:rPr>
            </w:pPr>
          </w:p>
        </w:tc>
        <w:tc>
          <w:tcPr>
            <w:tcW w:w="441" w:type="dxa"/>
          </w:tcPr>
          <w:p w14:paraId="51CDF00B">
            <w:pPr>
              <w:pStyle w:val="17"/>
              <w:spacing w:before="0" w:beforeAutospacing="0" w:after="0" w:afterAutospacing="0"/>
              <w:jc w:val="both"/>
              <w:rPr>
                <w:rFonts w:asciiTheme="majorBidi" w:hAnsiTheme="majorBidi" w:cstheme="majorBidi"/>
                <w:b/>
                <w:bCs/>
              </w:rPr>
            </w:pPr>
          </w:p>
        </w:tc>
        <w:tc>
          <w:tcPr>
            <w:tcW w:w="441" w:type="dxa"/>
          </w:tcPr>
          <w:p w14:paraId="647EBB39">
            <w:pPr>
              <w:pStyle w:val="17"/>
              <w:spacing w:before="0" w:beforeAutospacing="0" w:after="0" w:afterAutospacing="0"/>
              <w:jc w:val="both"/>
              <w:rPr>
                <w:rFonts w:asciiTheme="majorBidi" w:hAnsiTheme="majorBidi" w:cstheme="majorBidi"/>
                <w:b/>
                <w:bCs/>
              </w:rPr>
            </w:pPr>
          </w:p>
        </w:tc>
        <w:tc>
          <w:tcPr>
            <w:tcW w:w="477" w:type="dxa"/>
          </w:tcPr>
          <w:p w14:paraId="6CE162C1">
            <w:pPr>
              <w:pStyle w:val="17"/>
              <w:spacing w:before="0" w:beforeAutospacing="0" w:after="0" w:afterAutospacing="0"/>
              <w:jc w:val="both"/>
              <w:rPr>
                <w:rFonts w:asciiTheme="majorBidi" w:hAnsiTheme="majorBidi" w:cstheme="majorBidi"/>
                <w:b/>
                <w:bCs/>
              </w:rPr>
            </w:pPr>
          </w:p>
        </w:tc>
        <w:tc>
          <w:tcPr>
            <w:tcW w:w="523" w:type="dxa"/>
          </w:tcPr>
          <w:p w14:paraId="1D967948">
            <w:pPr>
              <w:pStyle w:val="17"/>
              <w:spacing w:before="0" w:beforeAutospacing="0" w:after="0" w:afterAutospacing="0"/>
              <w:jc w:val="both"/>
              <w:rPr>
                <w:rFonts w:asciiTheme="majorBidi" w:hAnsiTheme="majorBidi" w:cstheme="majorBidi"/>
                <w:b/>
                <w:bCs/>
              </w:rPr>
            </w:pPr>
          </w:p>
        </w:tc>
      </w:tr>
      <w:tr w14:paraId="4490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9C3B65F">
            <w:pPr>
              <w:pStyle w:val="17"/>
              <w:spacing w:before="0" w:beforeAutospacing="0" w:after="0" w:afterAutospacing="0"/>
              <w:jc w:val="both"/>
              <w:rPr>
                <w:rFonts w:asciiTheme="majorBidi" w:hAnsiTheme="majorBidi" w:cstheme="majorBidi"/>
              </w:rPr>
            </w:pPr>
            <w:r>
              <w:rPr>
                <w:rFonts w:asciiTheme="majorBidi" w:hAnsiTheme="majorBidi" w:cstheme="majorBidi"/>
              </w:rPr>
              <w:t>34</w:t>
            </w:r>
          </w:p>
        </w:tc>
        <w:tc>
          <w:tcPr>
            <w:tcW w:w="6330" w:type="dxa"/>
          </w:tcPr>
          <w:p w14:paraId="343809CB">
            <w:pPr>
              <w:pStyle w:val="17"/>
              <w:spacing w:before="0" w:beforeAutospacing="0"/>
              <w:rPr>
                <w:rFonts w:asciiTheme="majorBidi" w:hAnsiTheme="majorBidi" w:cstheme="majorBidi"/>
              </w:rPr>
            </w:pPr>
            <w:r>
              <w:rPr>
                <w:rFonts w:asciiTheme="majorBidi" w:hAnsiTheme="majorBidi" w:cstheme="majorBidi"/>
              </w:rPr>
              <w:t>The level of examination cheating is  not very high</w:t>
            </w:r>
          </w:p>
        </w:tc>
        <w:tc>
          <w:tcPr>
            <w:tcW w:w="523" w:type="dxa"/>
          </w:tcPr>
          <w:p w14:paraId="64DC7BD3">
            <w:pPr>
              <w:pStyle w:val="17"/>
              <w:spacing w:before="0" w:beforeAutospacing="0" w:after="0" w:afterAutospacing="0"/>
              <w:jc w:val="both"/>
              <w:rPr>
                <w:rFonts w:asciiTheme="majorBidi" w:hAnsiTheme="majorBidi" w:cstheme="majorBidi"/>
                <w:b/>
                <w:bCs/>
              </w:rPr>
            </w:pPr>
          </w:p>
        </w:tc>
        <w:tc>
          <w:tcPr>
            <w:tcW w:w="441" w:type="dxa"/>
          </w:tcPr>
          <w:p w14:paraId="798727A3">
            <w:pPr>
              <w:pStyle w:val="17"/>
              <w:spacing w:before="0" w:beforeAutospacing="0" w:after="0" w:afterAutospacing="0"/>
              <w:jc w:val="both"/>
              <w:rPr>
                <w:rFonts w:asciiTheme="majorBidi" w:hAnsiTheme="majorBidi" w:cstheme="majorBidi"/>
                <w:b/>
                <w:bCs/>
              </w:rPr>
            </w:pPr>
          </w:p>
        </w:tc>
        <w:tc>
          <w:tcPr>
            <w:tcW w:w="441" w:type="dxa"/>
          </w:tcPr>
          <w:p w14:paraId="51089E30">
            <w:pPr>
              <w:pStyle w:val="17"/>
              <w:spacing w:before="0" w:beforeAutospacing="0" w:after="0" w:afterAutospacing="0"/>
              <w:jc w:val="both"/>
              <w:rPr>
                <w:rFonts w:asciiTheme="majorBidi" w:hAnsiTheme="majorBidi" w:cstheme="majorBidi"/>
                <w:b/>
                <w:bCs/>
              </w:rPr>
            </w:pPr>
          </w:p>
        </w:tc>
        <w:tc>
          <w:tcPr>
            <w:tcW w:w="477" w:type="dxa"/>
          </w:tcPr>
          <w:p w14:paraId="52A96896">
            <w:pPr>
              <w:pStyle w:val="17"/>
              <w:spacing w:before="0" w:beforeAutospacing="0" w:after="0" w:afterAutospacing="0"/>
              <w:jc w:val="both"/>
              <w:rPr>
                <w:rFonts w:asciiTheme="majorBidi" w:hAnsiTheme="majorBidi" w:cstheme="majorBidi"/>
                <w:b/>
                <w:bCs/>
              </w:rPr>
            </w:pPr>
          </w:p>
        </w:tc>
        <w:tc>
          <w:tcPr>
            <w:tcW w:w="523" w:type="dxa"/>
          </w:tcPr>
          <w:p w14:paraId="481E1177">
            <w:pPr>
              <w:pStyle w:val="17"/>
              <w:spacing w:before="0" w:beforeAutospacing="0" w:after="0" w:afterAutospacing="0"/>
              <w:jc w:val="both"/>
              <w:rPr>
                <w:rFonts w:asciiTheme="majorBidi" w:hAnsiTheme="majorBidi" w:cstheme="majorBidi"/>
                <w:b/>
                <w:bCs/>
              </w:rPr>
            </w:pPr>
          </w:p>
        </w:tc>
      </w:tr>
      <w:tr w14:paraId="5A8F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6EC9278">
            <w:pPr>
              <w:pStyle w:val="17"/>
              <w:spacing w:before="0" w:beforeAutospacing="0" w:after="0" w:afterAutospacing="0"/>
              <w:jc w:val="both"/>
              <w:rPr>
                <w:rFonts w:asciiTheme="majorBidi" w:hAnsiTheme="majorBidi" w:cstheme="majorBidi"/>
              </w:rPr>
            </w:pPr>
            <w:r>
              <w:rPr>
                <w:rFonts w:asciiTheme="majorBidi" w:hAnsiTheme="majorBidi" w:cstheme="majorBidi"/>
              </w:rPr>
              <w:t>35</w:t>
            </w:r>
          </w:p>
        </w:tc>
        <w:tc>
          <w:tcPr>
            <w:tcW w:w="6330" w:type="dxa"/>
          </w:tcPr>
          <w:p w14:paraId="3CBBC3DC">
            <w:pPr>
              <w:pStyle w:val="17"/>
              <w:rPr>
                <w:rFonts w:asciiTheme="majorBidi" w:hAnsiTheme="majorBidi" w:cstheme="majorBidi"/>
              </w:rPr>
            </w:pPr>
            <w:r>
              <w:rPr>
                <w:rFonts w:asciiTheme="majorBidi" w:hAnsiTheme="majorBidi" w:cstheme="majorBidi"/>
              </w:rPr>
              <w:t>The punishment for engaging in examination malpractices is very tough.</w:t>
            </w:r>
          </w:p>
        </w:tc>
        <w:tc>
          <w:tcPr>
            <w:tcW w:w="523" w:type="dxa"/>
          </w:tcPr>
          <w:p w14:paraId="0A55A697">
            <w:pPr>
              <w:pStyle w:val="17"/>
              <w:spacing w:before="0" w:beforeAutospacing="0" w:after="0" w:afterAutospacing="0"/>
              <w:jc w:val="both"/>
              <w:rPr>
                <w:rFonts w:asciiTheme="majorBidi" w:hAnsiTheme="majorBidi" w:cstheme="majorBidi"/>
                <w:b/>
                <w:bCs/>
              </w:rPr>
            </w:pPr>
          </w:p>
        </w:tc>
        <w:tc>
          <w:tcPr>
            <w:tcW w:w="441" w:type="dxa"/>
          </w:tcPr>
          <w:p w14:paraId="12E4B644">
            <w:pPr>
              <w:pStyle w:val="17"/>
              <w:spacing w:before="0" w:beforeAutospacing="0" w:after="0" w:afterAutospacing="0"/>
              <w:jc w:val="both"/>
              <w:rPr>
                <w:rFonts w:asciiTheme="majorBidi" w:hAnsiTheme="majorBidi" w:cstheme="majorBidi"/>
                <w:b/>
                <w:bCs/>
              </w:rPr>
            </w:pPr>
          </w:p>
        </w:tc>
        <w:tc>
          <w:tcPr>
            <w:tcW w:w="441" w:type="dxa"/>
          </w:tcPr>
          <w:p w14:paraId="6B310626">
            <w:pPr>
              <w:pStyle w:val="17"/>
              <w:spacing w:before="0" w:beforeAutospacing="0" w:after="0" w:afterAutospacing="0"/>
              <w:jc w:val="both"/>
              <w:rPr>
                <w:rFonts w:asciiTheme="majorBidi" w:hAnsiTheme="majorBidi" w:cstheme="majorBidi"/>
                <w:b/>
                <w:bCs/>
              </w:rPr>
            </w:pPr>
          </w:p>
        </w:tc>
        <w:tc>
          <w:tcPr>
            <w:tcW w:w="477" w:type="dxa"/>
          </w:tcPr>
          <w:p w14:paraId="52C5C987">
            <w:pPr>
              <w:pStyle w:val="17"/>
              <w:spacing w:before="0" w:beforeAutospacing="0" w:after="0" w:afterAutospacing="0"/>
              <w:jc w:val="both"/>
              <w:rPr>
                <w:rFonts w:asciiTheme="majorBidi" w:hAnsiTheme="majorBidi" w:cstheme="majorBidi"/>
                <w:b/>
                <w:bCs/>
              </w:rPr>
            </w:pPr>
          </w:p>
        </w:tc>
        <w:tc>
          <w:tcPr>
            <w:tcW w:w="523" w:type="dxa"/>
          </w:tcPr>
          <w:p w14:paraId="08D12546">
            <w:pPr>
              <w:pStyle w:val="17"/>
              <w:spacing w:before="0" w:beforeAutospacing="0" w:after="0" w:afterAutospacing="0"/>
              <w:jc w:val="both"/>
              <w:rPr>
                <w:rFonts w:asciiTheme="majorBidi" w:hAnsiTheme="majorBidi" w:cstheme="majorBidi"/>
                <w:b/>
                <w:bCs/>
              </w:rPr>
            </w:pPr>
          </w:p>
        </w:tc>
      </w:tr>
      <w:tr w14:paraId="464D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58A98B3">
            <w:pPr>
              <w:pStyle w:val="17"/>
              <w:spacing w:before="0" w:beforeAutospacing="0" w:after="0" w:afterAutospacing="0"/>
              <w:jc w:val="both"/>
              <w:rPr>
                <w:rFonts w:asciiTheme="majorBidi" w:hAnsiTheme="majorBidi" w:cstheme="majorBidi"/>
              </w:rPr>
            </w:pPr>
            <w:r>
              <w:rPr>
                <w:rFonts w:asciiTheme="majorBidi" w:hAnsiTheme="majorBidi" w:cstheme="majorBidi"/>
              </w:rPr>
              <w:t>36</w:t>
            </w:r>
          </w:p>
        </w:tc>
        <w:tc>
          <w:tcPr>
            <w:tcW w:w="6330" w:type="dxa"/>
          </w:tcPr>
          <w:p w14:paraId="4110EBD6">
            <w:pPr>
              <w:pStyle w:val="17"/>
              <w:rPr>
                <w:rFonts w:asciiTheme="majorBidi" w:hAnsiTheme="majorBidi" w:cstheme="majorBidi"/>
              </w:rPr>
            </w:pPr>
            <w:r>
              <w:rPr>
                <w:rFonts w:asciiTheme="majorBidi" w:hAnsiTheme="majorBidi" w:cstheme="majorBidi"/>
              </w:rPr>
              <w:t>Students would completely disapprove if they found others engaging in examination malpractices.</w:t>
            </w:r>
          </w:p>
        </w:tc>
        <w:tc>
          <w:tcPr>
            <w:tcW w:w="523" w:type="dxa"/>
          </w:tcPr>
          <w:p w14:paraId="41343E4B">
            <w:pPr>
              <w:pStyle w:val="17"/>
              <w:spacing w:before="0" w:beforeAutospacing="0" w:after="0" w:afterAutospacing="0"/>
              <w:jc w:val="both"/>
              <w:rPr>
                <w:rFonts w:asciiTheme="majorBidi" w:hAnsiTheme="majorBidi" w:cstheme="majorBidi"/>
                <w:b/>
                <w:bCs/>
              </w:rPr>
            </w:pPr>
          </w:p>
        </w:tc>
        <w:tc>
          <w:tcPr>
            <w:tcW w:w="441" w:type="dxa"/>
          </w:tcPr>
          <w:p w14:paraId="0C469D03">
            <w:pPr>
              <w:pStyle w:val="17"/>
              <w:spacing w:before="0" w:beforeAutospacing="0" w:after="0" w:afterAutospacing="0"/>
              <w:jc w:val="both"/>
              <w:rPr>
                <w:rFonts w:asciiTheme="majorBidi" w:hAnsiTheme="majorBidi" w:cstheme="majorBidi"/>
                <w:b/>
                <w:bCs/>
              </w:rPr>
            </w:pPr>
          </w:p>
        </w:tc>
        <w:tc>
          <w:tcPr>
            <w:tcW w:w="441" w:type="dxa"/>
          </w:tcPr>
          <w:p w14:paraId="0C0246CC">
            <w:pPr>
              <w:pStyle w:val="17"/>
              <w:spacing w:before="0" w:beforeAutospacing="0" w:after="0" w:afterAutospacing="0"/>
              <w:jc w:val="both"/>
              <w:rPr>
                <w:rFonts w:asciiTheme="majorBidi" w:hAnsiTheme="majorBidi" w:cstheme="majorBidi"/>
                <w:b/>
                <w:bCs/>
              </w:rPr>
            </w:pPr>
          </w:p>
        </w:tc>
        <w:tc>
          <w:tcPr>
            <w:tcW w:w="477" w:type="dxa"/>
          </w:tcPr>
          <w:p w14:paraId="4E62B742">
            <w:pPr>
              <w:pStyle w:val="17"/>
              <w:spacing w:before="0" w:beforeAutospacing="0" w:after="0" w:afterAutospacing="0"/>
              <w:jc w:val="both"/>
              <w:rPr>
                <w:rFonts w:asciiTheme="majorBidi" w:hAnsiTheme="majorBidi" w:cstheme="majorBidi"/>
                <w:b/>
                <w:bCs/>
              </w:rPr>
            </w:pPr>
          </w:p>
        </w:tc>
        <w:tc>
          <w:tcPr>
            <w:tcW w:w="523" w:type="dxa"/>
          </w:tcPr>
          <w:p w14:paraId="3C1D2CD4">
            <w:pPr>
              <w:pStyle w:val="17"/>
              <w:spacing w:before="0" w:beforeAutospacing="0" w:after="0" w:afterAutospacing="0"/>
              <w:jc w:val="both"/>
              <w:rPr>
                <w:rFonts w:asciiTheme="majorBidi" w:hAnsiTheme="majorBidi" w:cstheme="majorBidi"/>
                <w:b/>
                <w:bCs/>
              </w:rPr>
            </w:pPr>
          </w:p>
        </w:tc>
      </w:tr>
    </w:tbl>
    <w:p w14:paraId="28A54778">
      <w:pPr>
        <w:pStyle w:val="50"/>
        <w:spacing w:before="240" w:line="480" w:lineRule="auto"/>
        <w:jc w:val="both"/>
        <w:rPr>
          <w:rFonts w:asciiTheme="majorBidi" w:hAnsiTheme="majorBidi" w:cstheme="majorBidi"/>
          <w:b/>
          <w:bCs/>
          <w:color w:val="auto"/>
        </w:rPr>
      </w:pPr>
      <w:r>
        <w:rPr>
          <w:rFonts w:asciiTheme="majorBidi" w:hAnsiTheme="majorBidi" w:cstheme="majorBidi"/>
          <w:b/>
          <w:bCs/>
          <w:color w:val="auto"/>
        </w:rPr>
        <w:t>Thank you for your time and cooperation.</w:t>
      </w:r>
    </w:p>
    <w:p w14:paraId="67B37F3D">
      <w:pPr>
        <w:pStyle w:val="50"/>
        <w:spacing w:before="240" w:line="480" w:lineRule="auto"/>
        <w:jc w:val="both"/>
        <w:rPr>
          <w:rFonts w:asciiTheme="majorBidi" w:hAnsiTheme="majorBidi" w:cstheme="majorBidi"/>
          <w:b/>
          <w:bCs/>
          <w:color w:val="auto"/>
        </w:rPr>
      </w:pPr>
    </w:p>
    <w:p w14:paraId="6C252D49">
      <w:pPr>
        <w:pStyle w:val="50"/>
        <w:spacing w:before="240" w:line="480" w:lineRule="auto"/>
        <w:jc w:val="both"/>
        <w:rPr>
          <w:rFonts w:asciiTheme="majorBidi" w:hAnsiTheme="majorBidi" w:cstheme="majorBidi"/>
          <w:b/>
          <w:bCs/>
          <w:color w:val="auto"/>
        </w:rPr>
      </w:pPr>
    </w:p>
    <w:p w14:paraId="14705304">
      <w:pPr>
        <w:pStyle w:val="50"/>
        <w:spacing w:before="240" w:line="480" w:lineRule="auto"/>
        <w:jc w:val="both"/>
        <w:rPr>
          <w:rFonts w:asciiTheme="majorBidi" w:hAnsiTheme="majorBidi" w:cstheme="majorBidi"/>
          <w:b/>
          <w:bCs/>
          <w:color w:val="auto"/>
        </w:rPr>
      </w:pPr>
    </w:p>
    <w:p w14:paraId="69473976">
      <w:pPr>
        <w:pStyle w:val="50"/>
        <w:spacing w:before="240" w:line="480" w:lineRule="auto"/>
        <w:jc w:val="both"/>
        <w:rPr>
          <w:rFonts w:asciiTheme="majorBidi" w:hAnsiTheme="majorBidi" w:cstheme="majorBidi"/>
          <w:b/>
          <w:bCs/>
          <w:color w:val="auto"/>
        </w:rPr>
      </w:pPr>
    </w:p>
    <w:p w14:paraId="5D2AEB50">
      <w:pPr>
        <w:pStyle w:val="2"/>
        <w:spacing w:before="0" w:line="240" w:lineRule="auto"/>
        <w:rPr>
          <w:rFonts w:asciiTheme="majorBidi" w:hAnsiTheme="majorBidi"/>
          <w:color w:val="auto"/>
          <w:sz w:val="24"/>
          <w:szCs w:val="24"/>
        </w:rPr>
      </w:pPr>
      <w:bookmarkStart w:id="297" w:name="_Toc194822703"/>
      <w:r>
        <w:rPr>
          <w:rFonts w:asciiTheme="majorBidi" w:hAnsiTheme="majorBidi"/>
          <w:color w:val="auto"/>
          <w:sz w:val="24"/>
          <w:szCs w:val="24"/>
        </w:rPr>
        <w:t>APPENDIX III: PRINCIPALS INTERVIEW GUIDE</w:t>
      </w:r>
      <w:bookmarkEnd w:id="297"/>
      <w:r>
        <w:rPr>
          <w:rFonts w:asciiTheme="majorBidi" w:hAnsiTheme="majorBidi"/>
          <w:color w:val="auto"/>
          <w:sz w:val="24"/>
          <w:szCs w:val="24"/>
        </w:rPr>
        <w:t xml:space="preserve"> </w:t>
      </w:r>
    </w:p>
    <w:p w14:paraId="52924F4D">
      <w:pPr>
        <w:tabs>
          <w:tab w:val="left" w:pos="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This interview is aimed for collecting information on the same. The information to be collected from you is purely meant for research work and will be treated with utmost confidentiality. Kindly respond appropriately.</w:t>
      </w:r>
    </w:p>
    <w:p w14:paraId="51F924BF">
      <w:pPr>
        <w:pStyle w:val="50"/>
        <w:spacing w:after="240"/>
        <w:rPr>
          <w:rFonts w:asciiTheme="majorBidi" w:hAnsiTheme="majorBidi" w:cstheme="majorBidi"/>
          <w:color w:val="auto"/>
        </w:rPr>
      </w:pPr>
      <w:r>
        <w:rPr>
          <w:rFonts w:asciiTheme="majorBidi" w:hAnsiTheme="majorBidi" w:cstheme="majorBidi"/>
          <w:b/>
          <w:bCs/>
          <w:color w:val="auto"/>
        </w:rPr>
        <w:t xml:space="preserve">SECTION A: Background information </w:t>
      </w:r>
    </w:p>
    <w:p w14:paraId="5E03A32E">
      <w:pPr>
        <w:pStyle w:val="50"/>
        <w:numPr>
          <w:ilvl w:val="0"/>
          <w:numId w:val="30"/>
        </w:numPr>
        <w:ind w:hanging="450"/>
        <w:rPr>
          <w:rFonts w:asciiTheme="majorBidi" w:hAnsiTheme="majorBidi" w:cstheme="majorBidi"/>
          <w:color w:val="auto"/>
        </w:rPr>
      </w:pPr>
      <w:r>
        <w:rPr>
          <w:rFonts w:asciiTheme="majorBidi" w:hAnsiTheme="majorBidi" w:cstheme="majorBidi"/>
          <w:color w:val="auto"/>
        </w:rPr>
        <w:t>Gender:</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Male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Female [ ] </w:t>
      </w:r>
    </w:p>
    <w:p w14:paraId="4C97F5D9">
      <w:pPr>
        <w:pStyle w:val="50"/>
        <w:numPr>
          <w:ilvl w:val="0"/>
          <w:numId w:val="30"/>
        </w:numPr>
        <w:ind w:hanging="450"/>
        <w:rPr>
          <w:rFonts w:asciiTheme="majorBidi" w:hAnsiTheme="majorBidi" w:cstheme="majorBidi"/>
          <w:color w:val="auto"/>
        </w:rPr>
      </w:pPr>
      <w:r>
        <w:rPr>
          <w:rFonts w:asciiTheme="majorBidi" w:hAnsiTheme="majorBidi" w:cstheme="majorBidi"/>
          <w:color w:val="auto"/>
        </w:rPr>
        <w:t xml:space="preserve">State your experience as a principal in years: </w:t>
      </w:r>
    </w:p>
    <w:p w14:paraId="7CBF7360">
      <w:pPr>
        <w:pStyle w:val="50"/>
        <w:ind w:left="540"/>
        <w:rPr>
          <w:rFonts w:asciiTheme="majorBidi" w:hAnsiTheme="majorBidi" w:cstheme="majorBidi"/>
          <w:color w:val="auto"/>
        </w:rPr>
      </w:pPr>
      <w:r>
        <w:rPr>
          <w:rFonts w:asciiTheme="majorBidi" w:hAnsiTheme="majorBidi" w:cstheme="majorBidi"/>
          <w:color w:val="auto"/>
        </w:rPr>
        <w:t xml:space="preserve">Below 5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5-10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11-15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Above 16 [ ]</w:t>
      </w:r>
    </w:p>
    <w:p w14:paraId="57BA1924">
      <w:pPr>
        <w:pStyle w:val="50"/>
        <w:numPr>
          <w:ilvl w:val="0"/>
          <w:numId w:val="30"/>
        </w:numPr>
        <w:ind w:hanging="450"/>
        <w:rPr>
          <w:rFonts w:asciiTheme="majorBidi" w:hAnsiTheme="majorBidi" w:cstheme="majorBidi"/>
          <w:color w:val="auto"/>
        </w:rPr>
      </w:pPr>
      <w:r>
        <w:rPr>
          <w:rFonts w:asciiTheme="majorBidi" w:hAnsiTheme="majorBidi" w:cstheme="majorBidi"/>
          <w:color w:val="auto"/>
        </w:rPr>
        <w:t>Indicate your highest level of academic qualification:</w:t>
      </w:r>
    </w:p>
    <w:p w14:paraId="1963703E">
      <w:pPr>
        <w:pStyle w:val="50"/>
        <w:ind w:left="540"/>
        <w:rPr>
          <w:rFonts w:asciiTheme="majorBidi" w:hAnsiTheme="majorBidi" w:cstheme="majorBidi"/>
          <w:color w:val="auto"/>
        </w:rPr>
      </w:pPr>
      <w:r>
        <w:rPr>
          <w:rFonts w:asciiTheme="majorBidi" w:hAnsiTheme="majorBidi" w:cstheme="majorBidi"/>
          <w:color w:val="auto"/>
        </w:rPr>
        <w:t xml:space="preserve">Diploma [ ] </w:t>
      </w:r>
      <w:r>
        <w:rPr>
          <w:rFonts w:asciiTheme="majorBidi" w:hAnsiTheme="majorBidi" w:cstheme="majorBidi"/>
          <w:color w:val="auto"/>
        </w:rPr>
        <w:tab/>
      </w:r>
      <w:r>
        <w:rPr>
          <w:rFonts w:asciiTheme="majorBidi" w:hAnsiTheme="majorBidi" w:cstheme="majorBidi"/>
          <w:color w:val="auto"/>
        </w:rPr>
        <w:t xml:space="preserve">Degree [ ] </w:t>
      </w:r>
      <w:r>
        <w:rPr>
          <w:rFonts w:asciiTheme="majorBidi" w:hAnsiTheme="majorBidi" w:cstheme="majorBidi"/>
          <w:color w:val="auto"/>
        </w:rPr>
        <w:tab/>
      </w:r>
      <w:r>
        <w:rPr>
          <w:rFonts w:asciiTheme="majorBidi" w:hAnsiTheme="majorBidi" w:cstheme="majorBidi"/>
          <w:color w:val="auto"/>
        </w:rPr>
        <w:t xml:space="preserve">Masters [ ] </w:t>
      </w:r>
      <w:r>
        <w:rPr>
          <w:rFonts w:asciiTheme="majorBidi" w:hAnsiTheme="majorBidi" w:cstheme="majorBidi"/>
          <w:color w:val="auto"/>
        </w:rPr>
        <w:tab/>
      </w:r>
      <w:r>
        <w:rPr>
          <w:rFonts w:asciiTheme="majorBidi" w:hAnsiTheme="majorBidi" w:cstheme="majorBidi"/>
          <w:color w:val="auto"/>
        </w:rPr>
        <w:t>PhD [ ] others (specify) __________</w:t>
      </w:r>
    </w:p>
    <w:p w14:paraId="16D5BF29">
      <w:pPr>
        <w:pStyle w:val="50"/>
        <w:numPr>
          <w:ilvl w:val="0"/>
          <w:numId w:val="30"/>
        </w:numPr>
        <w:ind w:hanging="450"/>
        <w:rPr>
          <w:rFonts w:asciiTheme="majorBidi" w:hAnsiTheme="majorBidi" w:cstheme="majorBidi"/>
          <w:color w:val="auto"/>
        </w:rPr>
      </w:pPr>
      <w:r>
        <w:rPr>
          <w:rFonts w:asciiTheme="majorBidi" w:hAnsiTheme="majorBidi" w:cstheme="majorBidi"/>
          <w:color w:val="auto"/>
        </w:rPr>
        <w:t xml:space="preserve">What is the category of   your school? </w:t>
      </w:r>
    </w:p>
    <w:p w14:paraId="21134A0F">
      <w:pPr>
        <w:pStyle w:val="50"/>
        <w:spacing w:after="240"/>
        <w:ind w:left="540"/>
        <w:jc w:val="both"/>
        <w:rPr>
          <w:rFonts w:asciiTheme="majorBidi" w:hAnsiTheme="majorBidi" w:cstheme="majorBidi"/>
          <w:color w:val="auto"/>
        </w:rPr>
      </w:pPr>
      <w:r>
        <w:rPr>
          <w:rFonts w:asciiTheme="majorBidi" w:hAnsiTheme="majorBidi" w:cstheme="majorBidi"/>
          <w:color w:val="auto"/>
        </w:rPr>
        <w:t>Boys boarding [ ] Boys day [ ] Girls boarding [ ] Girls day [ ] Mixed boarding [ ] Mixed day [ ]</w:t>
      </w:r>
    </w:p>
    <w:p w14:paraId="7C0CE3D5">
      <w:pPr>
        <w:pStyle w:val="17"/>
        <w:spacing w:before="0" w:beforeAutospacing="0" w:after="0" w:afterAutospacing="0"/>
        <w:jc w:val="both"/>
        <w:rPr>
          <w:rFonts w:asciiTheme="majorBidi" w:hAnsiTheme="majorBidi" w:cstheme="majorBidi"/>
          <w:b/>
          <w:bCs/>
        </w:rPr>
      </w:pPr>
      <w:r>
        <w:rPr>
          <w:rFonts w:asciiTheme="majorBidi" w:hAnsiTheme="majorBidi" w:cstheme="majorBidi"/>
          <w:b/>
          <w:bCs/>
        </w:rPr>
        <w:t xml:space="preserve">Section B: </w:t>
      </w:r>
    </w:p>
    <w:p w14:paraId="158D6009">
      <w:pPr>
        <w:pStyle w:val="17"/>
        <w:spacing w:before="240" w:beforeAutospacing="0" w:after="0" w:afterAutospacing="0" w:line="276" w:lineRule="auto"/>
        <w:jc w:val="both"/>
        <w:rPr>
          <w:rFonts w:asciiTheme="majorBidi" w:hAnsiTheme="majorBidi" w:cstheme="majorBidi"/>
          <w:b/>
          <w:bCs/>
        </w:rPr>
      </w:pPr>
      <w:r>
        <w:rPr>
          <w:rFonts w:asciiTheme="majorBidi" w:hAnsiTheme="majorBidi" w:cstheme="majorBidi"/>
          <w:b/>
          <w:bCs/>
        </w:rPr>
        <w:t>Peer pressure in Academic integrity and examination malpractices</w:t>
      </w:r>
    </w:p>
    <w:p w14:paraId="6BAA0445">
      <w:pPr>
        <w:pStyle w:val="17"/>
        <w:numPr>
          <w:ilvl w:val="0"/>
          <w:numId w:val="31"/>
        </w:numPr>
        <w:spacing w:before="0" w:beforeAutospacing="0" w:after="0" w:afterAutospacing="0" w:line="276" w:lineRule="auto"/>
        <w:jc w:val="both"/>
        <w:rPr>
          <w:rFonts w:asciiTheme="majorBidi" w:hAnsiTheme="majorBidi" w:cstheme="majorBidi"/>
        </w:rPr>
      </w:pPr>
      <w:r>
        <w:rPr>
          <w:rFonts w:asciiTheme="majorBidi" w:hAnsiTheme="majorBidi" w:cstheme="majorBidi"/>
        </w:rPr>
        <w:t xml:space="preserve">What factors do you believe influence exam integrity in your school? </w:t>
      </w:r>
    </w:p>
    <w:p w14:paraId="7472C473">
      <w:pPr>
        <w:pStyle w:val="30"/>
        <w:ind w:left="360"/>
        <w:rPr>
          <w:rFonts w:asciiTheme="majorBidi" w:hAnsiTheme="majorBidi" w:cstheme="majorBidi"/>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E75381">
      <w:pPr>
        <w:pStyle w:val="30"/>
        <w:numPr>
          <w:ilvl w:val="0"/>
          <w:numId w:val="31"/>
        </w:numPr>
        <w:spacing w:before="240"/>
        <w:ind w:left="180" w:hanging="270"/>
        <w:jc w:val="both"/>
        <w:rPr>
          <w:rFonts w:asciiTheme="majorBidi" w:hAnsiTheme="majorBidi" w:cstheme="majorBidi"/>
          <w:bCs/>
          <w:sz w:val="24"/>
          <w:szCs w:val="24"/>
        </w:rPr>
      </w:pPr>
      <w:r>
        <w:rPr>
          <w:rFonts w:asciiTheme="majorBidi" w:hAnsiTheme="majorBidi" w:cstheme="majorBidi"/>
          <w:sz w:val="24"/>
          <w:szCs w:val="24"/>
        </w:rPr>
        <w:t>Do you think peer influence contributes to or mitigates academic misconduct, including cheating in exams, and the mechanisms through which it operates</w:t>
      </w:r>
      <w:r>
        <w:rPr>
          <w:rFonts w:asciiTheme="majorBidi" w:hAnsiTheme="majorBidi" w:cstheme="majorBidi"/>
          <w:bCs/>
          <w:sz w:val="24"/>
          <w:szCs w:val="24"/>
        </w:rPr>
        <w:t xml:space="preserve">? </w:t>
      </w:r>
    </w:p>
    <w:p w14:paraId="527B7313">
      <w:pPr>
        <w:pStyle w:val="30"/>
        <w:ind w:left="180"/>
        <w:jc w:val="both"/>
        <w:rPr>
          <w:rFonts w:asciiTheme="majorBidi" w:hAnsiTheme="majorBidi" w:cstheme="majorBidi"/>
          <w:sz w:val="24"/>
          <w:szCs w:val="24"/>
        </w:rPr>
      </w:pPr>
      <w:r>
        <w:rPr>
          <w:rFonts w:asciiTheme="majorBidi" w:hAnsiTheme="majorBidi" w:cstheme="majorBidi"/>
          <w:sz w:val="24"/>
          <w:szCs w:val="24"/>
        </w:rPr>
        <w:t xml:space="preserve">Yes [ ] </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No [ ] </w:t>
      </w:r>
      <w:r>
        <w:rPr>
          <w:rFonts w:asciiTheme="majorBidi" w:hAnsiTheme="majorBidi" w:cstheme="majorBidi"/>
          <w:sz w:val="24"/>
          <w:szCs w:val="24"/>
        </w:rPr>
        <w:tab/>
      </w:r>
    </w:p>
    <w:p w14:paraId="64FA7971">
      <w:pPr>
        <w:pStyle w:val="17"/>
        <w:spacing w:before="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Parents involvement in Academic integrity and examination malpractices </w:t>
      </w:r>
    </w:p>
    <w:p w14:paraId="7811C036">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In your Opinion are parents involved in their children's academic lives, including monitoring, communication with teachers and support for studying, decision making on exam integrity and cheating in exams?</w:t>
      </w:r>
    </w:p>
    <w:p w14:paraId="5C07C17D">
      <w:pPr>
        <w:pStyle w:val="30"/>
        <w:ind w:left="18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14F43F">
      <w:pPr>
        <w:pStyle w:val="30"/>
        <w:ind w:left="180"/>
        <w:jc w:val="both"/>
        <w:rPr>
          <w:rFonts w:asciiTheme="majorBidi" w:hAnsiTheme="majorBidi" w:cstheme="majorBidi"/>
          <w:b/>
          <w:bCs/>
          <w:sz w:val="24"/>
          <w:szCs w:val="24"/>
        </w:rPr>
      </w:pPr>
    </w:p>
    <w:p w14:paraId="3096CB94">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To what extent do family backgrounds and financial situations of students impact their involvement in Exam malpractice?</w:t>
      </w:r>
    </w:p>
    <w:p w14:paraId="240CA736">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1477902C">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Is there correlation between the level and type of parental involvement and the likelihood of their children engaging in Exam misconduct, such as cheating?</w:t>
      </w:r>
    </w:p>
    <w:p w14:paraId="49E29B63">
      <w:pPr>
        <w:pStyle w:val="30"/>
        <w:spacing w:after="0"/>
        <w:ind w:left="18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156FEFAC">
      <w:pPr>
        <w:pStyle w:val="17"/>
        <w:spacing w:after="0" w:afterAutospacing="0" w:line="360" w:lineRule="auto"/>
        <w:jc w:val="both"/>
        <w:rPr>
          <w:rFonts w:asciiTheme="majorBidi" w:hAnsiTheme="majorBidi" w:cstheme="majorBidi"/>
          <w:b/>
          <w:bCs/>
        </w:rPr>
      </w:pPr>
      <w:r>
        <w:rPr>
          <w:rFonts w:asciiTheme="majorBidi" w:hAnsiTheme="majorBidi" w:cstheme="majorBidi"/>
          <w:b/>
          <w:bCs/>
        </w:rPr>
        <w:t>Perceived benefits on Academic integrity and examination malpractices</w:t>
      </w:r>
    </w:p>
    <w:p w14:paraId="024A50A3">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In your own opinion do you think perceived benefits of cheating in exams is influenced by getting good grades for scholarship/sponsorship/ good career courses and is also influenced by parents with money</w:t>
      </w:r>
    </w:p>
    <w:p w14:paraId="780424B3">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00DCAB">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What are the perceptions of students, teachers, and parents regarding the importance of exam integrity and the consequences of exam malpractice?</w:t>
      </w:r>
    </w:p>
    <w:p w14:paraId="061E5D6C">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55F2AEC8">
      <w:pPr>
        <w:pStyle w:val="17"/>
        <w:spacing w:before="24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Teaching approaches on academic integrity and examination malpractices </w:t>
      </w:r>
    </w:p>
    <w:p w14:paraId="5A28117C">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Do you believe if Communication between teachers and students, assessment formats and classroom environments, influence students' attitudes and behaviors related to exam cheating?</w:t>
      </w:r>
    </w:p>
    <w:p w14:paraId="4E33B24A">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4B9E78">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In your own opinion how do you think teachers and school administrators influence exam integrity, either by preventing or inadvertently promoting exam malpractice?</w:t>
      </w:r>
    </w:p>
    <w:p w14:paraId="600B3669">
      <w:pPr>
        <w:pStyle w:val="30"/>
        <w:spacing w:after="0"/>
        <w:ind w:left="18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334BAA">
      <w:pPr>
        <w:pStyle w:val="17"/>
        <w:spacing w:before="24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Syllabus coverage relates to academic integrity and examination malpractices </w:t>
      </w:r>
    </w:p>
    <w:p w14:paraId="2FEA735A">
      <w:pPr>
        <w:pStyle w:val="30"/>
        <w:numPr>
          <w:ilvl w:val="0"/>
          <w:numId w:val="31"/>
        </w:numPr>
        <w:spacing w:after="0"/>
        <w:jc w:val="both"/>
        <w:rPr>
          <w:rFonts w:asciiTheme="majorBidi" w:hAnsiTheme="majorBidi" w:cstheme="majorBidi"/>
          <w:b/>
          <w:bCs/>
          <w:sz w:val="24"/>
          <w:szCs w:val="24"/>
        </w:rPr>
      </w:pPr>
      <w:r>
        <w:rPr>
          <w:rFonts w:asciiTheme="majorBidi" w:hAnsiTheme="majorBidi" w:cstheme="majorBidi"/>
          <w:sz w:val="24"/>
          <w:szCs w:val="24"/>
        </w:rPr>
        <w:t>If syllabus is covered on time in a subject will enable students to revise and engaging in exam misconduct, such as cheating will be low. What are your policies and guidelines in syllabus coverage?</w:t>
      </w:r>
    </w:p>
    <w:p w14:paraId="50581F2F">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5FB11F98">
      <w:pPr>
        <w:pStyle w:val="30"/>
        <w:numPr>
          <w:ilvl w:val="0"/>
          <w:numId w:val="31"/>
        </w:numPr>
        <w:spacing w:after="0"/>
        <w:ind w:left="270"/>
        <w:jc w:val="both"/>
        <w:rPr>
          <w:rFonts w:asciiTheme="majorBidi" w:hAnsiTheme="majorBidi" w:cstheme="majorBidi"/>
          <w:b/>
          <w:bCs/>
          <w:sz w:val="24"/>
          <w:szCs w:val="24"/>
        </w:rPr>
      </w:pPr>
      <w:r>
        <w:rPr>
          <w:rFonts w:asciiTheme="majorBidi" w:hAnsiTheme="majorBidi" w:cstheme="majorBidi"/>
          <w:sz w:val="24"/>
          <w:szCs w:val="24"/>
        </w:rPr>
        <w:t>In your own opinion what is the correlation between the extent to which the syllabus is covered in a subject and the likelihood of students engaging in Exam misconduct, such as cheating.</w:t>
      </w:r>
    </w:p>
    <w:p w14:paraId="2915FC09">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4B72BBBD">
      <w:pPr>
        <w:pStyle w:val="17"/>
        <w:spacing w:before="24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Social media on academic integrity and examination malpractices </w:t>
      </w:r>
    </w:p>
    <w:p w14:paraId="0B990CAB">
      <w:pPr>
        <w:pStyle w:val="30"/>
        <w:numPr>
          <w:ilvl w:val="0"/>
          <w:numId w:val="31"/>
        </w:numPr>
        <w:spacing w:after="0"/>
        <w:ind w:left="270"/>
        <w:jc w:val="both"/>
        <w:rPr>
          <w:rFonts w:asciiTheme="majorBidi" w:hAnsiTheme="majorBidi" w:cstheme="majorBidi"/>
          <w:b/>
          <w:bCs/>
          <w:sz w:val="24"/>
          <w:szCs w:val="24"/>
        </w:rPr>
      </w:pPr>
      <w:r>
        <w:rPr>
          <w:rFonts w:asciiTheme="majorBidi" w:hAnsiTheme="majorBidi" w:cstheme="majorBidi"/>
          <w:sz w:val="24"/>
          <w:szCs w:val="24"/>
        </w:rPr>
        <w:t>Does the school regulate the use of mobile phones before and during exams and what impact does that regulation had on exams integrity?</w:t>
      </w:r>
    </w:p>
    <w:p w14:paraId="0987A8C8">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3462BE06">
      <w:pPr>
        <w:pStyle w:val="30"/>
        <w:numPr>
          <w:ilvl w:val="0"/>
          <w:numId w:val="31"/>
        </w:numPr>
        <w:spacing w:after="0"/>
        <w:ind w:left="270"/>
        <w:jc w:val="both"/>
        <w:rPr>
          <w:rFonts w:asciiTheme="majorBidi" w:hAnsiTheme="majorBidi" w:cstheme="majorBidi"/>
          <w:b/>
          <w:bCs/>
          <w:sz w:val="24"/>
          <w:szCs w:val="24"/>
        </w:rPr>
      </w:pPr>
      <w:r>
        <w:rPr>
          <w:rFonts w:asciiTheme="majorBidi" w:hAnsiTheme="majorBidi" w:cstheme="majorBidi"/>
          <w:sz w:val="24"/>
          <w:szCs w:val="24"/>
        </w:rPr>
        <w:t xml:space="preserve">In your opinion what are the best approaches to prevent Exam malpractices among secondary school students in Garissa Township Sub County? </w:t>
      </w:r>
    </w:p>
    <w:p w14:paraId="4B20BCF4">
      <w:pPr>
        <w:pStyle w:val="30"/>
        <w:spacing w:line="360" w:lineRule="auto"/>
        <w:ind w:left="27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w:t>
      </w:r>
    </w:p>
    <w:p w14:paraId="4FFDB7B6">
      <w:pPr>
        <w:pStyle w:val="30"/>
        <w:spacing w:before="240" w:after="0" w:line="480" w:lineRule="auto"/>
        <w:ind w:left="360"/>
        <w:rPr>
          <w:rFonts w:asciiTheme="majorBidi" w:hAnsiTheme="majorBidi" w:cstheme="majorBidi"/>
          <w:b/>
          <w:bCs/>
          <w:sz w:val="24"/>
          <w:szCs w:val="24"/>
        </w:rPr>
      </w:pPr>
      <w:r>
        <w:rPr>
          <w:rStyle w:val="19"/>
          <w:rFonts w:asciiTheme="majorBidi" w:hAnsiTheme="majorBidi" w:cstheme="majorBidi"/>
          <w:sz w:val="24"/>
          <w:szCs w:val="24"/>
        </w:rPr>
        <w:t>Level of KCSE examinations malpractices</w:t>
      </w:r>
    </w:p>
    <w:p w14:paraId="3C34AB08">
      <w:pPr>
        <w:pStyle w:val="30"/>
        <w:numPr>
          <w:ilvl w:val="0"/>
          <w:numId w:val="31"/>
        </w:numPr>
        <w:spacing w:before="240" w:after="0"/>
        <w:ind w:left="270"/>
        <w:jc w:val="both"/>
        <w:rPr>
          <w:rFonts w:asciiTheme="majorBidi" w:hAnsiTheme="majorBidi" w:cstheme="majorBidi"/>
          <w:b/>
          <w:bCs/>
          <w:sz w:val="24"/>
          <w:szCs w:val="24"/>
        </w:rPr>
      </w:pPr>
      <w:r>
        <w:rPr>
          <w:rFonts w:asciiTheme="majorBidi" w:hAnsiTheme="majorBidi" w:cstheme="majorBidi"/>
          <w:sz w:val="24"/>
          <w:szCs w:val="24"/>
        </w:rPr>
        <w:t xml:space="preserve">In your own opinion what is the level of examination cheating in this region? </w:t>
      </w:r>
    </w:p>
    <w:p w14:paraId="4B92192A">
      <w:pPr>
        <w:pStyle w:val="30"/>
        <w:spacing w:after="0"/>
        <w:ind w:left="27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w:t>
      </w:r>
    </w:p>
    <w:p w14:paraId="3EDC3022">
      <w:pPr>
        <w:pStyle w:val="30"/>
        <w:numPr>
          <w:ilvl w:val="0"/>
          <w:numId w:val="31"/>
        </w:numPr>
        <w:spacing w:after="0"/>
        <w:jc w:val="both"/>
        <w:rPr>
          <w:rFonts w:asciiTheme="majorBidi" w:hAnsiTheme="majorBidi" w:cstheme="majorBidi"/>
          <w:sz w:val="24"/>
          <w:szCs w:val="24"/>
        </w:rPr>
      </w:pPr>
      <w:r>
        <w:rPr>
          <w:rFonts w:asciiTheme="majorBidi" w:hAnsiTheme="majorBidi" w:cstheme="majorBidi"/>
          <w:sz w:val="24"/>
          <w:szCs w:val="24"/>
        </w:rPr>
        <w:t>Does your school put in place strong policies on examination malpractice and how effective do you implement those policies?</w:t>
      </w:r>
    </w:p>
    <w:p w14:paraId="202F53F5">
      <w:pPr>
        <w:pStyle w:val="17"/>
        <w:spacing w:before="0" w:beforeAutospacing="0" w:after="0" w:afterAutospacing="0" w:line="276" w:lineRule="auto"/>
        <w:ind w:left="180"/>
        <w:jc w:val="both"/>
        <w:rPr>
          <w:rFonts w:asciiTheme="majorBidi" w:hAnsiTheme="majorBidi" w:cstheme="majorBidi"/>
        </w:rPr>
      </w:pPr>
      <w:r>
        <w:rPr>
          <w:rFonts w:asciiTheme="majorBidi" w:hAnsiTheme="majorBidi" w:cstheme="majorBidi"/>
        </w:rPr>
        <w:t>__________________________________________________________________________________________________________________________________________________________________________________________________________________</w:t>
      </w:r>
    </w:p>
    <w:p w14:paraId="52B49C0B">
      <w:pPr>
        <w:pStyle w:val="50"/>
        <w:jc w:val="both"/>
        <w:rPr>
          <w:rFonts w:asciiTheme="majorBidi" w:hAnsiTheme="majorBidi" w:cstheme="majorBidi"/>
          <w:b/>
          <w:bCs/>
          <w:color w:val="auto"/>
        </w:rPr>
      </w:pPr>
    </w:p>
    <w:p w14:paraId="75D33B1E">
      <w:pPr>
        <w:pStyle w:val="50"/>
        <w:jc w:val="both"/>
        <w:rPr>
          <w:rFonts w:asciiTheme="majorBidi" w:hAnsiTheme="majorBidi" w:cstheme="majorBidi"/>
          <w:b/>
          <w:bCs/>
          <w:color w:val="auto"/>
        </w:rPr>
      </w:pPr>
      <w:r>
        <w:rPr>
          <w:rFonts w:asciiTheme="majorBidi" w:hAnsiTheme="majorBidi" w:cstheme="majorBidi"/>
          <w:b/>
          <w:bCs/>
          <w:color w:val="auto"/>
        </w:rPr>
        <w:t>Thank you for your time and cooperation.</w:t>
      </w:r>
    </w:p>
    <w:p w14:paraId="438FE808">
      <w:pPr>
        <w:pStyle w:val="50"/>
        <w:jc w:val="both"/>
        <w:rPr>
          <w:rFonts w:asciiTheme="majorBidi" w:hAnsiTheme="majorBidi" w:cstheme="majorBidi"/>
          <w:b/>
          <w:bCs/>
          <w:color w:val="auto"/>
        </w:rPr>
      </w:pPr>
    </w:p>
    <w:p w14:paraId="36DAC38A">
      <w:pPr>
        <w:pStyle w:val="2"/>
        <w:rPr>
          <w:rFonts w:asciiTheme="majorBidi" w:hAnsiTheme="majorBidi"/>
          <w:color w:val="auto"/>
          <w:sz w:val="24"/>
          <w:szCs w:val="24"/>
        </w:rPr>
      </w:pPr>
      <w:bookmarkStart w:id="298" w:name="_Toc194822704"/>
      <w:r>
        <w:rPr>
          <w:rFonts w:asciiTheme="majorBidi" w:hAnsiTheme="majorBidi"/>
          <w:color w:val="auto"/>
          <w:sz w:val="24"/>
          <w:szCs w:val="24"/>
        </w:rPr>
        <w:t>APPENDIX IV: COVERING LETTER</w:t>
      </w:r>
      <w:bookmarkEnd w:id="298"/>
      <w:r>
        <w:rPr>
          <w:rFonts w:asciiTheme="majorBidi" w:hAnsiTheme="majorBidi"/>
          <w:color w:val="auto"/>
          <w:sz w:val="24"/>
          <w:szCs w:val="24"/>
        </w:rPr>
        <w:t xml:space="preserve"> </w:t>
      </w:r>
    </w:p>
    <w:p w14:paraId="018C64EF">
      <w:pPr>
        <w:pStyle w:val="50"/>
        <w:spacing w:line="480" w:lineRule="auto"/>
        <w:rPr>
          <w:rFonts w:asciiTheme="majorBidi" w:hAnsiTheme="majorBidi" w:cstheme="majorBidi"/>
        </w:rPr>
      </w:pPr>
    </w:p>
    <w:p w14:paraId="0208CDE4">
      <w:pPr>
        <w:pStyle w:val="50"/>
        <w:spacing w:line="480" w:lineRule="auto"/>
        <w:jc w:val="right"/>
        <w:rPr>
          <w:rFonts w:asciiTheme="majorBidi" w:hAnsiTheme="majorBidi" w:cstheme="majorBidi"/>
        </w:rPr>
      </w:pPr>
      <w:r>
        <w:rPr>
          <w:rFonts w:asciiTheme="majorBidi" w:hAnsiTheme="majorBidi" w:cstheme="majorBidi"/>
        </w:rPr>
        <w:t xml:space="preserve">Garissa University </w:t>
      </w:r>
    </w:p>
    <w:p w14:paraId="26CF45A0">
      <w:pPr>
        <w:pStyle w:val="50"/>
        <w:spacing w:line="480" w:lineRule="auto"/>
        <w:jc w:val="right"/>
        <w:rPr>
          <w:rFonts w:asciiTheme="majorBidi" w:hAnsiTheme="majorBidi" w:cstheme="majorBidi"/>
        </w:rPr>
      </w:pPr>
      <w:r>
        <w:rPr>
          <w:rFonts w:asciiTheme="majorBidi" w:hAnsiTheme="majorBidi" w:cstheme="majorBidi"/>
        </w:rPr>
        <w:t xml:space="preserve">P.O. Box 1087 -70100 </w:t>
      </w:r>
    </w:p>
    <w:p w14:paraId="78AEC706">
      <w:pPr>
        <w:pStyle w:val="50"/>
        <w:spacing w:line="480" w:lineRule="auto"/>
        <w:jc w:val="right"/>
        <w:rPr>
          <w:rFonts w:asciiTheme="majorBidi" w:hAnsiTheme="majorBidi" w:cstheme="majorBidi"/>
        </w:rPr>
      </w:pPr>
      <w:r>
        <w:rPr>
          <w:rFonts w:asciiTheme="majorBidi" w:hAnsiTheme="majorBidi" w:cstheme="majorBidi"/>
        </w:rPr>
        <w:t>Garissa.</w:t>
      </w:r>
    </w:p>
    <w:p w14:paraId="4D025EF6">
      <w:pPr>
        <w:pStyle w:val="50"/>
        <w:spacing w:line="480" w:lineRule="auto"/>
        <w:jc w:val="right"/>
        <w:rPr>
          <w:rFonts w:asciiTheme="majorBidi" w:hAnsiTheme="majorBidi" w:cstheme="majorBidi"/>
        </w:rPr>
      </w:pPr>
      <w:r>
        <w:rPr>
          <w:rFonts w:asciiTheme="majorBidi" w:hAnsiTheme="majorBidi" w:cstheme="majorBidi"/>
        </w:rPr>
        <w:t>April 20, 2024</w:t>
      </w:r>
    </w:p>
    <w:p w14:paraId="64163610">
      <w:pPr>
        <w:pStyle w:val="50"/>
        <w:spacing w:line="480" w:lineRule="auto"/>
        <w:rPr>
          <w:rFonts w:asciiTheme="majorBidi" w:hAnsiTheme="majorBidi" w:cstheme="majorBidi"/>
        </w:rPr>
      </w:pPr>
    </w:p>
    <w:p w14:paraId="4324F63A">
      <w:pPr>
        <w:pStyle w:val="50"/>
        <w:spacing w:line="480" w:lineRule="auto"/>
        <w:rPr>
          <w:rFonts w:asciiTheme="majorBidi" w:hAnsiTheme="majorBidi" w:cstheme="majorBidi"/>
        </w:rPr>
      </w:pPr>
      <w:r>
        <w:rPr>
          <w:rFonts w:asciiTheme="majorBidi" w:hAnsiTheme="majorBidi" w:cstheme="majorBidi"/>
        </w:rPr>
        <w:t xml:space="preserve">Dear Respondent, </w:t>
      </w:r>
    </w:p>
    <w:p w14:paraId="7C06F6EB">
      <w:pPr>
        <w:spacing w:after="0" w:line="480" w:lineRule="auto"/>
        <w:rPr>
          <w:rFonts w:asciiTheme="majorBidi" w:hAnsiTheme="majorBidi" w:cstheme="majorBidi"/>
          <w:bCs/>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 xml:space="preserve">The findings of this study will not only enlighten the education stakeholders on the challenges faced but also help them in formulating policies that will contribute positively on the area of </w:t>
      </w:r>
      <w:r>
        <w:rPr>
          <w:rFonts w:eastAsia="Times New Roman" w:asciiTheme="majorBidi" w:hAnsiTheme="majorBidi" w:cstheme="majorBidi"/>
          <w:sz w:val="24"/>
          <w:szCs w:val="24"/>
        </w:rPr>
        <w:t>exam integrity</w:t>
      </w:r>
      <w:r>
        <w:rPr>
          <w:rFonts w:asciiTheme="majorBidi" w:hAnsiTheme="majorBidi" w:cstheme="majorBidi"/>
          <w:sz w:val="24"/>
          <w:szCs w:val="24"/>
        </w:rPr>
        <w:t xml:space="preserve">. </w:t>
      </w:r>
    </w:p>
    <w:p w14:paraId="323B8C22">
      <w:pPr>
        <w:pStyle w:val="50"/>
        <w:spacing w:line="480" w:lineRule="auto"/>
        <w:rPr>
          <w:rFonts w:asciiTheme="majorBidi" w:hAnsiTheme="majorBidi" w:cstheme="majorBidi"/>
        </w:rPr>
      </w:pPr>
      <w:r>
        <w:rPr>
          <w:rFonts w:asciiTheme="majorBidi" w:hAnsiTheme="majorBidi" w:cstheme="majorBidi"/>
        </w:rPr>
        <w:t xml:space="preserve">Therefore, you are kindly requested to provide the required information for this study. The information will be used for research only and will be treated with utmost confidentiality. </w:t>
      </w:r>
    </w:p>
    <w:p w14:paraId="317BCA72">
      <w:pPr>
        <w:pStyle w:val="50"/>
        <w:spacing w:line="480" w:lineRule="auto"/>
        <w:rPr>
          <w:rFonts w:asciiTheme="majorBidi" w:hAnsiTheme="majorBidi" w:cstheme="majorBidi"/>
        </w:rPr>
      </w:pPr>
    </w:p>
    <w:p w14:paraId="751245F0">
      <w:pPr>
        <w:pStyle w:val="50"/>
        <w:spacing w:line="480" w:lineRule="auto"/>
        <w:rPr>
          <w:rFonts w:asciiTheme="majorBidi" w:hAnsiTheme="majorBidi" w:cstheme="majorBidi"/>
        </w:rPr>
      </w:pPr>
      <w:r>
        <w:rPr>
          <w:rFonts w:asciiTheme="majorBidi" w:hAnsiTheme="majorBidi" w:cstheme="majorBidi"/>
        </w:rPr>
        <w:t xml:space="preserve">Yours faithfully, </w:t>
      </w:r>
    </w:p>
    <w:p w14:paraId="5911EFD0">
      <w:pPr>
        <w:pStyle w:val="50"/>
        <w:spacing w:line="480" w:lineRule="auto"/>
        <w:rPr>
          <w:rFonts w:asciiTheme="majorBidi" w:hAnsiTheme="majorBidi" w:cstheme="majorBidi"/>
        </w:rPr>
      </w:pPr>
      <w:r>
        <w:rPr>
          <w:rFonts w:asciiTheme="majorBidi" w:hAnsiTheme="majorBidi" w:cstheme="majorBidi"/>
        </w:rPr>
        <w:drawing>
          <wp:inline distT="0" distB="0" distL="0" distR="0">
            <wp:extent cx="1343025" cy="476250"/>
            <wp:effectExtent l="0" t="0" r="9525" b="0"/>
            <wp:docPr id="8" name="Picture 8" descr="C:\Users\admin\Desktop\ARI\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Desktop\ARI\SIG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43025" cy="476250"/>
                    </a:xfrm>
                    <a:prstGeom prst="rect">
                      <a:avLst/>
                    </a:prstGeom>
                    <a:noFill/>
                    <a:ln>
                      <a:noFill/>
                    </a:ln>
                  </pic:spPr>
                </pic:pic>
              </a:graphicData>
            </a:graphic>
          </wp:inline>
        </w:drawing>
      </w:r>
    </w:p>
    <w:p w14:paraId="2029E07F">
      <w:pPr>
        <w:pStyle w:val="50"/>
        <w:spacing w:line="480" w:lineRule="auto"/>
        <w:rPr>
          <w:rFonts w:asciiTheme="majorBidi" w:hAnsiTheme="majorBidi" w:cstheme="majorBidi"/>
          <w:b/>
        </w:rPr>
      </w:pPr>
      <w:r>
        <w:rPr>
          <w:rFonts w:asciiTheme="majorBidi" w:hAnsiTheme="majorBidi" w:cstheme="majorBidi"/>
          <w:b/>
        </w:rPr>
        <w:t>Abdirahman  Ismail Abdi</w:t>
      </w:r>
    </w:p>
    <w:p w14:paraId="01962B20">
      <w:pPr>
        <w:pStyle w:val="50"/>
        <w:jc w:val="both"/>
        <w:rPr>
          <w:rFonts w:asciiTheme="majorBidi" w:hAnsiTheme="majorBidi" w:cstheme="majorBidi"/>
          <w:b/>
          <w:bCs/>
          <w:color w:val="auto"/>
        </w:rPr>
      </w:pPr>
    </w:p>
    <w:p w14:paraId="79012CEF">
      <w:pPr>
        <w:pStyle w:val="50"/>
        <w:jc w:val="both"/>
        <w:rPr>
          <w:rFonts w:asciiTheme="majorBidi" w:hAnsiTheme="majorBidi" w:cstheme="majorBidi"/>
          <w:b/>
          <w:bCs/>
          <w:color w:val="auto"/>
        </w:rPr>
      </w:pPr>
    </w:p>
    <w:p w14:paraId="3D25C383">
      <w:pPr>
        <w:pStyle w:val="50"/>
        <w:jc w:val="both"/>
        <w:rPr>
          <w:rFonts w:asciiTheme="majorBidi" w:hAnsiTheme="majorBidi" w:cstheme="majorBidi"/>
          <w:b/>
          <w:bCs/>
          <w:color w:val="auto"/>
        </w:rPr>
      </w:pPr>
    </w:p>
    <w:p w14:paraId="145C9E27">
      <w:pPr>
        <w:pStyle w:val="50"/>
        <w:jc w:val="both"/>
        <w:rPr>
          <w:rFonts w:asciiTheme="majorBidi" w:hAnsiTheme="majorBidi" w:cstheme="majorBidi"/>
          <w:b/>
          <w:bCs/>
          <w:color w:val="auto"/>
        </w:rPr>
      </w:pPr>
    </w:p>
    <w:p w14:paraId="402BE9C7">
      <w:pPr>
        <w:pStyle w:val="2"/>
        <w:spacing w:before="0" w:line="360" w:lineRule="auto"/>
        <w:rPr>
          <w:rFonts w:asciiTheme="majorBidi" w:hAnsiTheme="majorBidi"/>
          <w:color w:val="auto"/>
          <w:sz w:val="24"/>
          <w:szCs w:val="24"/>
        </w:rPr>
      </w:pPr>
      <w:bookmarkStart w:id="299" w:name="_Toc194822705"/>
      <w:r>
        <w:rPr>
          <w:rFonts w:asciiTheme="majorBidi" w:hAnsiTheme="majorBidi"/>
          <w:color w:val="auto"/>
          <w:sz w:val="24"/>
          <w:szCs w:val="24"/>
        </w:rPr>
        <w:t>APPENDIX V: REQUEST TO SCHOOL PRINCIPALS</w:t>
      </w:r>
      <w:bookmarkEnd w:id="299"/>
    </w:p>
    <w:p w14:paraId="6FB44631">
      <w:pPr>
        <w:pStyle w:val="50"/>
        <w:spacing w:line="360" w:lineRule="auto"/>
        <w:jc w:val="right"/>
        <w:rPr>
          <w:rFonts w:asciiTheme="majorBidi" w:hAnsiTheme="majorBidi" w:cstheme="majorBidi"/>
        </w:rPr>
      </w:pPr>
      <w:r>
        <w:rPr>
          <w:rFonts w:asciiTheme="majorBidi" w:hAnsiTheme="majorBidi" w:cstheme="majorBidi"/>
        </w:rPr>
        <w:t xml:space="preserve">Garissa University </w:t>
      </w:r>
    </w:p>
    <w:p w14:paraId="71F5A9E7">
      <w:pPr>
        <w:pStyle w:val="50"/>
        <w:spacing w:line="360" w:lineRule="auto"/>
        <w:jc w:val="right"/>
        <w:rPr>
          <w:rFonts w:asciiTheme="majorBidi" w:hAnsiTheme="majorBidi" w:cstheme="majorBidi"/>
        </w:rPr>
      </w:pPr>
      <w:r>
        <w:rPr>
          <w:rFonts w:asciiTheme="majorBidi" w:hAnsiTheme="majorBidi" w:cstheme="majorBidi"/>
        </w:rPr>
        <w:t xml:space="preserve">P.O. Box 1087 -70100 </w:t>
      </w:r>
    </w:p>
    <w:p w14:paraId="7883F687">
      <w:pPr>
        <w:pStyle w:val="50"/>
        <w:spacing w:line="360" w:lineRule="auto"/>
        <w:jc w:val="right"/>
        <w:rPr>
          <w:rFonts w:asciiTheme="majorBidi" w:hAnsiTheme="majorBidi" w:cstheme="majorBidi"/>
        </w:rPr>
      </w:pPr>
      <w:r>
        <w:rPr>
          <w:rFonts w:asciiTheme="majorBidi" w:hAnsiTheme="majorBidi" w:cstheme="majorBidi"/>
        </w:rPr>
        <w:t>Garissa.</w:t>
      </w:r>
    </w:p>
    <w:p w14:paraId="7995A3BB">
      <w:pPr>
        <w:pStyle w:val="50"/>
        <w:spacing w:line="360" w:lineRule="auto"/>
        <w:jc w:val="right"/>
        <w:rPr>
          <w:rFonts w:asciiTheme="majorBidi" w:hAnsiTheme="majorBidi" w:cstheme="majorBidi"/>
        </w:rPr>
      </w:pPr>
      <w:r>
        <w:rPr>
          <w:rFonts w:asciiTheme="majorBidi" w:hAnsiTheme="majorBidi" w:cstheme="majorBidi"/>
        </w:rPr>
        <w:t>Date: _________________</w:t>
      </w:r>
    </w:p>
    <w:p w14:paraId="7CB74586">
      <w:pPr>
        <w:pStyle w:val="9"/>
        <w:spacing w:after="0" w:line="360" w:lineRule="auto"/>
        <w:ind w:right="-900"/>
        <w:rPr>
          <w:rFonts w:asciiTheme="majorBidi" w:hAnsiTheme="majorBidi" w:cstheme="majorBidi"/>
        </w:rPr>
      </w:pPr>
      <w:r>
        <w:rPr>
          <w:rFonts w:asciiTheme="majorBidi" w:hAnsiTheme="majorBidi" w:cstheme="majorBidi"/>
        </w:rPr>
        <w:t>THE PRINCIPAL,</w:t>
      </w:r>
    </w:p>
    <w:p w14:paraId="1DF32AFB">
      <w:pPr>
        <w:pStyle w:val="9"/>
        <w:spacing w:line="276" w:lineRule="auto"/>
        <w:ind w:right="-900"/>
        <w:rPr>
          <w:rFonts w:asciiTheme="majorBidi" w:hAnsiTheme="majorBidi" w:cstheme="majorBidi"/>
        </w:rPr>
      </w:pPr>
      <w:r>
        <w:rPr>
          <w:rFonts w:asciiTheme="majorBidi" w:hAnsiTheme="majorBidi" w:cstheme="majorBidi"/>
        </w:rPr>
        <w:t>_________________________</w:t>
      </w:r>
    </w:p>
    <w:p w14:paraId="14C4980F">
      <w:pPr>
        <w:pStyle w:val="9"/>
        <w:spacing w:line="276" w:lineRule="auto"/>
        <w:ind w:right="-900"/>
        <w:rPr>
          <w:rFonts w:asciiTheme="majorBidi" w:hAnsiTheme="majorBidi" w:cstheme="majorBidi"/>
        </w:rPr>
      </w:pPr>
      <w:r>
        <w:rPr>
          <w:rFonts w:asciiTheme="majorBidi" w:hAnsiTheme="majorBidi" w:cstheme="majorBidi"/>
        </w:rPr>
        <w:t>_________________________</w:t>
      </w:r>
    </w:p>
    <w:p w14:paraId="550A25C1">
      <w:pPr>
        <w:pStyle w:val="9"/>
        <w:spacing w:line="276" w:lineRule="auto"/>
        <w:ind w:right="-900"/>
        <w:rPr>
          <w:rFonts w:asciiTheme="majorBidi" w:hAnsiTheme="majorBidi" w:cstheme="majorBidi"/>
        </w:rPr>
      </w:pPr>
      <w:r>
        <w:rPr>
          <w:rFonts w:asciiTheme="majorBidi" w:hAnsiTheme="majorBidi" w:cstheme="majorBidi"/>
        </w:rPr>
        <w:t>__________________________</w:t>
      </w:r>
    </w:p>
    <w:p w14:paraId="015740B2">
      <w:pPr>
        <w:pStyle w:val="9"/>
        <w:spacing w:line="480" w:lineRule="auto"/>
        <w:ind w:right="-900"/>
        <w:rPr>
          <w:rFonts w:asciiTheme="majorBidi" w:hAnsiTheme="majorBidi" w:cstheme="majorBidi"/>
        </w:rPr>
      </w:pPr>
      <w:r>
        <w:rPr>
          <w:rFonts w:asciiTheme="majorBidi" w:hAnsiTheme="majorBidi" w:cstheme="majorBidi"/>
        </w:rPr>
        <w:t>Dear Sir/Madam,</w:t>
      </w:r>
    </w:p>
    <w:p w14:paraId="0B59AF81">
      <w:pPr>
        <w:pStyle w:val="9"/>
        <w:spacing w:line="480" w:lineRule="auto"/>
        <w:ind w:right="-900"/>
        <w:rPr>
          <w:rFonts w:asciiTheme="majorBidi" w:hAnsiTheme="majorBidi" w:cstheme="majorBidi"/>
          <w:b/>
          <w:bCs/>
          <w:u w:val="single"/>
        </w:rPr>
      </w:pPr>
      <w:r>
        <w:rPr>
          <w:rFonts w:asciiTheme="majorBidi" w:hAnsiTheme="majorBidi" w:cstheme="majorBidi"/>
          <w:b/>
          <w:bCs/>
          <w:u w:val="single"/>
        </w:rPr>
        <w:t>RE: REQUEST TO COLLECT DATA IN YOUR SCHOOL</w:t>
      </w:r>
    </w:p>
    <w:p w14:paraId="0AAE9C3E">
      <w:pPr>
        <w:pStyle w:val="9"/>
        <w:spacing w:line="360" w:lineRule="auto"/>
        <w:ind w:right="-900"/>
        <w:rPr>
          <w:rFonts w:asciiTheme="majorBidi" w:hAnsiTheme="majorBidi" w:cstheme="majorBidi"/>
        </w:rPr>
      </w:pPr>
      <w:r>
        <w:rPr>
          <w:rFonts w:asciiTheme="majorBidi" w:hAnsiTheme="majorBidi" w:cstheme="majorBidi"/>
        </w:rPr>
        <w:t>I would like to kindly request the above subject.</w:t>
      </w:r>
    </w:p>
    <w:p w14:paraId="67ACB43A">
      <w:pPr>
        <w:spacing w:after="0" w:line="360" w:lineRule="auto"/>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 xml:space="preserve">The findings of this study will not only enlighten the education stakeholders on the challenges faced but also help them in formulating policies that will contribute positively on the area of </w:t>
      </w:r>
      <w:r>
        <w:rPr>
          <w:rFonts w:eastAsia="Times New Roman" w:asciiTheme="majorBidi" w:hAnsiTheme="majorBidi" w:cstheme="majorBidi"/>
          <w:sz w:val="24"/>
          <w:szCs w:val="24"/>
        </w:rPr>
        <w:t>exam integrity</w:t>
      </w:r>
      <w:r>
        <w:rPr>
          <w:rFonts w:asciiTheme="majorBidi" w:hAnsiTheme="majorBidi" w:cstheme="majorBidi"/>
          <w:sz w:val="24"/>
          <w:szCs w:val="24"/>
        </w:rPr>
        <w:t xml:space="preserve">. </w:t>
      </w:r>
    </w:p>
    <w:p w14:paraId="678AF204">
      <w:pPr>
        <w:spacing w:after="0" w:line="360" w:lineRule="auto"/>
        <w:rPr>
          <w:rFonts w:asciiTheme="majorBidi" w:hAnsiTheme="majorBidi" w:cstheme="majorBidi"/>
          <w:sz w:val="24"/>
          <w:szCs w:val="24"/>
        </w:rPr>
      </w:pPr>
      <w:r>
        <w:rPr>
          <w:rFonts w:asciiTheme="majorBidi" w:hAnsiTheme="majorBidi" w:cstheme="majorBidi"/>
          <w:sz w:val="24"/>
          <w:szCs w:val="24"/>
        </w:rPr>
        <w:t>I therefore request you allow me to collect from your school. You will either be required to fill in a questionnaire or to respond to interview schedules to be administered by the researcher.</w:t>
      </w:r>
    </w:p>
    <w:p w14:paraId="58737CFC">
      <w:pPr>
        <w:pStyle w:val="9"/>
        <w:spacing w:line="360" w:lineRule="auto"/>
        <w:ind w:right="-900"/>
        <w:rPr>
          <w:rFonts w:asciiTheme="majorBidi" w:hAnsiTheme="majorBidi" w:cstheme="majorBidi"/>
        </w:rPr>
      </w:pPr>
      <w:r>
        <w:rPr>
          <w:rFonts w:asciiTheme="majorBidi" w:hAnsiTheme="majorBidi" w:cstheme="majorBidi"/>
        </w:rPr>
        <w:t>Any information given will be treated with confidentiality and information used for the purpose of the study only.</w:t>
      </w:r>
    </w:p>
    <w:p w14:paraId="618EC136">
      <w:pPr>
        <w:pStyle w:val="9"/>
        <w:spacing w:line="360" w:lineRule="auto"/>
        <w:ind w:right="-900"/>
        <w:rPr>
          <w:rFonts w:asciiTheme="majorBidi" w:hAnsiTheme="majorBidi" w:cstheme="majorBidi"/>
        </w:rPr>
      </w:pPr>
      <w:r>
        <w:rPr>
          <w:rFonts w:asciiTheme="majorBidi" w:hAnsiTheme="majorBidi" w:cstheme="majorBidi"/>
        </w:rPr>
        <w:t xml:space="preserve">With kind regards. </w:t>
      </w:r>
    </w:p>
    <w:p w14:paraId="3C972383">
      <w:pPr>
        <w:pStyle w:val="9"/>
        <w:spacing w:line="360" w:lineRule="auto"/>
        <w:ind w:right="-900"/>
        <w:rPr>
          <w:rFonts w:asciiTheme="majorBidi" w:hAnsiTheme="majorBidi" w:cstheme="majorBidi"/>
        </w:rPr>
      </w:pPr>
      <w:r>
        <w:rPr>
          <w:rFonts w:asciiTheme="majorBidi" w:hAnsiTheme="majorBidi" w:cstheme="majorBidi"/>
        </w:rPr>
        <w:t xml:space="preserve">Yours Faithfully, </w:t>
      </w:r>
    </w:p>
    <w:p w14:paraId="0D3A2BD7">
      <w:pPr>
        <w:pStyle w:val="9"/>
        <w:spacing w:line="360" w:lineRule="auto"/>
        <w:ind w:right="-900"/>
        <w:rPr>
          <w:rFonts w:asciiTheme="majorBidi" w:hAnsiTheme="majorBidi" w:cstheme="majorBidi"/>
        </w:rPr>
      </w:pPr>
      <w:r>
        <w:rPr>
          <w:rFonts w:asciiTheme="majorBidi" w:hAnsiTheme="majorBidi" w:cstheme="majorBidi"/>
        </w:rPr>
        <w:drawing>
          <wp:inline distT="0" distB="0" distL="0" distR="0">
            <wp:extent cx="1343025" cy="476250"/>
            <wp:effectExtent l="0" t="0" r="9525" b="0"/>
            <wp:docPr id="11" name="Picture 11" descr="C:\Users\admin\Desktop\ARI\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min\Desktop\ARI\SIG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43025" cy="476250"/>
                    </a:xfrm>
                    <a:prstGeom prst="rect">
                      <a:avLst/>
                    </a:prstGeom>
                    <a:noFill/>
                    <a:ln>
                      <a:noFill/>
                    </a:ln>
                  </pic:spPr>
                </pic:pic>
              </a:graphicData>
            </a:graphic>
          </wp:inline>
        </w:drawing>
      </w:r>
    </w:p>
    <w:p w14:paraId="0BB08304">
      <w:pPr>
        <w:pStyle w:val="9"/>
        <w:spacing w:line="360" w:lineRule="auto"/>
        <w:ind w:right="-900"/>
        <w:rPr>
          <w:rFonts w:asciiTheme="majorBidi" w:hAnsiTheme="majorBidi" w:cstheme="majorBidi"/>
          <w:b/>
          <w:bCs/>
        </w:rPr>
      </w:pPr>
      <w:r>
        <w:rPr>
          <w:rFonts w:asciiTheme="majorBidi" w:hAnsiTheme="majorBidi" w:cstheme="majorBidi"/>
          <w:b/>
          <w:bCs/>
        </w:rPr>
        <w:t>Abdirahman Ismail Abdi.</w:t>
      </w:r>
    </w:p>
    <w:p w14:paraId="6964506B">
      <w:pPr>
        <w:pStyle w:val="2"/>
        <w:rPr>
          <w:rFonts w:asciiTheme="majorBidi" w:hAnsiTheme="majorBidi"/>
          <w:color w:val="auto"/>
          <w:sz w:val="24"/>
          <w:szCs w:val="24"/>
        </w:rPr>
      </w:pPr>
      <w:bookmarkStart w:id="300" w:name="_Toc194822706"/>
      <w:r>
        <w:rPr>
          <w:rFonts w:asciiTheme="majorBidi" w:hAnsiTheme="majorBidi"/>
          <w:color w:val="auto"/>
          <w:sz w:val="24"/>
          <w:szCs w:val="24"/>
        </w:rPr>
        <w:t>APPENDIX VI: SKETCH MAP SHOWING GARISSA TOWNSHIP SUB COUNTY</w:t>
      </w:r>
      <w:bookmarkEnd w:id="300"/>
    </w:p>
    <w:p w14:paraId="486DFC3A">
      <w:pPr>
        <w:jc w:val="center"/>
        <w:rPr>
          <w:rFonts w:asciiTheme="majorBidi" w:hAnsiTheme="majorBidi" w:cstheme="majorBidi"/>
          <w:sz w:val="24"/>
          <w:szCs w:val="24"/>
        </w:rPr>
      </w:pPr>
      <w:r>
        <w:rPr>
          <w:rFonts w:asciiTheme="majorBidi" w:hAnsiTheme="majorBidi" w:cstheme="majorBidi"/>
          <w:sz w:val="24"/>
          <w:szCs w:val="24"/>
        </w:rPr>
        <mc:AlternateContent>
          <mc:Choice Requires="wpg">
            <w:drawing>
              <wp:anchor distT="0" distB="0" distL="114300" distR="114300" simplePos="0" relativeHeight="251659264" behindDoc="0" locked="0" layoutInCell="1" allowOverlap="1">
                <wp:simplePos x="0" y="0"/>
                <wp:positionH relativeFrom="column">
                  <wp:posOffset>1219200</wp:posOffset>
                </wp:positionH>
                <wp:positionV relativeFrom="paragraph">
                  <wp:posOffset>1551305</wp:posOffset>
                </wp:positionV>
                <wp:extent cx="1333500" cy="962025"/>
                <wp:effectExtent l="0" t="38100" r="38100" b="28575"/>
                <wp:wrapNone/>
                <wp:docPr id="22" name="Group 22"/>
                <wp:cNvGraphicFramePr/>
                <a:graphic xmlns:a="http://schemas.openxmlformats.org/drawingml/2006/main">
                  <a:graphicData uri="http://schemas.microsoft.com/office/word/2010/wordprocessingGroup">
                    <wpg:wgp>
                      <wpg:cNvGrpSpPr/>
                      <wpg:grpSpPr>
                        <a:xfrm>
                          <a:off x="0" y="0"/>
                          <a:ext cx="1333500" cy="962025"/>
                          <a:chOff x="19050" y="0"/>
                          <a:chExt cx="1333500" cy="962025"/>
                        </a:xfrm>
                      </wpg:grpSpPr>
                      <wps:wsp>
                        <wps:cNvPr id="21" name="Text Box 21"/>
                        <wps:cNvSpPr txBox="1"/>
                        <wps:spPr>
                          <a:xfrm>
                            <a:off x="19050" y="295275"/>
                            <a:ext cx="1038225" cy="666750"/>
                          </a:xfrm>
                          <a:prstGeom prst="rect">
                            <a:avLst/>
                          </a:prstGeom>
                          <a:solidFill>
                            <a:schemeClr val="lt1"/>
                          </a:solidFill>
                          <a:ln w="6350">
                            <a:solidFill>
                              <a:schemeClr val="bg1"/>
                            </a:solidFill>
                          </a:ln>
                        </wps:spPr>
                        <wps:txbx>
                          <w:txbxContent>
                            <w:p w14:paraId="517E95B0">
                              <w:pPr>
                                <w:spacing w:after="0" w:line="240" w:lineRule="auto"/>
                                <w:rPr>
                                  <w:b/>
                                  <w:bCs/>
                                </w:rPr>
                              </w:pPr>
                              <w:r>
                                <w:rPr>
                                  <w:b/>
                                  <w:bCs/>
                                </w:rPr>
                                <w:t>GARISSA</w:t>
                              </w:r>
                            </w:p>
                            <w:p w14:paraId="00415FF3">
                              <w:pPr>
                                <w:spacing w:after="0" w:line="240" w:lineRule="auto"/>
                                <w:rPr>
                                  <w:b/>
                                  <w:bCs/>
                                </w:rPr>
                              </w:pPr>
                              <w:r>
                                <w:rPr>
                                  <w:b/>
                                  <w:bCs/>
                                </w:rPr>
                                <w:t>TOWNSHIP</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 name="Straight Arrow Connector 20"/>
                        <wps:cNvCnPr/>
                        <wps:spPr>
                          <a:xfrm flipV="1">
                            <a:off x="723900" y="0"/>
                            <a:ext cx="628650" cy="49530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_x0000_s1026" o:spid="_x0000_s1026" o:spt="203" style="position:absolute;left:0pt;margin-left:96pt;margin-top:122.15pt;height:75.75pt;width:105pt;z-index:251659264;mso-width-relative:page;mso-height-relative:page;" coordorigin="19050,0" coordsize="1333500,962025" o:gfxdata="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">
                <o:lock v:ext="edit" aspectratio="f"/>
                <v:shape id="_x0000_s1026" o:spid="_x0000_s1026" o:spt="202" type="#_x0000_t202" style="position:absolute;left:19050;top:295275;height:666750;width:1038225;" fillcolor="#FFFFFF [3201]" filled="t" stroked="t" coordsize="21600,21600" o:gfxdata="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DWx74A&#10;AADbAAAADwAAAAAAAAABACAAAAAiAAAAZHJzL2Rvd25yZXYueG1sUEsBAhQAFAAAAAgAh07iQDMv&#10;BZ47AAAAOQAAABAAAAAAAAAAAQAgAAAADQEAAGRycy9zaGFwZXhtbC54bWxQSwUGAAAAAAYABgBb&#10;AQAAtwMAAAAA&#10;">
                  <v:fill on="t" focussize="0,0"/>
                  <v:stroke weight="0.5pt" color="#FFFFFF [3212]" joinstyle="round"/>
                  <v:imagedata o:title=""/>
                  <o:lock v:ext="edit" aspectratio="f"/>
                  <v:textbox>
                    <w:txbxContent>
                      <w:p w14:paraId="517E95B0">
                        <w:pPr>
                          <w:spacing w:after="0" w:line="240" w:lineRule="auto"/>
                          <w:rPr>
                            <w:b/>
                            <w:bCs/>
                          </w:rPr>
                        </w:pPr>
                        <w:r>
                          <w:rPr>
                            <w:b/>
                            <w:bCs/>
                          </w:rPr>
                          <w:t>GARISSA</w:t>
                        </w:r>
                      </w:p>
                      <w:p w14:paraId="00415FF3">
                        <w:pPr>
                          <w:spacing w:after="0" w:line="240" w:lineRule="auto"/>
                          <w:rPr>
                            <w:b/>
                            <w:bCs/>
                          </w:rPr>
                        </w:pPr>
                        <w:r>
                          <w:rPr>
                            <w:b/>
                            <w:bCs/>
                          </w:rPr>
                          <w:t>TOWNSHIP</w:t>
                        </w:r>
                      </w:p>
                    </w:txbxContent>
                  </v:textbox>
                </v:shape>
                <v:shape id="_x0000_s1026" o:spid="_x0000_s1026" o:spt="32" type="#_x0000_t32" style="position:absolute;left:723900;top:0;flip:y;height:495300;width:628650;" filled="f" stroked="t" coordsize="21600,21600" o:gfxdata="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TxyM7UAAADbAAAADwAA&#10;AAAAAAABACAAAAAiAAAAZHJzL2Rvd25yZXYueG1sUEsBAhQAFAAAAAgAh07iQDMvBZ47AAAAOQAA&#10;ABAAAAAAAAAAAQAgAAAABAEAAGRycy9zaGFwZXhtbC54bWxQSwUGAAAAAAYABgBbAQAArgMAAAAA&#10;">
                  <v:fill on="f" focussize="0,0"/>
                  <v:stroke weight="2.25pt" color="#000000 [3200]" joinstyle="round" endarrow="block"/>
                  <v:imagedata o:title=""/>
                  <o:lock v:ext="edit" aspectratio="f"/>
                </v:shape>
              </v:group>
            </w:pict>
          </mc:Fallback>
        </mc:AlternateContent>
      </w:r>
      <w:r>
        <w:rPr>
          <w:rFonts w:asciiTheme="majorBidi" w:hAnsiTheme="majorBidi" w:cstheme="majorBidi"/>
          <w:sz w:val="24"/>
          <w:szCs w:val="24"/>
        </w:rPr>
        <w:drawing>
          <wp:inline distT="0" distB="0" distL="0" distR="0">
            <wp:extent cx="2952750" cy="3238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52750" cy="3238500"/>
                    </a:xfrm>
                    <a:prstGeom prst="rect">
                      <a:avLst/>
                    </a:prstGeom>
                    <a:noFill/>
                  </pic:spPr>
                </pic:pic>
              </a:graphicData>
            </a:graphic>
          </wp:inline>
        </w:drawing>
      </w:r>
    </w:p>
    <w:p w14:paraId="3E72115D">
      <w:pPr>
        <w:jc w:val="center"/>
        <w:rPr>
          <w:rFonts w:asciiTheme="majorBidi" w:hAnsiTheme="majorBidi" w:cstheme="majorBidi"/>
          <w:sz w:val="24"/>
          <w:szCs w:val="24"/>
        </w:rPr>
      </w:pPr>
      <w:r>
        <w:rPr>
          <w:rFonts w:asciiTheme="majorBidi" w:hAnsiTheme="majorBidi" w:cstheme="majorBidi"/>
          <w:sz w:val="24"/>
          <w:szCs w:val="24"/>
        </w:rPr>
        <w:drawing>
          <wp:inline distT="0" distB="0" distL="0" distR="0">
            <wp:extent cx="3694430" cy="400875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36594" cy="4054059"/>
                    </a:xfrm>
                    <a:prstGeom prst="rect">
                      <a:avLst/>
                    </a:prstGeom>
                    <a:noFill/>
                  </pic:spPr>
                </pic:pic>
              </a:graphicData>
            </a:graphic>
          </wp:inline>
        </w:drawing>
      </w:r>
    </w:p>
    <w:p w14:paraId="391103E3">
      <w:pPr>
        <w:pStyle w:val="2"/>
        <w:rPr>
          <w:rFonts w:asciiTheme="majorBidi" w:hAnsiTheme="majorBidi"/>
          <w:sz w:val="24"/>
          <w:szCs w:val="24"/>
        </w:rPr>
      </w:pPr>
      <w:bookmarkStart w:id="301" w:name="_Toc194822707"/>
      <w:r>
        <w:rPr>
          <w:rFonts w:asciiTheme="majorBidi" w:hAnsiTheme="majorBidi"/>
          <w:color w:val="auto"/>
          <w:sz w:val="24"/>
          <w:szCs w:val="24"/>
        </w:rPr>
        <w:t>APPENDIX VII: PLAGIARISM TEST</w:t>
      </w:r>
      <w:bookmarkEnd w:id="301"/>
    </w:p>
    <w:p w14:paraId="5CCEF2E8">
      <w:pPr>
        <w:jc w:val="center"/>
        <w:rPr>
          <w:rFonts w:asciiTheme="majorBidi" w:hAnsiTheme="majorBidi" w:cstheme="majorBidi"/>
          <w:sz w:val="24"/>
          <w:szCs w:val="24"/>
        </w:rPr>
      </w:pPr>
      <w:r>
        <w:rPr>
          <w:rFonts w:asciiTheme="majorBidi" w:hAnsiTheme="majorBidi" w:cstheme="majorBidi"/>
          <w:sz w:val="24"/>
          <w:szCs w:val="24"/>
        </w:rPr>
        <w:drawing>
          <wp:inline distT="0" distB="0" distL="0" distR="0">
            <wp:extent cx="5486400" cy="7752715"/>
            <wp:effectExtent l="0" t="0" r="0" b="635"/>
            <wp:docPr id="7" name="Picture 7" descr="C:\Users\Principal-PC\Documents\img20240304_16444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Principal-PC\Documents\img20240304_1644433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86400" cy="7752822"/>
                    </a:xfrm>
                    <a:prstGeom prst="rect">
                      <a:avLst/>
                    </a:prstGeom>
                    <a:noFill/>
                    <a:ln>
                      <a:noFill/>
                    </a:ln>
                  </pic:spPr>
                </pic:pic>
              </a:graphicData>
            </a:graphic>
          </wp:inline>
        </w:drawing>
      </w:r>
    </w:p>
    <w:p w14:paraId="0A498726">
      <w:pPr>
        <w:pStyle w:val="2"/>
        <w:spacing w:before="0" w:line="480" w:lineRule="auto"/>
        <w:jc w:val="both"/>
        <w:rPr>
          <w:rFonts w:asciiTheme="majorBidi" w:hAnsiTheme="majorBidi"/>
          <w:color w:val="auto"/>
          <w:sz w:val="24"/>
          <w:szCs w:val="24"/>
        </w:rPr>
      </w:pPr>
      <w:bookmarkStart w:id="302" w:name="_Toc104797399"/>
      <w:bookmarkStart w:id="303" w:name="_Toc194822708"/>
      <w:r>
        <w:rPr>
          <w:rFonts w:asciiTheme="majorBidi" w:hAnsiTheme="majorBidi"/>
          <w:color w:val="auto"/>
          <w:sz w:val="24"/>
          <w:szCs w:val="24"/>
        </w:rPr>
        <w:t xml:space="preserve">APPENDIX VIII: </w:t>
      </w:r>
      <w:bookmarkEnd w:id="302"/>
      <w:bookmarkStart w:id="304" w:name="_Toc104797401"/>
      <w:r>
        <w:rPr>
          <w:rFonts w:asciiTheme="majorBidi" w:hAnsiTheme="majorBidi"/>
          <w:color w:val="auto"/>
          <w:sz w:val="24"/>
          <w:szCs w:val="24"/>
        </w:rPr>
        <w:t>INTRODUCTION LETTER TO ETHIC COMMITTEE</w:t>
      </w:r>
      <w:bookmarkEnd w:id="303"/>
    </w:p>
    <w:p w14:paraId="41D2809D">
      <w:pPr>
        <w:tabs>
          <w:tab w:val="left" w:pos="5310"/>
        </w:tabs>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rPr>
        <w:drawing>
          <wp:inline distT="0" distB="0" distL="0" distR="0">
            <wp:extent cx="657225" cy="6642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68267" cy="675376"/>
                    </a:xfrm>
                    <a:prstGeom prst="rect">
                      <a:avLst/>
                    </a:prstGeom>
                    <a:noFill/>
                    <a:ln>
                      <a:noFill/>
                    </a:ln>
                  </pic:spPr>
                </pic:pic>
              </a:graphicData>
            </a:graphic>
          </wp:inline>
        </w:drawing>
      </w:r>
    </w:p>
    <w:p w14:paraId="439CEFA3">
      <w:pPr>
        <w:spacing w:after="0"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GARISSA UNIVERSITY</w:t>
      </w:r>
    </w:p>
    <w:p w14:paraId="76A20991">
      <w:pPr>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OFFICE OF THE DIRECTOR RESEARCH, POSTGRADAUTE LINKAGES AND COMMUNITY OUTREACH</w:t>
      </w:r>
    </w:p>
    <w:p w14:paraId="4155F936">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Telephone: +254722439343</w:t>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College Road (Bula College)</w:t>
      </w:r>
    </w:p>
    <w:p w14:paraId="1A465813">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Facsmile: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Off Garissa-Daadab Road</w:t>
      </w:r>
    </w:p>
    <w:p w14:paraId="17AD8102">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Website: </w:t>
      </w:r>
      <w:r>
        <w:fldChar w:fldCharType="begin"/>
      </w:r>
      <w:r>
        <w:instrText xml:space="preserve"> HYPERLINK "http://www.gau.ac.ke" </w:instrText>
      </w:r>
      <w:r>
        <w:fldChar w:fldCharType="separate"/>
      </w:r>
      <w:r>
        <w:rPr>
          <w:rFonts w:eastAsia="Calibri" w:asciiTheme="majorBidi" w:hAnsiTheme="majorBidi" w:cstheme="majorBidi"/>
          <w:color w:val="0000FF"/>
          <w:sz w:val="24"/>
          <w:szCs w:val="24"/>
          <w:lang w:val="en-GB"/>
        </w:rPr>
        <w:t>www.gau.ac.ke</w:t>
      </w:r>
      <w:r>
        <w:rPr>
          <w:rFonts w:eastAsia="Calibri" w:asciiTheme="majorBidi" w:hAnsiTheme="majorBidi" w:cstheme="majorBidi"/>
          <w:color w:val="0000FF"/>
          <w:sz w:val="24"/>
          <w:szCs w:val="24"/>
          <w:lang w:val="en-GB"/>
        </w:rPr>
        <w:fldChar w:fldCharType="end"/>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P.O. Box 1801-70100</w:t>
      </w:r>
    </w:p>
    <w:p w14:paraId="763AF4BA">
      <w:pPr>
        <w:spacing w:after="0" w:line="240" w:lineRule="auto"/>
        <w:rPr>
          <w:rFonts w:eastAsia="Calibri" w:asciiTheme="majorBidi" w:hAnsiTheme="majorBidi" w:cstheme="majorBidi"/>
          <w:sz w:val="24"/>
          <w:szCs w:val="24"/>
          <w:lang w:val="en-GB"/>
        </w:rPr>
      </w:pP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Garissa, Kenya</w:t>
      </w:r>
    </w:p>
    <w:p w14:paraId="4ECB7CF4">
      <w:pPr>
        <w:tabs>
          <w:tab w:val="center" w:pos="4680"/>
          <w:tab w:val="right" w:pos="9360"/>
        </w:tabs>
        <w:spacing w:after="0" w:line="20" w:lineRule="atLeast"/>
        <w:rPr>
          <w:rFonts w:eastAsia="Calibri" w:asciiTheme="majorBidi" w:hAnsiTheme="majorBidi" w:cstheme="majorBidi"/>
          <w:sz w:val="24"/>
          <w:szCs w:val="24"/>
        </w:rPr>
      </w:pPr>
      <w:r>
        <w:rPr>
          <w:rFonts w:eastAsia="Calibri" w:asciiTheme="majorBidi" w:hAnsiTheme="majorBidi" w:cstheme="majorBidi"/>
          <w:b/>
          <w:sz w:val="24"/>
          <w:szCs w:val="24"/>
        </w:rPr>
        <w:t>When replying please quote</w:t>
      </w:r>
      <w:r>
        <w:rPr>
          <w:rFonts w:eastAsia="Calibri" w:asciiTheme="majorBidi" w:hAnsiTheme="majorBidi" w:cstheme="majorBidi"/>
          <w:b/>
          <w:color w:val="0000FF"/>
          <w:sz w:val="24"/>
          <w:szCs w:val="24"/>
        </w:rPr>
        <w:tab/>
      </w:r>
    </w:p>
    <w:p w14:paraId="6F85805E">
      <w:pPr>
        <w:tabs>
          <w:tab w:val="left" w:pos="5760"/>
        </w:tabs>
        <w:spacing w:after="0"/>
        <w:jc w:val="both"/>
        <w:rPr>
          <w:rFonts w:eastAsia="Calibri" w:asciiTheme="majorBidi" w:hAnsiTheme="majorBidi" w:cstheme="majorBidi"/>
          <w:sz w:val="24"/>
          <w:szCs w:val="24"/>
          <w:lang w:val="en-GB"/>
        </w:rPr>
      </w:pPr>
      <w:r>
        <w:rPr>
          <w:rFonts w:eastAsia="Calibri" w:asciiTheme="majorBidi" w:hAnsiTheme="majorBidi" w:cstheme="majorBidi"/>
          <w:b/>
          <w:sz w:val="24"/>
          <w:szCs w:val="24"/>
          <w:lang w:val="en-GB"/>
        </w:rPr>
        <w:t>REF:</w:t>
      </w:r>
      <w:r>
        <w:rPr>
          <w:rFonts w:eastAsia="Calibri" w:asciiTheme="majorBidi" w:hAnsiTheme="majorBidi" w:cstheme="majorBidi"/>
          <w:sz w:val="24"/>
          <w:szCs w:val="24"/>
          <w:lang w:val="en-GB"/>
        </w:rPr>
        <w:t xml:space="preserve"> </w:t>
      </w:r>
      <w:r>
        <w:rPr>
          <w:rFonts w:eastAsia="Times New Roman" w:asciiTheme="majorBidi" w:hAnsiTheme="majorBidi" w:cstheme="majorBidi"/>
          <w:sz w:val="24"/>
          <w:szCs w:val="24"/>
        </w:rPr>
        <w:t>GaU/REPLICO/ISERC/15/24</w:t>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13</w:t>
      </w:r>
      <w:r>
        <w:rPr>
          <w:rFonts w:eastAsia="Calibri" w:asciiTheme="majorBidi" w:hAnsiTheme="majorBidi" w:cstheme="majorBidi"/>
          <w:b/>
          <w:sz w:val="24"/>
          <w:szCs w:val="24"/>
          <w:vertAlign w:val="superscript"/>
          <w:lang w:val="en-GB"/>
        </w:rPr>
        <w:t>th</w:t>
      </w:r>
      <w:r>
        <w:rPr>
          <w:rFonts w:eastAsia="Calibri" w:asciiTheme="majorBidi" w:hAnsiTheme="majorBidi" w:cstheme="majorBidi"/>
          <w:b/>
          <w:sz w:val="24"/>
          <w:szCs w:val="24"/>
          <w:lang w:val="en-GB"/>
        </w:rPr>
        <w:t xml:space="preserve"> March 2024</w:t>
      </w:r>
    </w:p>
    <w:p w14:paraId="6F9A8D48">
      <w:pPr>
        <w:spacing w:after="0"/>
        <w:jc w:val="both"/>
        <w:rPr>
          <w:rFonts w:asciiTheme="majorBidi" w:hAnsiTheme="majorBidi" w:cstheme="majorBidi"/>
          <w:sz w:val="24"/>
          <w:szCs w:val="24"/>
        </w:rPr>
      </w:pPr>
      <w:r>
        <w:rPr>
          <w:rFonts w:asciiTheme="majorBidi" w:hAnsiTheme="majorBidi" w:cstheme="majorBidi"/>
          <w:sz w:val="24"/>
          <w:szCs w:val="24"/>
        </w:rPr>
        <w:t>Laikipia University</w:t>
      </w:r>
    </w:p>
    <w:p w14:paraId="172AFC2B">
      <w:pPr>
        <w:tabs>
          <w:tab w:val="left" w:pos="3810"/>
        </w:tabs>
        <w:spacing w:after="0"/>
        <w:rPr>
          <w:rFonts w:asciiTheme="majorBidi" w:hAnsiTheme="majorBidi" w:cstheme="majorBidi"/>
          <w:b/>
          <w:sz w:val="24"/>
          <w:szCs w:val="24"/>
        </w:rPr>
      </w:pPr>
      <w:r>
        <w:rPr>
          <w:rFonts w:asciiTheme="majorBidi" w:hAnsiTheme="majorBidi" w:cstheme="majorBidi"/>
          <w:b/>
          <w:sz w:val="24"/>
          <w:szCs w:val="24"/>
        </w:rPr>
        <w:t>Institutional Ethics Review Committee</w:t>
      </w:r>
    </w:p>
    <w:p w14:paraId="6718BE95">
      <w:pPr>
        <w:spacing w:after="0"/>
        <w:rPr>
          <w:rFonts w:eastAsia="Calibri" w:asciiTheme="majorBidi" w:hAnsiTheme="majorBidi" w:cstheme="majorBidi"/>
          <w:b/>
          <w:sz w:val="24"/>
          <w:szCs w:val="24"/>
          <w:lang w:val="en-GB"/>
        </w:rPr>
      </w:pPr>
    </w:p>
    <w:p w14:paraId="3B54467A">
      <w:pPr>
        <w:spacing w:after="0"/>
        <w:rPr>
          <w:rFonts w:asciiTheme="majorBidi" w:hAnsiTheme="majorBidi" w:cstheme="majorBidi"/>
          <w:b/>
          <w:sz w:val="24"/>
          <w:szCs w:val="24"/>
        </w:rPr>
      </w:pPr>
      <w:r>
        <w:rPr>
          <w:rFonts w:asciiTheme="majorBidi" w:hAnsiTheme="majorBidi" w:cstheme="majorBidi"/>
          <w:b/>
          <w:sz w:val="24"/>
          <w:szCs w:val="24"/>
        </w:rPr>
        <w:t>TO WHOEVER IT MAY CONCERN</w:t>
      </w:r>
    </w:p>
    <w:p w14:paraId="2B2082D3">
      <w:pPr>
        <w:rPr>
          <w:rFonts w:asciiTheme="majorBidi" w:hAnsiTheme="majorBidi" w:cstheme="majorBidi"/>
          <w:b/>
          <w:sz w:val="24"/>
          <w:szCs w:val="24"/>
          <w:u w:val="single"/>
        </w:rPr>
      </w:pPr>
      <w:r>
        <w:rPr>
          <w:rFonts w:asciiTheme="majorBidi" w:hAnsiTheme="majorBidi" w:cstheme="majorBidi"/>
          <w:b/>
          <w:sz w:val="24"/>
          <w:szCs w:val="24"/>
          <w:u w:val="single"/>
        </w:rPr>
        <w:t>RE: PERMISSION TO COLLECT DATA FOR ACADEMIC PURPOSE</w:t>
      </w:r>
    </w:p>
    <w:p w14:paraId="19479D97">
      <w:pPr>
        <w:pStyle w:val="39"/>
        <w:spacing w:line="360" w:lineRule="auto"/>
        <w:ind w:right="-270"/>
        <w:contextualSpacing/>
        <w:jc w:val="both"/>
        <w:rPr>
          <w:rFonts w:asciiTheme="majorBidi" w:hAnsiTheme="majorBidi" w:cstheme="majorBidi"/>
          <w:sz w:val="24"/>
          <w:szCs w:val="24"/>
        </w:rPr>
      </w:pPr>
      <w:r>
        <w:rPr>
          <w:rFonts w:asciiTheme="majorBidi" w:hAnsiTheme="majorBidi" w:cstheme="majorBidi"/>
          <w:sz w:val="24"/>
          <w:szCs w:val="24"/>
        </w:rPr>
        <w:t xml:space="preserve">MR ABDIRAHMAN ISMAIL ABDI  (EDU/D.PHIL.A/1003/17) is a postgraduate student taking a degree leading to Doctor of Philosophy in Education Management at Garissa University. He is currently preparing to collect data under a proposal titled </w:t>
      </w:r>
      <w:r>
        <w:rPr>
          <w:rFonts w:asciiTheme="majorBidi" w:hAnsiTheme="majorBidi" w:cstheme="majorBidi"/>
          <w:b/>
          <w:sz w:val="24"/>
          <w:szCs w:val="24"/>
        </w:rPr>
        <w:t xml:space="preserve">"Determinants of academic integrity and examination malpractices in secondary schools in Garissa Township Sub County Kenya." </w:t>
      </w:r>
    </w:p>
    <w:p w14:paraId="6B756186">
      <w:pPr>
        <w:spacing w:after="0"/>
        <w:jc w:val="both"/>
        <w:rPr>
          <w:rFonts w:asciiTheme="majorBidi" w:hAnsiTheme="majorBidi" w:cstheme="majorBidi"/>
          <w:sz w:val="24"/>
          <w:szCs w:val="24"/>
        </w:rPr>
      </w:pPr>
      <w:r>
        <w:rPr>
          <w:rFonts w:asciiTheme="majorBidi" w:hAnsiTheme="majorBidi" w:cstheme="majorBidi"/>
          <w:sz w:val="24"/>
          <w:szCs w:val="24"/>
        </w:rPr>
        <w:t xml:space="preserve">The purpose of this letter is to request your institution to approve and grant him ISERC approval   to enable him carry out the research. In case of any clarification, please don’t hesitate to call the undersigned. </w:t>
      </w:r>
    </w:p>
    <w:p w14:paraId="112B5050">
      <w:pPr>
        <w:jc w:val="both"/>
        <w:rPr>
          <w:rFonts w:asciiTheme="majorBidi" w:hAnsiTheme="majorBidi" w:cstheme="majorBidi"/>
          <w:sz w:val="24"/>
          <w:szCs w:val="24"/>
        </w:rPr>
      </w:pPr>
      <w:r>
        <w:rPr>
          <w:rFonts w:asciiTheme="majorBidi" w:hAnsiTheme="majorBidi" w:cstheme="majorBidi"/>
          <w:sz w:val="24"/>
          <w:szCs w:val="24"/>
        </w:rPr>
        <w:t>Yours Sincerely,</w:t>
      </w:r>
    </w:p>
    <w:p w14:paraId="45B4BFA4">
      <w:pPr>
        <w:jc w:val="both"/>
        <w:rPr>
          <w:rFonts w:asciiTheme="majorBidi" w:hAnsiTheme="majorBidi" w:cstheme="majorBidi"/>
          <w:sz w:val="24"/>
          <w:szCs w:val="24"/>
        </w:rPr>
      </w:pPr>
      <w:r>
        <w:rPr>
          <w:rFonts w:asciiTheme="majorBidi" w:hAnsiTheme="majorBidi" w:cstheme="majorBidi"/>
          <w:sz w:val="24"/>
          <w:szCs w:val="24"/>
        </w:rPr>
        <w:drawing>
          <wp:inline distT="0" distB="0" distL="0" distR="0">
            <wp:extent cx="1238250" cy="407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44263" cy="410102"/>
                    </a:xfrm>
                    <a:prstGeom prst="rect">
                      <a:avLst/>
                    </a:prstGeom>
                    <a:solidFill>
                      <a:schemeClr val="accent1"/>
                    </a:solidFill>
                    <a:ln>
                      <a:noFill/>
                    </a:ln>
                  </pic:spPr>
                </pic:pic>
              </a:graphicData>
            </a:graphic>
          </wp:inline>
        </w:drawing>
      </w:r>
    </w:p>
    <w:p w14:paraId="4228C15B">
      <w:pPr>
        <w:spacing w:after="0"/>
        <w:jc w:val="both"/>
        <w:rPr>
          <w:rFonts w:asciiTheme="majorBidi" w:hAnsiTheme="majorBidi" w:cstheme="majorBidi"/>
          <w:sz w:val="24"/>
          <w:szCs w:val="24"/>
        </w:rPr>
      </w:pPr>
      <w:r>
        <w:rPr>
          <w:rFonts w:asciiTheme="majorBidi" w:hAnsiTheme="majorBidi" w:cstheme="majorBidi"/>
          <w:sz w:val="24"/>
          <w:szCs w:val="24"/>
        </w:rPr>
        <w:t>Dr. David Karienye</w:t>
      </w:r>
    </w:p>
    <w:p w14:paraId="308EA48A">
      <w:pPr>
        <w:jc w:val="both"/>
        <w:rPr>
          <w:rFonts w:asciiTheme="majorBidi" w:hAnsiTheme="majorBidi" w:cstheme="majorBidi"/>
          <w:b/>
          <w:sz w:val="24"/>
          <w:szCs w:val="24"/>
        </w:rPr>
      </w:pPr>
      <w:r>
        <w:rPr>
          <w:rFonts w:asciiTheme="majorBidi" w:hAnsiTheme="majorBidi" w:cstheme="majorBidi"/>
          <w:b/>
          <w:sz w:val="24"/>
          <w:szCs w:val="24"/>
        </w:rPr>
        <w:t>DIRECTOR REPLICO</w:t>
      </w:r>
    </w:p>
    <w:p w14:paraId="6B4B0BDC">
      <w:pPr>
        <w:pStyle w:val="39"/>
        <w:spacing w:line="360" w:lineRule="auto"/>
        <w:ind w:right="-270"/>
        <w:contextualSpacing/>
        <w:rPr>
          <w:rFonts w:asciiTheme="majorBidi" w:hAnsiTheme="majorBidi" w:cstheme="majorBidi"/>
          <w:sz w:val="24"/>
          <w:szCs w:val="24"/>
        </w:rPr>
      </w:pPr>
      <w:r>
        <w:rPr>
          <w:rFonts w:asciiTheme="majorBidi" w:hAnsiTheme="majorBidi" w:cstheme="majorBidi"/>
          <w:sz w:val="24"/>
          <w:szCs w:val="24"/>
        </w:rPr>
        <w:t xml:space="preserve"> CC   MR ABDIRAHMAN ISMAIL ABDI  (EDU/D.PHIL.A/1003/17)</w:t>
      </w:r>
    </w:p>
    <w:p w14:paraId="3912ECEF">
      <w:pPr>
        <w:pStyle w:val="2"/>
        <w:spacing w:before="0" w:line="480" w:lineRule="auto"/>
        <w:jc w:val="both"/>
        <w:rPr>
          <w:rFonts w:asciiTheme="majorBidi" w:hAnsiTheme="majorBidi"/>
          <w:color w:val="auto"/>
          <w:sz w:val="24"/>
          <w:szCs w:val="24"/>
        </w:rPr>
      </w:pPr>
      <w:bookmarkStart w:id="305" w:name="_Toc194822709"/>
      <w:r>
        <w:rPr>
          <w:rFonts w:asciiTheme="majorBidi" w:hAnsiTheme="majorBidi"/>
          <w:color w:val="auto"/>
          <w:sz w:val="24"/>
          <w:szCs w:val="24"/>
        </w:rPr>
        <w:t>APPENDIX IX: ETHICAL CLEARANCE LETTER</w:t>
      </w:r>
      <w:bookmarkEnd w:id="304"/>
      <w:bookmarkEnd w:id="305"/>
    </w:p>
    <w:p w14:paraId="261869F6">
      <w:pPr>
        <w:rPr>
          <w:rFonts w:asciiTheme="majorBidi" w:hAnsiTheme="majorBidi" w:cstheme="majorBidi"/>
          <w:sz w:val="24"/>
          <w:szCs w:val="24"/>
        </w:rPr>
      </w:pPr>
    </w:p>
    <w:p w14:paraId="11A5D3BE">
      <w:pPr>
        <w:rPr>
          <w:rFonts w:asciiTheme="majorBidi" w:hAnsiTheme="majorBidi" w:cstheme="majorBidi"/>
          <w:sz w:val="24"/>
          <w:szCs w:val="24"/>
        </w:rPr>
      </w:pPr>
      <w:r>
        <w:rPr>
          <w:rFonts w:asciiTheme="majorBidi" w:hAnsiTheme="majorBidi" w:cstheme="majorBidi"/>
          <w:sz w:val="24"/>
          <w:szCs w:val="24"/>
        </w:rPr>
        <w:drawing>
          <wp:inline distT="0" distB="0" distL="0" distR="0">
            <wp:extent cx="5486400" cy="7033895"/>
            <wp:effectExtent l="0" t="0" r="0" b="0"/>
            <wp:docPr id="24" name="Picture 24" descr="C:\Users\admin\Desktop\GARISSA UNIVERSITY 2\Final PhD 2024\ISERC\img20240425_121357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admin\Desktop\GARISSA UNIVERSITY 2\Final PhD 2024\ISERC\img20240425_1213577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86400" cy="7034201"/>
                    </a:xfrm>
                    <a:prstGeom prst="rect">
                      <a:avLst/>
                    </a:prstGeom>
                    <a:noFill/>
                    <a:ln>
                      <a:noFill/>
                    </a:ln>
                  </pic:spPr>
                </pic:pic>
              </a:graphicData>
            </a:graphic>
          </wp:inline>
        </w:drawing>
      </w:r>
    </w:p>
    <w:p w14:paraId="21B8DD8B">
      <w:pPr>
        <w:rPr>
          <w:rFonts w:asciiTheme="majorBidi" w:hAnsiTheme="majorBidi" w:cstheme="majorBidi"/>
          <w:sz w:val="24"/>
          <w:szCs w:val="24"/>
        </w:rPr>
      </w:pPr>
    </w:p>
    <w:p w14:paraId="4C17D5D7">
      <w:pPr>
        <w:rPr>
          <w:rFonts w:asciiTheme="majorBidi" w:hAnsiTheme="majorBidi" w:cstheme="majorBidi"/>
          <w:sz w:val="24"/>
          <w:szCs w:val="24"/>
        </w:rPr>
      </w:pPr>
      <w:r>
        <w:rPr>
          <w:rFonts w:asciiTheme="majorBidi" w:hAnsiTheme="majorBidi" w:cstheme="majorBidi"/>
          <w:sz w:val="24"/>
          <w:szCs w:val="24"/>
        </w:rPr>
        <w:drawing>
          <wp:inline distT="0" distB="0" distL="0" distR="0">
            <wp:extent cx="5486400" cy="7365365"/>
            <wp:effectExtent l="0" t="0" r="0" b="6985"/>
            <wp:docPr id="25" name="Picture 25" descr="C:\Users\admin\Desktop\GARISSA UNIVERSITY 2\Final PhD 2024\ISERC\img20240425_12145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admin\Desktop\GARISSA UNIVERSITY 2\Final PhD 2024\ISERC\img20240425_1214543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0" cy="7365872"/>
                    </a:xfrm>
                    <a:prstGeom prst="rect">
                      <a:avLst/>
                    </a:prstGeom>
                    <a:noFill/>
                    <a:ln>
                      <a:noFill/>
                    </a:ln>
                  </pic:spPr>
                </pic:pic>
              </a:graphicData>
            </a:graphic>
          </wp:inline>
        </w:drawing>
      </w:r>
    </w:p>
    <w:p w14:paraId="497389B9">
      <w:pPr>
        <w:rPr>
          <w:rFonts w:asciiTheme="majorBidi" w:hAnsiTheme="majorBidi" w:cstheme="majorBidi"/>
          <w:sz w:val="24"/>
          <w:szCs w:val="24"/>
        </w:rPr>
      </w:pPr>
    </w:p>
    <w:p w14:paraId="70775845">
      <w:pPr>
        <w:rPr>
          <w:rFonts w:asciiTheme="majorBidi" w:hAnsiTheme="majorBidi" w:cstheme="majorBidi"/>
          <w:sz w:val="24"/>
          <w:szCs w:val="24"/>
        </w:rPr>
      </w:pPr>
    </w:p>
    <w:p w14:paraId="2D8235A5">
      <w:pPr>
        <w:pStyle w:val="2"/>
        <w:spacing w:before="0" w:line="480" w:lineRule="auto"/>
        <w:jc w:val="both"/>
        <w:rPr>
          <w:rFonts w:asciiTheme="majorBidi" w:hAnsiTheme="majorBidi"/>
          <w:color w:val="auto"/>
          <w:sz w:val="24"/>
          <w:szCs w:val="24"/>
        </w:rPr>
      </w:pPr>
      <w:bookmarkStart w:id="306" w:name="_Toc104797402"/>
      <w:bookmarkStart w:id="307" w:name="_Toc194822710"/>
      <w:r>
        <w:rPr>
          <w:rFonts w:asciiTheme="majorBidi" w:hAnsiTheme="majorBidi"/>
          <w:color w:val="auto"/>
          <w:sz w:val="24"/>
          <w:szCs w:val="24"/>
        </w:rPr>
        <w:t>APPENDIX X: INTRODUCTION LETTER</w:t>
      </w:r>
      <w:bookmarkEnd w:id="306"/>
      <w:r>
        <w:rPr>
          <w:rFonts w:asciiTheme="majorBidi" w:hAnsiTheme="majorBidi"/>
          <w:color w:val="auto"/>
          <w:sz w:val="24"/>
          <w:szCs w:val="24"/>
        </w:rPr>
        <w:t xml:space="preserve"> TO NACOSTI</w:t>
      </w:r>
      <w:bookmarkEnd w:id="307"/>
    </w:p>
    <w:p w14:paraId="7750C80A">
      <w:pPr>
        <w:tabs>
          <w:tab w:val="left" w:pos="5310"/>
        </w:tabs>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rPr>
        <w:drawing>
          <wp:inline distT="0" distB="0" distL="0" distR="0">
            <wp:extent cx="657225" cy="6642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68267" cy="675376"/>
                    </a:xfrm>
                    <a:prstGeom prst="rect">
                      <a:avLst/>
                    </a:prstGeom>
                    <a:noFill/>
                    <a:ln>
                      <a:noFill/>
                    </a:ln>
                  </pic:spPr>
                </pic:pic>
              </a:graphicData>
            </a:graphic>
          </wp:inline>
        </w:drawing>
      </w:r>
    </w:p>
    <w:p w14:paraId="71172450">
      <w:pPr>
        <w:spacing w:after="0"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GARISSA UNIVERSITY</w:t>
      </w:r>
    </w:p>
    <w:p w14:paraId="1FD8F47F">
      <w:pPr>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OFFICE OF THE DIRECTOR RESEARCH, POSTGRADAUTE LINKAGES AND COMMUNITY OUTREACH</w:t>
      </w:r>
    </w:p>
    <w:p w14:paraId="6128611C">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Telephone: +254722439343</w:t>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College Road (Bula College)</w:t>
      </w:r>
    </w:p>
    <w:p w14:paraId="6522591E">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Facsmile: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Off Garissa-Daadab Road</w:t>
      </w:r>
    </w:p>
    <w:p w14:paraId="71C1CDF4">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Website: </w:t>
      </w:r>
      <w:r>
        <w:fldChar w:fldCharType="begin"/>
      </w:r>
      <w:r>
        <w:instrText xml:space="preserve"> HYPERLINK "http://www.gau.ac.ke" </w:instrText>
      </w:r>
      <w:r>
        <w:fldChar w:fldCharType="separate"/>
      </w:r>
      <w:r>
        <w:rPr>
          <w:rFonts w:eastAsia="Calibri" w:asciiTheme="majorBidi" w:hAnsiTheme="majorBidi" w:cstheme="majorBidi"/>
          <w:color w:val="0000FF"/>
          <w:sz w:val="24"/>
          <w:szCs w:val="24"/>
          <w:lang w:val="en-GB"/>
        </w:rPr>
        <w:t>www.gau.ac.ke</w:t>
      </w:r>
      <w:r>
        <w:rPr>
          <w:rFonts w:eastAsia="Calibri" w:asciiTheme="majorBidi" w:hAnsiTheme="majorBidi" w:cstheme="majorBidi"/>
          <w:color w:val="0000FF"/>
          <w:sz w:val="24"/>
          <w:szCs w:val="24"/>
          <w:lang w:val="en-GB"/>
        </w:rPr>
        <w:fldChar w:fldCharType="end"/>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P.O. Box 1801-70100</w:t>
      </w:r>
    </w:p>
    <w:p w14:paraId="330705B9">
      <w:pPr>
        <w:spacing w:after="0" w:line="240" w:lineRule="auto"/>
        <w:rPr>
          <w:rFonts w:eastAsia="Calibri" w:asciiTheme="majorBidi" w:hAnsiTheme="majorBidi" w:cstheme="majorBidi"/>
          <w:sz w:val="24"/>
          <w:szCs w:val="24"/>
          <w:lang w:val="en-GB"/>
        </w:rPr>
      </w:pP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Garissa, Kenya</w:t>
      </w:r>
    </w:p>
    <w:p w14:paraId="2F735C41">
      <w:pPr>
        <w:tabs>
          <w:tab w:val="center" w:pos="4680"/>
          <w:tab w:val="right" w:pos="9360"/>
        </w:tabs>
        <w:spacing w:after="0" w:line="20" w:lineRule="atLeast"/>
        <w:rPr>
          <w:rFonts w:eastAsia="Calibri" w:asciiTheme="majorBidi" w:hAnsiTheme="majorBidi" w:cstheme="majorBidi"/>
          <w:sz w:val="24"/>
          <w:szCs w:val="24"/>
        </w:rPr>
      </w:pPr>
      <w:r>
        <w:rPr>
          <w:rFonts w:eastAsia="Calibri" w:asciiTheme="majorBidi" w:hAnsiTheme="majorBidi" w:cstheme="majorBidi"/>
          <w:b/>
          <w:sz w:val="24"/>
          <w:szCs w:val="24"/>
        </w:rPr>
        <w:t>When replying please quote</w:t>
      </w:r>
      <w:r>
        <w:rPr>
          <w:rFonts w:eastAsia="Calibri" w:asciiTheme="majorBidi" w:hAnsiTheme="majorBidi" w:cstheme="majorBidi"/>
          <w:b/>
          <w:color w:val="0000FF"/>
          <w:sz w:val="24"/>
          <w:szCs w:val="24"/>
        </w:rPr>
        <w:tab/>
      </w:r>
    </w:p>
    <w:p w14:paraId="77A6FF7A">
      <w:pPr>
        <w:tabs>
          <w:tab w:val="left" w:pos="5760"/>
        </w:tabs>
        <w:jc w:val="both"/>
        <w:rPr>
          <w:rFonts w:eastAsia="Calibri" w:asciiTheme="majorBidi" w:hAnsiTheme="majorBidi" w:cstheme="majorBidi"/>
          <w:sz w:val="24"/>
          <w:szCs w:val="24"/>
          <w:lang w:val="en-GB"/>
        </w:rPr>
      </w:pPr>
      <w:r>
        <w:rPr>
          <w:rFonts w:eastAsia="Calibri" w:asciiTheme="majorBidi" w:hAnsiTheme="majorBidi" w:cstheme="majorBidi"/>
          <w:b/>
          <w:sz w:val="24"/>
          <w:szCs w:val="24"/>
          <w:lang w:val="en-GB"/>
        </w:rPr>
        <w:t>REF:</w:t>
      </w:r>
      <w:r>
        <w:rPr>
          <w:rFonts w:eastAsia="Calibri" w:asciiTheme="majorBidi" w:hAnsiTheme="majorBidi" w:cstheme="majorBidi"/>
          <w:sz w:val="24"/>
          <w:szCs w:val="24"/>
          <w:lang w:val="en-GB"/>
        </w:rPr>
        <w:t xml:space="preserve"> </w:t>
      </w:r>
      <w:r>
        <w:rPr>
          <w:rFonts w:eastAsia="Times New Roman" w:asciiTheme="majorBidi" w:hAnsiTheme="majorBidi" w:cstheme="majorBidi"/>
          <w:sz w:val="24"/>
          <w:szCs w:val="24"/>
        </w:rPr>
        <w:t>GaU/REPLICO/NCT/15/24</w:t>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13</w:t>
      </w:r>
      <w:r>
        <w:rPr>
          <w:rFonts w:eastAsia="Calibri" w:asciiTheme="majorBidi" w:hAnsiTheme="majorBidi" w:cstheme="majorBidi"/>
          <w:b/>
          <w:sz w:val="24"/>
          <w:szCs w:val="24"/>
          <w:vertAlign w:val="superscript"/>
          <w:lang w:val="en-GB"/>
        </w:rPr>
        <w:t>th</w:t>
      </w:r>
      <w:r>
        <w:rPr>
          <w:rFonts w:eastAsia="Calibri" w:asciiTheme="majorBidi" w:hAnsiTheme="majorBidi" w:cstheme="majorBidi"/>
          <w:b/>
          <w:sz w:val="24"/>
          <w:szCs w:val="24"/>
          <w:lang w:val="en-GB"/>
        </w:rPr>
        <w:t xml:space="preserve"> March 2024</w:t>
      </w:r>
    </w:p>
    <w:p w14:paraId="5CA3F1AA">
      <w:pPr>
        <w:spacing w:after="0" w:line="240" w:lineRule="auto"/>
        <w:jc w:val="both"/>
        <w:rPr>
          <w:rFonts w:asciiTheme="majorBidi" w:hAnsiTheme="majorBidi" w:cstheme="majorBidi"/>
          <w:sz w:val="24"/>
          <w:szCs w:val="24"/>
        </w:rPr>
      </w:pPr>
      <w:r>
        <w:rPr>
          <w:rFonts w:asciiTheme="majorBidi" w:hAnsiTheme="majorBidi" w:cstheme="majorBidi"/>
          <w:sz w:val="24"/>
          <w:szCs w:val="24"/>
        </w:rPr>
        <w:t>National Commission for Science Technology and Innovation (NACOSTI)</w:t>
      </w:r>
    </w:p>
    <w:p w14:paraId="187AFAD3">
      <w:pPr>
        <w:spacing w:after="0" w:line="240" w:lineRule="auto"/>
        <w:jc w:val="both"/>
        <w:rPr>
          <w:rFonts w:asciiTheme="majorBidi" w:hAnsiTheme="majorBidi" w:cstheme="majorBidi"/>
          <w:sz w:val="24"/>
          <w:szCs w:val="24"/>
        </w:rPr>
      </w:pPr>
      <w:r>
        <w:rPr>
          <w:rFonts w:asciiTheme="majorBidi" w:hAnsiTheme="majorBidi" w:cstheme="majorBidi"/>
          <w:sz w:val="24"/>
          <w:szCs w:val="24"/>
        </w:rPr>
        <w:t>off Waiyaki Way, Upper Kabete,</w:t>
      </w:r>
    </w:p>
    <w:p w14:paraId="40F531FD">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P. O. Box 30623, 00100 </w:t>
      </w:r>
    </w:p>
    <w:p w14:paraId="198B9FBD">
      <w:pPr>
        <w:spacing w:after="0" w:line="240" w:lineRule="auto"/>
        <w:jc w:val="both"/>
        <w:rPr>
          <w:rFonts w:asciiTheme="majorBidi" w:hAnsiTheme="majorBidi" w:cstheme="majorBidi"/>
          <w:sz w:val="24"/>
          <w:szCs w:val="24"/>
        </w:rPr>
      </w:pPr>
      <w:r>
        <w:rPr>
          <w:rFonts w:asciiTheme="majorBidi" w:hAnsiTheme="majorBidi" w:cstheme="majorBidi"/>
          <w:b/>
          <w:sz w:val="24"/>
          <w:szCs w:val="24"/>
        </w:rPr>
        <w:t>NAIROBI</w:t>
      </w:r>
    </w:p>
    <w:p w14:paraId="1C7BCD8F">
      <w:pPr>
        <w:spacing w:after="0"/>
        <w:rPr>
          <w:rFonts w:eastAsia="Calibri" w:asciiTheme="majorBidi" w:hAnsiTheme="majorBidi" w:cstheme="majorBidi"/>
          <w:b/>
          <w:sz w:val="24"/>
          <w:szCs w:val="24"/>
          <w:lang w:val="en-GB"/>
        </w:rPr>
      </w:pPr>
    </w:p>
    <w:p w14:paraId="5489ADC1">
      <w:pPr>
        <w:rPr>
          <w:rFonts w:asciiTheme="majorBidi" w:hAnsiTheme="majorBidi" w:cstheme="majorBidi"/>
          <w:b/>
          <w:sz w:val="24"/>
          <w:szCs w:val="24"/>
        </w:rPr>
      </w:pPr>
      <w:r>
        <w:rPr>
          <w:rFonts w:asciiTheme="majorBidi" w:hAnsiTheme="majorBidi" w:cstheme="majorBidi"/>
          <w:b/>
          <w:sz w:val="24"/>
          <w:szCs w:val="24"/>
        </w:rPr>
        <w:t>TO WHOEVER IT MAY CONCERN</w:t>
      </w:r>
    </w:p>
    <w:p w14:paraId="40DBB7E7">
      <w:pPr>
        <w:pStyle w:val="39"/>
        <w:spacing w:line="360" w:lineRule="auto"/>
        <w:ind w:right="-270"/>
        <w:contextualSpacing/>
        <w:rPr>
          <w:rFonts w:asciiTheme="majorBidi" w:hAnsiTheme="majorBidi" w:cstheme="majorBidi"/>
          <w:b/>
          <w:sz w:val="24"/>
          <w:szCs w:val="24"/>
          <w:u w:val="single"/>
        </w:rPr>
      </w:pPr>
      <w:r>
        <w:rPr>
          <w:rFonts w:asciiTheme="majorBidi" w:hAnsiTheme="majorBidi" w:cstheme="majorBidi"/>
          <w:b/>
          <w:sz w:val="24"/>
          <w:szCs w:val="24"/>
          <w:u w:val="single"/>
        </w:rPr>
        <w:t>RE: PERMISSION TO COLLECT DATA:  MR ABDIRAHMAN ISMAIL ABDI  (D.PHIL.A/1003/17)</w:t>
      </w:r>
    </w:p>
    <w:p w14:paraId="482AFD3F">
      <w:pPr>
        <w:spacing w:after="0" w:line="360" w:lineRule="auto"/>
        <w:contextualSpacing/>
        <w:jc w:val="both"/>
        <w:rPr>
          <w:rFonts w:asciiTheme="majorBidi" w:hAnsiTheme="majorBidi" w:cstheme="majorBidi"/>
          <w:sz w:val="24"/>
          <w:szCs w:val="24"/>
        </w:rPr>
      </w:pPr>
      <w:r>
        <w:rPr>
          <w:rFonts w:asciiTheme="majorBidi" w:hAnsiTheme="majorBidi" w:cstheme="majorBidi"/>
          <w:sz w:val="24"/>
          <w:szCs w:val="24"/>
        </w:rPr>
        <w:t xml:space="preserve">The above named is a postgraduate student taking a degree leading to Doctor of Philosophy in Education Management at Garissa University. He is currently preparing to collect data under a proposal titled </w:t>
      </w:r>
      <w:r>
        <w:rPr>
          <w:rFonts w:asciiTheme="majorBidi" w:hAnsiTheme="majorBidi" w:cstheme="majorBidi"/>
          <w:b/>
          <w:sz w:val="24"/>
          <w:szCs w:val="24"/>
        </w:rPr>
        <w:t xml:space="preserve">"Determinants of academic integrity and examination malpractices in secondary schools in Garissa Township Sub County Kenya." </w:t>
      </w:r>
      <w:r>
        <w:rPr>
          <w:rFonts w:asciiTheme="majorBidi" w:hAnsiTheme="majorBidi" w:cstheme="majorBidi"/>
          <w:sz w:val="24"/>
          <w:szCs w:val="24"/>
        </w:rPr>
        <w:t xml:space="preserve">The University will appreciate if he can be granted research permit from your office to enable him carry out the research. In case of any clarification, please don’t hesitate to call the undersigned. </w:t>
      </w:r>
    </w:p>
    <w:p w14:paraId="34423C0B">
      <w:pPr>
        <w:spacing w:after="0"/>
        <w:jc w:val="both"/>
        <w:rPr>
          <w:rFonts w:asciiTheme="majorBidi" w:hAnsiTheme="majorBidi" w:cstheme="majorBidi"/>
          <w:sz w:val="24"/>
          <w:szCs w:val="24"/>
        </w:rPr>
      </w:pPr>
      <w:r>
        <w:rPr>
          <w:rFonts w:asciiTheme="majorBidi" w:hAnsiTheme="majorBidi" w:cstheme="majorBidi"/>
          <w:sz w:val="24"/>
          <w:szCs w:val="24"/>
        </w:rPr>
        <w:t>Yours Sincerely,</w:t>
      </w:r>
    </w:p>
    <w:p w14:paraId="6C0649E2">
      <w:pPr>
        <w:spacing w:after="0"/>
        <w:jc w:val="both"/>
        <w:rPr>
          <w:rFonts w:asciiTheme="majorBidi" w:hAnsiTheme="majorBidi" w:cstheme="majorBidi"/>
          <w:sz w:val="24"/>
          <w:szCs w:val="24"/>
        </w:rPr>
      </w:pPr>
      <w:r>
        <w:rPr>
          <w:rFonts w:asciiTheme="majorBidi" w:hAnsiTheme="majorBidi" w:cstheme="majorBidi"/>
          <w:sz w:val="24"/>
          <w:szCs w:val="24"/>
        </w:rPr>
        <w:drawing>
          <wp:inline distT="0" distB="0" distL="0" distR="0">
            <wp:extent cx="1238250" cy="4076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244263" cy="410102"/>
                    </a:xfrm>
                    <a:prstGeom prst="rect">
                      <a:avLst/>
                    </a:prstGeom>
                    <a:solidFill>
                      <a:schemeClr val="accent1"/>
                    </a:solidFill>
                    <a:ln>
                      <a:noFill/>
                    </a:ln>
                  </pic:spPr>
                </pic:pic>
              </a:graphicData>
            </a:graphic>
          </wp:inline>
        </w:drawing>
      </w:r>
    </w:p>
    <w:p w14:paraId="484D65C7">
      <w:pPr>
        <w:spacing w:after="0"/>
        <w:jc w:val="both"/>
        <w:rPr>
          <w:rFonts w:asciiTheme="majorBidi" w:hAnsiTheme="majorBidi" w:cstheme="majorBidi"/>
          <w:sz w:val="24"/>
          <w:szCs w:val="24"/>
        </w:rPr>
      </w:pPr>
      <w:r>
        <w:rPr>
          <w:rFonts w:asciiTheme="majorBidi" w:hAnsiTheme="majorBidi" w:cstheme="majorBidi"/>
          <w:sz w:val="24"/>
          <w:szCs w:val="24"/>
        </w:rPr>
        <w:t>Dr. David Karienye</w:t>
      </w:r>
    </w:p>
    <w:p w14:paraId="5C4654BD">
      <w:pPr>
        <w:jc w:val="both"/>
        <w:rPr>
          <w:rFonts w:asciiTheme="majorBidi" w:hAnsiTheme="majorBidi" w:cstheme="majorBidi"/>
          <w:b/>
          <w:sz w:val="24"/>
          <w:szCs w:val="24"/>
        </w:rPr>
      </w:pPr>
      <w:r>
        <w:rPr>
          <w:rFonts w:asciiTheme="majorBidi" w:hAnsiTheme="majorBidi" w:cstheme="majorBidi"/>
          <w:b/>
          <w:sz w:val="24"/>
          <w:szCs w:val="24"/>
        </w:rPr>
        <w:t>DIRECTOR REPLICO</w:t>
      </w:r>
    </w:p>
    <w:p w14:paraId="236572D1">
      <w:pPr>
        <w:pStyle w:val="2"/>
        <w:spacing w:before="0" w:line="480" w:lineRule="auto"/>
        <w:jc w:val="both"/>
        <w:rPr>
          <w:rFonts w:eastAsia="Times New Roman" w:asciiTheme="majorBidi" w:hAnsiTheme="majorBidi"/>
          <w:b w:val="0"/>
          <w:sz w:val="24"/>
          <w:szCs w:val="24"/>
        </w:rPr>
      </w:pPr>
      <w:bookmarkStart w:id="308" w:name="_Toc104797403"/>
      <w:bookmarkStart w:id="309" w:name="_Toc194822711"/>
      <w:r>
        <w:rPr>
          <w:rFonts w:asciiTheme="majorBidi" w:hAnsiTheme="majorBidi"/>
          <w:color w:val="auto"/>
          <w:sz w:val="24"/>
          <w:szCs w:val="24"/>
        </w:rPr>
        <w:t xml:space="preserve">APPENDIX XI: NACOSTI </w:t>
      </w:r>
      <w:bookmarkEnd w:id="308"/>
      <w:r>
        <w:rPr>
          <w:rFonts w:asciiTheme="majorBidi" w:hAnsiTheme="majorBidi"/>
          <w:color w:val="auto"/>
          <w:sz w:val="24"/>
          <w:szCs w:val="24"/>
        </w:rPr>
        <w:t>RESEARCH PERMIT</w:t>
      </w:r>
      <w:bookmarkEnd w:id="309"/>
      <w:r>
        <w:rPr>
          <w:rFonts w:asciiTheme="majorBidi" w:hAnsiTheme="majorBidi"/>
          <w:color w:val="auto"/>
          <w:sz w:val="24"/>
          <w:szCs w:val="24"/>
        </w:rPr>
        <w:t xml:space="preserve"> </w:t>
      </w:r>
    </w:p>
    <w:p w14:paraId="05F2868F">
      <w:pPr>
        <w:spacing w:after="0" w:line="265" w:lineRule="auto"/>
        <w:ind w:right="90"/>
        <w:rPr>
          <w:rFonts w:eastAsia="Times New Roman" w:asciiTheme="majorBidi" w:hAnsiTheme="majorBidi" w:cstheme="majorBidi"/>
          <w:b/>
          <w:sz w:val="24"/>
          <w:szCs w:val="24"/>
        </w:rPr>
      </w:pPr>
    </w:p>
    <w:p w14:paraId="4420CC21">
      <w:pPr>
        <w:spacing w:after="0" w:line="265" w:lineRule="auto"/>
        <w:ind w:right="90"/>
        <w:rPr>
          <w:rFonts w:eastAsia="Times New Roman" w:asciiTheme="majorBidi" w:hAnsiTheme="majorBidi" w:cstheme="majorBidi"/>
          <w:b/>
          <w:sz w:val="24"/>
          <w:szCs w:val="24"/>
        </w:rPr>
      </w:pPr>
      <w:r>
        <w:rPr>
          <w:rFonts w:eastAsia="Times New Roman" w:asciiTheme="majorBidi" w:hAnsiTheme="majorBidi" w:cstheme="majorBidi"/>
          <w:b/>
          <w:sz w:val="24"/>
          <w:szCs w:val="24"/>
        </w:rPr>
        <w:drawing>
          <wp:inline distT="0" distB="0" distL="0" distR="0">
            <wp:extent cx="5486400" cy="7226300"/>
            <wp:effectExtent l="0" t="0" r="0" b="0"/>
            <wp:docPr id="23" name="Picture 23" descr="C:\Users\admin\Desktop\GARISSA UNIVERSITY 2\Final PhD 2024\NACOSTI\nacos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dmin\Desktop\GARISSA UNIVERSITY 2\Final PhD 2024\NACOSTI\nacosti.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86400" cy="7226546"/>
                    </a:xfrm>
                    <a:prstGeom prst="rect">
                      <a:avLst/>
                    </a:prstGeom>
                    <a:noFill/>
                    <a:ln>
                      <a:noFill/>
                    </a:ln>
                  </pic:spPr>
                </pic:pic>
              </a:graphicData>
            </a:graphic>
          </wp:inline>
        </w:drawing>
      </w:r>
    </w:p>
    <w:p w14:paraId="3943DFF6">
      <w:pPr>
        <w:pStyle w:val="2"/>
        <w:rPr>
          <w:rFonts w:asciiTheme="majorBidi" w:hAnsiTheme="majorBidi"/>
          <w:color w:val="auto"/>
          <w:sz w:val="24"/>
          <w:szCs w:val="24"/>
        </w:rPr>
      </w:pPr>
      <w:bookmarkStart w:id="310" w:name="_Toc194822712"/>
      <w:r>
        <w:rPr>
          <w:rFonts w:asciiTheme="majorBidi" w:hAnsiTheme="majorBidi"/>
          <w:color w:val="auto"/>
          <w:sz w:val="24"/>
          <w:szCs w:val="24"/>
        </w:rPr>
        <w:t>APPENDIX XII: CDE RESEARCH AUTHRIZATION</w:t>
      </w:r>
      <w:bookmarkEnd w:id="310"/>
      <w:r>
        <w:rPr>
          <w:rFonts w:asciiTheme="majorBidi" w:hAnsiTheme="majorBidi"/>
          <w:color w:val="auto"/>
          <w:sz w:val="24"/>
          <w:szCs w:val="24"/>
        </w:rPr>
        <w:t xml:space="preserve"> </w:t>
      </w:r>
    </w:p>
    <w:p w14:paraId="7BF3AF43">
      <w:pPr>
        <w:spacing w:after="0" w:line="265" w:lineRule="auto"/>
        <w:ind w:right="90"/>
        <w:rPr>
          <w:rFonts w:eastAsia="Times New Roman" w:asciiTheme="majorBidi" w:hAnsiTheme="majorBidi" w:cstheme="majorBidi"/>
          <w:b/>
          <w:sz w:val="24"/>
          <w:szCs w:val="24"/>
        </w:rPr>
      </w:pPr>
      <w:r>
        <w:rPr>
          <w:rFonts w:eastAsia="Times New Roman" w:asciiTheme="majorBidi" w:hAnsiTheme="majorBidi" w:cstheme="majorBidi"/>
          <w:b/>
          <w:sz w:val="24"/>
          <w:szCs w:val="24"/>
        </w:rPr>
        <w:drawing>
          <wp:inline distT="0" distB="0" distL="0" distR="0">
            <wp:extent cx="5895975" cy="7103745"/>
            <wp:effectExtent l="0" t="0" r="952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5895975" cy="7103745"/>
                    </a:xfrm>
                    <a:prstGeom prst="rect">
                      <a:avLst/>
                    </a:prstGeom>
                  </pic:spPr>
                </pic:pic>
              </a:graphicData>
            </a:graphic>
          </wp:inline>
        </w:drawing>
      </w:r>
    </w:p>
    <w:sectPr>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ucida Sans Unicode">
    <w:panose1 w:val="020B0602030504020204"/>
    <w:charset w:val="00"/>
    <w:family w:val="swiss"/>
    <w:pitch w:val="default"/>
    <w:sig w:usb0="80001AFF" w:usb1="0000396B" w:usb2="00000000" w:usb3="00000000" w:csb0="200000BF" w:csb1="D7F7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3046832"/>
      <w:docPartObj>
        <w:docPartGallery w:val="AutoText"/>
      </w:docPartObj>
    </w:sdtPr>
    <w:sdtEndPr>
      <w:rPr>
        <w:rFonts w:ascii="Times New Roman" w:hAnsi="Times New Roman" w:cs="Times New Roman"/>
        <w:sz w:val="24"/>
        <w:szCs w:val="24"/>
      </w:rPr>
    </w:sdtEndPr>
    <w:sdtContent>
      <w:p w14:paraId="3E15E63E">
        <w:pPr>
          <w:pStyle w:val="12"/>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643FE"/>
    <w:multiLevelType w:val="multilevel"/>
    <w:tmpl w:val="065643FE"/>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
    <w:nsid w:val="112E56D7"/>
    <w:multiLevelType w:val="multilevel"/>
    <w:tmpl w:val="112E56D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4FA648C"/>
    <w:multiLevelType w:val="multilevel"/>
    <w:tmpl w:val="14FA648C"/>
    <w:lvl w:ilvl="0" w:tentative="0">
      <w:start w:val="1"/>
      <w:numFmt w:val="bullet"/>
      <w:lvlText w:val=""/>
      <w:lvlJc w:val="left"/>
      <w:pPr>
        <w:ind w:left="900" w:hanging="360"/>
      </w:pPr>
      <w:rPr>
        <w:rFonts w:hint="default" w:ascii="Symbol" w:hAnsi="Symbo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3">
    <w:nsid w:val="18C579C6"/>
    <w:multiLevelType w:val="multilevel"/>
    <w:tmpl w:val="18C579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9DD69CB"/>
    <w:multiLevelType w:val="multilevel"/>
    <w:tmpl w:val="19DD69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C0241DD"/>
    <w:multiLevelType w:val="multilevel"/>
    <w:tmpl w:val="1C0241DD"/>
    <w:lvl w:ilvl="0" w:tentative="0">
      <w:start w:val="1"/>
      <w:numFmt w:val="decimal"/>
      <w:lvlText w:val="%1)"/>
      <w:lvlJc w:val="left"/>
      <w:pPr>
        <w:ind w:left="720" w:hanging="360"/>
      </w:pPr>
    </w:lvl>
    <w:lvl w:ilvl="1" w:tentative="0">
      <w:start w:val="1"/>
      <w:numFmt w:val="decimal"/>
      <w:lvlText w:val="%2."/>
      <w:lvlJc w:val="left"/>
      <w:pPr>
        <w:ind w:left="1440" w:hanging="360"/>
      </w:pPr>
      <w:rPr>
        <w:rFonts w:eastAsia="Times New Roman" w:asciiTheme="majorBidi" w:hAnsiTheme="majorBidi" w:cstheme="majorBidi"/>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EC92DA0"/>
    <w:multiLevelType w:val="multilevel"/>
    <w:tmpl w:val="1EC92DA0"/>
    <w:lvl w:ilvl="0" w:tentative="0">
      <w:start w:val="1"/>
      <w:numFmt w:val="decimal"/>
      <w:lvlText w:val="%1."/>
      <w:lvlJc w:val="left"/>
      <w:pPr>
        <w:tabs>
          <w:tab w:val="left" w:pos="720"/>
        </w:tabs>
        <w:ind w:left="720" w:hanging="360"/>
      </w:pPr>
      <w:rPr>
        <w:b w:val="0"/>
        <w:bCs w:val="0"/>
      </w:rPr>
    </w:lvl>
    <w:lvl w:ilvl="1" w:tentative="0">
      <w:start w:val="1"/>
      <w:numFmt w:val="lowerLetter"/>
      <w:lvlText w:val="%2)"/>
      <w:lvlJc w:val="left"/>
      <w:pPr>
        <w:ind w:left="1440" w:hanging="360"/>
      </w:pPr>
      <w:rPr>
        <w:rFonts w:hint="default"/>
      </w:rPr>
    </w:lvl>
    <w:lvl w:ilvl="2" w:tentative="0">
      <w:start w:val="6"/>
      <w:numFmt w:val="decimal"/>
      <w:lvlText w:val="%3"/>
      <w:lvlJc w:val="left"/>
      <w:pPr>
        <w:ind w:left="2160" w:hanging="360"/>
      </w:pPr>
      <w:rPr>
        <w:rFonts w:hint="default"/>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F4438D7"/>
    <w:multiLevelType w:val="multilevel"/>
    <w:tmpl w:val="1F4438D7"/>
    <w:lvl w:ilvl="0" w:tentative="0">
      <w:start w:val="1"/>
      <w:numFmt w:val="decimal"/>
      <w:lvlText w:val="%1."/>
      <w:lvlJc w:val="left"/>
      <w:pPr>
        <w:ind w:left="720" w:hanging="360"/>
      </w:pPr>
      <w:rPr>
        <w:rFonts w:ascii="Times New Roman" w:hAnsi="Times New Roman" w:cs="Times New Roman" w:eastAsiaTheme="minorHAns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0616824"/>
    <w:multiLevelType w:val="multilevel"/>
    <w:tmpl w:val="20616824"/>
    <w:lvl w:ilvl="0" w:tentative="0">
      <w:start w:val="1"/>
      <w:numFmt w:val="decimal"/>
      <w:lvlText w:val="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A873257"/>
    <w:multiLevelType w:val="multilevel"/>
    <w:tmpl w:val="2A8732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C2E1344"/>
    <w:multiLevelType w:val="multilevel"/>
    <w:tmpl w:val="2C2E1344"/>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2971AE5"/>
    <w:multiLevelType w:val="multilevel"/>
    <w:tmpl w:val="32971AE5"/>
    <w:lvl w:ilvl="0" w:tentative="0">
      <w:start w:val="4"/>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3330694B"/>
    <w:multiLevelType w:val="multilevel"/>
    <w:tmpl w:val="3330694B"/>
    <w:lvl w:ilvl="0" w:tentative="0">
      <w:start w:val="1"/>
      <w:numFmt w:val="lowerRoman"/>
      <w:lvlText w:val="%1)"/>
      <w:lvlJc w:val="righ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3">
    <w:nsid w:val="33824426"/>
    <w:multiLevelType w:val="multilevel"/>
    <w:tmpl w:val="33824426"/>
    <w:lvl w:ilvl="0" w:tentative="0">
      <w:start w:val="1"/>
      <w:numFmt w:val="decimal"/>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A0D36D2"/>
    <w:multiLevelType w:val="multilevel"/>
    <w:tmpl w:val="3A0D36D2"/>
    <w:lvl w:ilvl="0" w:tentative="0">
      <w:start w:val="4"/>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5">
    <w:nsid w:val="42405F17"/>
    <w:multiLevelType w:val="multilevel"/>
    <w:tmpl w:val="42405F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28D6105"/>
    <w:multiLevelType w:val="multilevel"/>
    <w:tmpl w:val="428D6105"/>
    <w:lvl w:ilvl="0" w:tentative="0">
      <w:start w:val="1"/>
      <w:numFmt w:val="lowerRoman"/>
      <w:lvlText w:val="%1)"/>
      <w:lvlJc w:val="left"/>
      <w:pPr>
        <w:ind w:left="1080" w:hanging="720"/>
      </w:pPr>
      <w:rPr>
        <w:rFonts w:hint="default" w:eastAsia="Times New Roman"/>
        <w:b w:val="0"/>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B024D8F"/>
    <w:multiLevelType w:val="multilevel"/>
    <w:tmpl w:val="4B024D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4D9C13D1"/>
    <w:multiLevelType w:val="multilevel"/>
    <w:tmpl w:val="4D9C13D1"/>
    <w:lvl w:ilvl="0" w:tentative="0">
      <w:start w:val="1"/>
      <w:numFmt w:val="decimal"/>
      <w:lvlText w:val="%1."/>
      <w:lvlJc w:val="left"/>
      <w:pPr>
        <w:ind w:left="540" w:hanging="360"/>
      </w:pPr>
      <w:rPr>
        <w:rFonts w:hint="default"/>
      </w:rPr>
    </w:lvl>
    <w:lvl w:ilvl="1" w:tentative="0">
      <w:start w:val="1"/>
      <w:numFmt w:val="lowerLetter"/>
      <w:lvlText w:val="%2."/>
      <w:lvlJc w:val="left"/>
      <w:pPr>
        <w:ind w:left="1260" w:hanging="360"/>
      </w:pPr>
    </w:lvl>
    <w:lvl w:ilvl="2" w:tentative="0">
      <w:start w:val="1"/>
      <w:numFmt w:val="lowerRoman"/>
      <w:lvlText w:val="%3."/>
      <w:lvlJc w:val="right"/>
      <w:pPr>
        <w:ind w:left="1980" w:hanging="180"/>
      </w:pPr>
    </w:lvl>
    <w:lvl w:ilvl="3" w:tentative="0">
      <w:start w:val="1"/>
      <w:numFmt w:val="decimal"/>
      <w:lvlText w:val="%4."/>
      <w:lvlJc w:val="left"/>
      <w:pPr>
        <w:ind w:left="2700" w:hanging="360"/>
      </w:pPr>
    </w:lvl>
    <w:lvl w:ilvl="4" w:tentative="0">
      <w:start w:val="1"/>
      <w:numFmt w:val="lowerLetter"/>
      <w:lvlText w:val="%5."/>
      <w:lvlJc w:val="left"/>
      <w:pPr>
        <w:ind w:left="3420" w:hanging="360"/>
      </w:pPr>
    </w:lvl>
    <w:lvl w:ilvl="5" w:tentative="0">
      <w:start w:val="1"/>
      <w:numFmt w:val="lowerRoman"/>
      <w:lvlText w:val="%6."/>
      <w:lvlJc w:val="right"/>
      <w:pPr>
        <w:ind w:left="4140" w:hanging="180"/>
      </w:pPr>
    </w:lvl>
    <w:lvl w:ilvl="6" w:tentative="0">
      <w:start w:val="1"/>
      <w:numFmt w:val="decimal"/>
      <w:lvlText w:val="%7."/>
      <w:lvlJc w:val="left"/>
      <w:pPr>
        <w:ind w:left="4860" w:hanging="360"/>
      </w:pPr>
    </w:lvl>
    <w:lvl w:ilvl="7" w:tentative="0">
      <w:start w:val="1"/>
      <w:numFmt w:val="lowerLetter"/>
      <w:lvlText w:val="%8."/>
      <w:lvlJc w:val="left"/>
      <w:pPr>
        <w:ind w:left="5580" w:hanging="360"/>
      </w:pPr>
    </w:lvl>
    <w:lvl w:ilvl="8" w:tentative="0">
      <w:start w:val="1"/>
      <w:numFmt w:val="lowerRoman"/>
      <w:lvlText w:val="%9."/>
      <w:lvlJc w:val="right"/>
      <w:pPr>
        <w:ind w:left="6300" w:hanging="180"/>
      </w:pPr>
    </w:lvl>
  </w:abstractNum>
  <w:abstractNum w:abstractNumId="19">
    <w:nsid w:val="50D71541"/>
    <w:multiLevelType w:val="multilevel"/>
    <w:tmpl w:val="50D71541"/>
    <w:lvl w:ilvl="0" w:tentative="0">
      <w:start w:val="1"/>
      <w:numFmt w:val="decimal"/>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7B2040D"/>
    <w:multiLevelType w:val="multilevel"/>
    <w:tmpl w:val="57B2040D"/>
    <w:lvl w:ilvl="0" w:tentative="0">
      <w:start w:val="2"/>
      <w:numFmt w:val="decimal"/>
      <w:lvlText w:val="%1"/>
      <w:lvlJc w:val="left"/>
      <w:pPr>
        <w:ind w:left="360" w:hanging="360"/>
      </w:pPr>
      <w:rPr>
        <w:rFonts w:hint="default"/>
      </w:rPr>
    </w:lvl>
    <w:lvl w:ilvl="1" w:tentative="0">
      <w:start w:val="8"/>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1">
    <w:nsid w:val="5C377CAC"/>
    <w:multiLevelType w:val="multilevel"/>
    <w:tmpl w:val="5C377CAC"/>
    <w:lvl w:ilvl="0" w:tentative="0">
      <w:start w:val="1"/>
      <w:numFmt w:val="decimal"/>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CFE4D94"/>
    <w:multiLevelType w:val="multilevel"/>
    <w:tmpl w:val="5CFE4D94"/>
    <w:lvl w:ilvl="0" w:tentative="0">
      <w:start w:val="1"/>
      <w:numFmt w:val="decimal"/>
      <w:lvlText w:val="%1."/>
      <w:lvlJc w:val="left"/>
      <w:pPr>
        <w:ind w:left="360" w:hanging="360"/>
      </w:pPr>
      <w:rPr>
        <w:rFonts w:ascii="Times New Roman" w:hAnsi="Times New Roman" w:cs="Times New Roman" w:eastAsiaTheme="minorHAnsi"/>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EAC31BC"/>
    <w:multiLevelType w:val="multilevel"/>
    <w:tmpl w:val="5EAC31BC"/>
    <w:lvl w:ilvl="0" w:tentative="0">
      <w:start w:val="5"/>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24">
    <w:nsid w:val="5FCF4099"/>
    <w:multiLevelType w:val="multilevel"/>
    <w:tmpl w:val="5FCF4099"/>
    <w:lvl w:ilvl="0" w:tentative="0">
      <w:start w:val="1"/>
      <w:numFmt w:val="lowerRoman"/>
      <w:lvlText w:val="%1."/>
      <w:lvlJc w:val="left"/>
      <w:pPr>
        <w:ind w:left="1080" w:hanging="720"/>
      </w:pPr>
      <w:rPr>
        <w:rFonts w:hint="default" w:ascii="Times New Roman" w:hAnsi="Times New Roman" w:eastAsia="Calibri"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64717D8B"/>
    <w:multiLevelType w:val="multilevel"/>
    <w:tmpl w:val="64717D8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8B12061"/>
    <w:multiLevelType w:val="multilevel"/>
    <w:tmpl w:val="68B1206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7AF01DF4"/>
    <w:multiLevelType w:val="multilevel"/>
    <w:tmpl w:val="7AF01D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CA4703F"/>
    <w:multiLevelType w:val="multilevel"/>
    <w:tmpl w:val="7CA4703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DCF4331"/>
    <w:multiLevelType w:val="multilevel"/>
    <w:tmpl w:val="7DCF43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7E36395B"/>
    <w:multiLevelType w:val="multilevel"/>
    <w:tmpl w:val="7E3639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3"/>
  </w:num>
  <w:num w:numId="2">
    <w:abstractNumId w:val="15"/>
  </w:num>
  <w:num w:numId="3">
    <w:abstractNumId w:val="10"/>
  </w:num>
  <w:num w:numId="4">
    <w:abstractNumId w:val="12"/>
  </w:num>
  <w:num w:numId="5">
    <w:abstractNumId w:val="16"/>
  </w:num>
  <w:num w:numId="6">
    <w:abstractNumId w:val="17"/>
  </w:num>
  <w:num w:numId="7">
    <w:abstractNumId w:val="29"/>
  </w:num>
  <w:num w:numId="8">
    <w:abstractNumId w:val="4"/>
  </w:num>
  <w:num w:numId="9">
    <w:abstractNumId w:val="9"/>
  </w:num>
  <w:num w:numId="10">
    <w:abstractNumId w:val="30"/>
  </w:num>
  <w:num w:numId="11">
    <w:abstractNumId w:val="25"/>
  </w:num>
  <w:num w:numId="12">
    <w:abstractNumId w:val="2"/>
  </w:num>
  <w:num w:numId="13">
    <w:abstractNumId w:val="6"/>
  </w:num>
  <w:num w:numId="14">
    <w:abstractNumId w:val="19"/>
  </w:num>
  <w:num w:numId="15">
    <w:abstractNumId w:val="20"/>
  </w:num>
  <w:num w:numId="16">
    <w:abstractNumId w:val="27"/>
  </w:num>
  <w:num w:numId="17">
    <w:abstractNumId w:val="8"/>
  </w:num>
  <w:num w:numId="18">
    <w:abstractNumId w:val="0"/>
  </w:num>
  <w:num w:numId="19">
    <w:abstractNumId w:val="11"/>
  </w:num>
  <w:num w:numId="20">
    <w:abstractNumId w:val="14"/>
  </w:num>
  <w:num w:numId="21">
    <w:abstractNumId w:val="23"/>
  </w:num>
  <w:num w:numId="22">
    <w:abstractNumId w:val="24"/>
  </w:num>
  <w:num w:numId="23">
    <w:abstractNumId w:val="3"/>
  </w:num>
  <w:num w:numId="24">
    <w:abstractNumId w:val="5"/>
  </w:num>
  <w:num w:numId="25">
    <w:abstractNumId w:val="26"/>
  </w:num>
  <w:num w:numId="26">
    <w:abstractNumId w:val="7"/>
  </w:num>
  <w:num w:numId="27">
    <w:abstractNumId w:val="21"/>
  </w:num>
  <w:num w:numId="28">
    <w:abstractNumId w:val="28"/>
  </w:num>
  <w:num w:numId="29">
    <w:abstractNumId w:val="1"/>
  </w:num>
  <w:num w:numId="30">
    <w:abstractNumId w:val="18"/>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23E"/>
    <w:rsid w:val="0000072B"/>
    <w:rsid w:val="00001C1D"/>
    <w:rsid w:val="00002AF4"/>
    <w:rsid w:val="00002CE8"/>
    <w:rsid w:val="0000428A"/>
    <w:rsid w:val="000047E2"/>
    <w:rsid w:val="00007FEE"/>
    <w:rsid w:val="0001292D"/>
    <w:rsid w:val="00013BFF"/>
    <w:rsid w:val="00014CF8"/>
    <w:rsid w:val="00023C85"/>
    <w:rsid w:val="00032D62"/>
    <w:rsid w:val="0003426C"/>
    <w:rsid w:val="000426FE"/>
    <w:rsid w:val="00044D79"/>
    <w:rsid w:val="00046476"/>
    <w:rsid w:val="00046565"/>
    <w:rsid w:val="00046ABD"/>
    <w:rsid w:val="00046BC5"/>
    <w:rsid w:val="00047B0E"/>
    <w:rsid w:val="00053879"/>
    <w:rsid w:val="00053FF7"/>
    <w:rsid w:val="00055447"/>
    <w:rsid w:val="000631E8"/>
    <w:rsid w:val="00064319"/>
    <w:rsid w:val="00074C06"/>
    <w:rsid w:val="00076CD9"/>
    <w:rsid w:val="00080CB5"/>
    <w:rsid w:val="00082A9D"/>
    <w:rsid w:val="00083F89"/>
    <w:rsid w:val="000843D5"/>
    <w:rsid w:val="0008453F"/>
    <w:rsid w:val="00085CC2"/>
    <w:rsid w:val="00087262"/>
    <w:rsid w:val="00091813"/>
    <w:rsid w:val="00092193"/>
    <w:rsid w:val="000949FD"/>
    <w:rsid w:val="0009559B"/>
    <w:rsid w:val="000968A3"/>
    <w:rsid w:val="000A5AE1"/>
    <w:rsid w:val="000A685C"/>
    <w:rsid w:val="000B372C"/>
    <w:rsid w:val="000B48DD"/>
    <w:rsid w:val="000B5895"/>
    <w:rsid w:val="000B5C88"/>
    <w:rsid w:val="000C0676"/>
    <w:rsid w:val="000C2864"/>
    <w:rsid w:val="000C39BA"/>
    <w:rsid w:val="000C4323"/>
    <w:rsid w:val="000C5811"/>
    <w:rsid w:val="000C64CF"/>
    <w:rsid w:val="000C7BC0"/>
    <w:rsid w:val="000D4F6D"/>
    <w:rsid w:val="000D52B2"/>
    <w:rsid w:val="000D6515"/>
    <w:rsid w:val="000D6CD1"/>
    <w:rsid w:val="000D6E45"/>
    <w:rsid w:val="000E0453"/>
    <w:rsid w:val="000E1418"/>
    <w:rsid w:val="000E1FF9"/>
    <w:rsid w:val="000E2037"/>
    <w:rsid w:val="000E2AC1"/>
    <w:rsid w:val="000E4074"/>
    <w:rsid w:val="000E44C9"/>
    <w:rsid w:val="000E72DF"/>
    <w:rsid w:val="000F03A5"/>
    <w:rsid w:val="000F1236"/>
    <w:rsid w:val="000F3D0B"/>
    <w:rsid w:val="000F449C"/>
    <w:rsid w:val="000F5178"/>
    <w:rsid w:val="000F5E7B"/>
    <w:rsid w:val="000F7F96"/>
    <w:rsid w:val="001012A6"/>
    <w:rsid w:val="001020FC"/>
    <w:rsid w:val="00102125"/>
    <w:rsid w:val="001027C5"/>
    <w:rsid w:val="00102D58"/>
    <w:rsid w:val="00104B43"/>
    <w:rsid w:val="001062F0"/>
    <w:rsid w:val="0010730D"/>
    <w:rsid w:val="00113A65"/>
    <w:rsid w:val="0011469E"/>
    <w:rsid w:val="001177A1"/>
    <w:rsid w:val="001215EC"/>
    <w:rsid w:val="00122182"/>
    <w:rsid w:val="00125C5F"/>
    <w:rsid w:val="00126965"/>
    <w:rsid w:val="001269B6"/>
    <w:rsid w:val="00126F47"/>
    <w:rsid w:val="00127D04"/>
    <w:rsid w:val="0013063C"/>
    <w:rsid w:val="00132273"/>
    <w:rsid w:val="00132CE2"/>
    <w:rsid w:val="00133401"/>
    <w:rsid w:val="00135494"/>
    <w:rsid w:val="00135ABF"/>
    <w:rsid w:val="00140B75"/>
    <w:rsid w:val="00141A91"/>
    <w:rsid w:val="00142B3C"/>
    <w:rsid w:val="00143FC1"/>
    <w:rsid w:val="0014734D"/>
    <w:rsid w:val="0015075F"/>
    <w:rsid w:val="00150FF2"/>
    <w:rsid w:val="001549FF"/>
    <w:rsid w:val="00154A89"/>
    <w:rsid w:val="001562E1"/>
    <w:rsid w:val="00157376"/>
    <w:rsid w:val="0015784C"/>
    <w:rsid w:val="00160765"/>
    <w:rsid w:val="00161052"/>
    <w:rsid w:val="00161186"/>
    <w:rsid w:val="00161B09"/>
    <w:rsid w:val="00163DC2"/>
    <w:rsid w:val="0016487F"/>
    <w:rsid w:val="001648BB"/>
    <w:rsid w:val="001649FC"/>
    <w:rsid w:val="001663CB"/>
    <w:rsid w:val="00166E35"/>
    <w:rsid w:val="0016723C"/>
    <w:rsid w:val="0016729B"/>
    <w:rsid w:val="00167388"/>
    <w:rsid w:val="001674A8"/>
    <w:rsid w:val="00171221"/>
    <w:rsid w:val="00172D37"/>
    <w:rsid w:val="0017545D"/>
    <w:rsid w:val="00177C1B"/>
    <w:rsid w:val="001839AA"/>
    <w:rsid w:val="001921CB"/>
    <w:rsid w:val="00193DF0"/>
    <w:rsid w:val="00194078"/>
    <w:rsid w:val="0019568A"/>
    <w:rsid w:val="00196C8A"/>
    <w:rsid w:val="001979D0"/>
    <w:rsid w:val="001A2D80"/>
    <w:rsid w:val="001B01E1"/>
    <w:rsid w:val="001B3050"/>
    <w:rsid w:val="001C09A9"/>
    <w:rsid w:val="001C393D"/>
    <w:rsid w:val="001C3E06"/>
    <w:rsid w:val="001C5280"/>
    <w:rsid w:val="001C6426"/>
    <w:rsid w:val="001C6B8E"/>
    <w:rsid w:val="001C7F7A"/>
    <w:rsid w:val="001D0BC4"/>
    <w:rsid w:val="001D118C"/>
    <w:rsid w:val="001D5723"/>
    <w:rsid w:val="001D6D57"/>
    <w:rsid w:val="001E4932"/>
    <w:rsid w:val="001E5938"/>
    <w:rsid w:val="001E5F5B"/>
    <w:rsid w:val="001E7ECC"/>
    <w:rsid w:val="001F00CA"/>
    <w:rsid w:val="001F1958"/>
    <w:rsid w:val="001F37B1"/>
    <w:rsid w:val="001F4222"/>
    <w:rsid w:val="001F63AD"/>
    <w:rsid w:val="00200401"/>
    <w:rsid w:val="00200E1F"/>
    <w:rsid w:val="0020517E"/>
    <w:rsid w:val="0020642C"/>
    <w:rsid w:val="002114AA"/>
    <w:rsid w:val="00212B16"/>
    <w:rsid w:val="00212FCE"/>
    <w:rsid w:val="00213936"/>
    <w:rsid w:val="00216250"/>
    <w:rsid w:val="002173D6"/>
    <w:rsid w:val="00220054"/>
    <w:rsid w:val="002262DE"/>
    <w:rsid w:val="00226C01"/>
    <w:rsid w:val="002305DB"/>
    <w:rsid w:val="002308C8"/>
    <w:rsid w:val="00234285"/>
    <w:rsid w:val="002369B6"/>
    <w:rsid w:val="002443B3"/>
    <w:rsid w:val="002449C8"/>
    <w:rsid w:val="00244DF1"/>
    <w:rsid w:val="00247F3B"/>
    <w:rsid w:val="00250832"/>
    <w:rsid w:val="002517E2"/>
    <w:rsid w:val="0025297B"/>
    <w:rsid w:val="002535FC"/>
    <w:rsid w:val="00255531"/>
    <w:rsid w:val="002614E5"/>
    <w:rsid w:val="00264459"/>
    <w:rsid w:val="0026748A"/>
    <w:rsid w:val="002702B4"/>
    <w:rsid w:val="00270D47"/>
    <w:rsid w:val="00270EB8"/>
    <w:rsid w:val="0027168C"/>
    <w:rsid w:val="00271F2A"/>
    <w:rsid w:val="00274EE0"/>
    <w:rsid w:val="00274F5C"/>
    <w:rsid w:val="00277ADC"/>
    <w:rsid w:val="00280498"/>
    <w:rsid w:val="00282BAE"/>
    <w:rsid w:val="00286C69"/>
    <w:rsid w:val="0028770E"/>
    <w:rsid w:val="00287917"/>
    <w:rsid w:val="002940BA"/>
    <w:rsid w:val="00296AE7"/>
    <w:rsid w:val="002A41A8"/>
    <w:rsid w:val="002B0375"/>
    <w:rsid w:val="002B0F84"/>
    <w:rsid w:val="002B1CF5"/>
    <w:rsid w:val="002B20E6"/>
    <w:rsid w:val="002B4269"/>
    <w:rsid w:val="002B4F7A"/>
    <w:rsid w:val="002C1A8F"/>
    <w:rsid w:val="002C2219"/>
    <w:rsid w:val="002C37A8"/>
    <w:rsid w:val="002C3ADC"/>
    <w:rsid w:val="002C4923"/>
    <w:rsid w:val="002C6A2B"/>
    <w:rsid w:val="002C735C"/>
    <w:rsid w:val="002D10B9"/>
    <w:rsid w:val="002D152B"/>
    <w:rsid w:val="002D2BE2"/>
    <w:rsid w:val="002D3535"/>
    <w:rsid w:val="002D3AC3"/>
    <w:rsid w:val="002D4F3F"/>
    <w:rsid w:val="002D5365"/>
    <w:rsid w:val="002D5818"/>
    <w:rsid w:val="002D6730"/>
    <w:rsid w:val="002F4764"/>
    <w:rsid w:val="002F4935"/>
    <w:rsid w:val="002F6280"/>
    <w:rsid w:val="002F6ADF"/>
    <w:rsid w:val="002F6C2F"/>
    <w:rsid w:val="002F6EF5"/>
    <w:rsid w:val="0030226F"/>
    <w:rsid w:val="00303985"/>
    <w:rsid w:val="00303C55"/>
    <w:rsid w:val="00304F6D"/>
    <w:rsid w:val="0030549B"/>
    <w:rsid w:val="003067C9"/>
    <w:rsid w:val="00307887"/>
    <w:rsid w:val="00307F52"/>
    <w:rsid w:val="00310051"/>
    <w:rsid w:val="003106E8"/>
    <w:rsid w:val="003112AF"/>
    <w:rsid w:val="00311AC7"/>
    <w:rsid w:val="0031379B"/>
    <w:rsid w:val="00316175"/>
    <w:rsid w:val="00316581"/>
    <w:rsid w:val="00316B15"/>
    <w:rsid w:val="00320EC2"/>
    <w:rsid w:val="00321928"/>
    <w:rsid w:val="00322F15"/>
    <w:rsid w:val="003230A7"/>
    <w:rsid w:val="00323A3A"/>
    <w:rsid w:val="00331895"/>
    <w:rsid w:val="003336C4"/>
    <w:rsid w:val="0034056A"/>
    <w:rsid w:val="00342131"/>
    <w:rsid w:val="00342FEA"/>
    <w:rsid w:val="003431DB"/>
    <w:rsid w:val="0034375F"/>
    <w:rsid w:val="00345548"/>
    <w:rsid w:val="0035053E"/>
    <w:rsid w:val="003529B8"/>
    <w:rsid w:val="00352A9A"/>
    <w:rsid w:val="00353116"/>
    <w:rsid w:val="003531F8"/>
    <w:rsid w:val="003544BD"/>
    <w:rsid w:val="00357EFE"/>
    <w:rsid w:val="00360A4F"/>
    <w:rsid w:val="00364C29"/>
    <w:rsid w:val="003664C0"/>
    <w:rsid w:val="00370C8B"/>
    <w:rsid w:val="00373667"/>
    <w:rsid w:val="00373CE9"/>
    <w:rsid w:val="00380B7C"/>
    <w:rsid w:val="00382662"/>
    <w:rsid w:val="00382CB6"/>
    <w:rsid w:val="003843BC"/>
    <w:rsid w:val="003850B9"/>
    <w:rsid w:val="00386815"/>
    <w:rsid w:val="00390CBC"/>
    <w:rsid w:val="00392E2C"/>
    <w:rsid w:val="00394420"/>
    <w:rsid w:val="003975C6"/>
    <w:rsid w:val="003A1BAE"/>
    <w:rsid w:val="003A3844"/>
    <w:rsid w:val="003A58B4"/>
    <w:rsid w:val="003B4055"/>
    <w:rsid w:val="003B490A"/>
    <w:rsid w:val="003B57B4"/>
    <w:rsid w:val="003B6FE9"/>
    <w:rsid w:val="003C4517"/>
    <w:rsid w:val="003C6A2A"/>
    <w:rsid w:val="003C72A1"/>
    <w:rsid w:val="003D1772"/>
    <w:rsid w:val="003D3289"/>
    <w:rsid w:val="003D4134"/>
    <w:rsid w:val="003D65ED"/>
    <w:rsid w:val="003D76F6"/>
    <w:rsid w:val="003E1330"/>
    <w:rsid w:val="003E16DF"/>
    <w:rsid w:val="003E1B5E"/>
    <w:rsid w:val="003E5BF2"/>
    <w:rsid w:val="003E5C22"/>
    <w:rsid w:val="003E5C9D"/>
    <w:rsid w:val="003E7406"/>
    <w:rsid w:val="003E7FB3"/>
    <w:rsid w:val="003F0CE6"/>
    <w:rsid w:val="003F1E22"/>
    <w:rsid w:val="003F2C00"/>
    <w:rsid w:val="003F38ED"/>
    <w:rsid w:val="003F3EE5"/>
    <w:rsid w:val="003F64B2"/>
    <w:rsid w:val="003F71AA"/>
    <w:rsid w:val="0040199B"/>
    <w:rsid w:val="00403166"/>
    <w:rsid w:val="0040428B"/>
    <w:rsid w:val="004060D1"/>
    <w:rsid w:val="00411640"/>
    <w:rsid w:val="00411A1F"/>
    <w:rsid w:val="00412AD9"/>
    <w:rsid w:val="00413286"/>
    <w:rsid w:val="0041653D"/>
    <w:rsid w:val="004168C9"/>
    <w:rsid w:val="00416C04"/>
    <w:rsid w:val="0042075D"/>
    <w:rsid w:val="0042353B"/>
    <w:rsid w:val="00423AA3"/>
    <w:rsid w:val="00423DBE"/>
    <w:rsid w:val="0042537C"/>
    <w:rsid w:val="00426053"/>
    <w:rsid w:val="00426C2B"/>
    <w:rsid w:val="004320A1"/>
    <w:rsid w:val="00434466"/>
    <w:rsid w:val="00435FD3"/>
    <w:rsid w:val="00437598"/>
    <w:rsid w:val="00437829"/>
    <w:rsid w:val="00437B75"/>
    <w:rsid w:val="00440A6C"/>
    <w:rsid w:val="00442056"/>
    <w:rsid w:val="00442D6E"/>
    <w:rsid w:val="00443760"/>
    <w:rsid w:val="004474B7"/>
    <w:rsid w:val="00451659"/>
    <w:rsid w:val="0045177A"/>
    <w:rsid w:val="00451C39"/>
    <w:rsid w:val="00451EEE"/>
    <w:rsid w:val="00453DDA"/>
    <w:rsid w:val="00454447"/>
    <w:rsid w:val="00454B30"/>
    <w:rsid w:val="004554DF"/>
    <w:rsid w:val="00455E5D"/>
    <w:rsid w:val="00456676"/>
    <w:rsid w:val="00457C3D"/>
    <w:rsid w:val="0046252C"/>
    <w:rsid w:val="00462DEE"/>
    <w:rsid w:val="00463C55"/>
    <w:rsid w:val="00463DCD"/>
    <w:rsid w:val="00465BE4"/>
    <w:rsid w:val="00465F5D"/>
    <w:rsid w:val="004673A5"/>
    <w:rsid w:val="0047015C"/>
    <w:rsid w:val="00475B6D"/>
    <w:rsid w:val="00476A7F"/>
    <w:rsid w:val="004775DA"/>
    <w:rsid w:val="00480A82"/>
    <w:rsid w:val="00481B64"/>
    <w:rsid w:val="004853C1"/>
    <w:rsid w:val="00485F27"/>
    <w:rsid w:val="0048674A"/>
    <w:rsid w:val="00487CEF"/>
    <w:rsid w:val="0049025E"/>
    <w:rsid w:val="00490409"/>
    <w:rsid w:val="00490F46"/>
    <w:rsid w:val="00491BCA"/>
    <w:rsid w:val="0049480F"/>
    <w:rsid w:val="00494E44"/>
    <w:rsid w:val="00496222"/>
    <w:rsid w:val="00496BD8"/>
    <w:rsid w:val="004A053A"/>
    <w:rsid w:val="004A24C8"/>
    <w:rsid w:val="004A3AEC"/>
    <w:rsid w:val="004A5130"/>
    <w:rsid w:val="004A6358"/>
    <w:rsid w:val="004A67F6"/>
    <w:rsid w:val="004A7C9A"/>
    <w:rsid w:val="004A7E7D"/>
    <w:rsid w:val="004B0884"/>
    <w:rsid w:val="004B2BA6"/>
    <w:rsid w:val="004B32F2"/>
    <w:rsid w:val="004B3865"/>
    <w:rsid w:val="004B3E0D"/>
    <w:rsid w:val="004B3EFC"/>
    <w:rsid w:val="004B700B"/>
    <w:rsid w:val="004C065C"/>
    <w:rsid w:val="004C08EC"/>
    <w:rsid w:val="004C153B"/>
    <w:rsid w:val="004C1A7C"/>
    <w:rsid w:val="004D2FEC"/>
    <w:rsid w:val="004D50EC"/>
    <w:rsid w:val="004D549B"/>
    <w:rsid w:val="004D5AA3"/>
    <w:rsid w:val="004D7749"/>
    <w:rsid w:val="004E072B"/>
    <w:rsid w:val="004E3773"/>
    <w:rsid w:val="004E459F"/>
    <w:rsid w:val="004F164E"/>
    <w:rsid w:val="004F5AA7"/>
    <w:rsid w:val="004F74A4"/>
    <w:rsid w:val="00500C28"/>
    <w:rsid w:val="0050229D"/>
    <w:rsid w:val="00502820"/>
    <w:rsid w:val="0050329A"/>
    <w:rsid w:val="005157AB"/>
    <w:rsid w:val="00516E6A"/>
    <w:rsid w:val="0052083A"/>
    <w:rsid w:val="0052182A"/>
    <w:rsid w:val="005221F2"/>
    <w:rsid w:val="00522999"/>
    <w:rsid w:val="005233A1"/>
    <w:rsid w:val="005236CF"/>
    <w:rsid w:val="00523971"/>
    <w:rsid w:val="00523C92"/>
    <w:rsid w:val="00526038"/>
    <w:rsid w:val="005270AE"/>
    <w:rsid w:val="0052763A"/>
    <w:rsid w:val="00530308"/>
    <w:rsid w:val="00530494"/>
    <w:rsid w:val="00530FC5"/>
    <w:rsid w:val="00531B2D"/>
    <w:rsid w:val="005324F2"/>
    <w:rsid w:val="00532BA4"/>
    <w:rsid w:val="005374D3"/>
    <w:rsid w:val="005377F2"/>
    <w:rsid w:val="005379FD"/>
    <w:rsid w:val="00537D35"/>
    <w:rsid w:val="00542696"/>
    <w:rsid w:val="00543815"/>
    <w:rsid w:val="0054482B"/>
    <w:rsid w:val="00544BBF"/>
    <w:rsid w:val="00545C0F"/>
    <w:rsid w:val="005529DC"/>
    <w:rsid w:val="005540F0"/>
    <w:rsid w:val="005604FF"/>
    <w:rsid w:val="005647E2"/>
    <w:rsid w:val="005666AD"/>
    <w:rsid w:val="00570743"/>
    <w:rsid w:val="00570837"/>
    <w:rsid w:val="00570DB6"/>
    <w:rsid w:val="0057125F"/>
    <w:rsid w:val="0057395A"/>
    <w:rsid w:val="00574313"/>
    <w:rsid w:val="0057521D"/>
    <w:rsid w:val="005755C2"/>
    <w:rsid w:val="00575F9B"/>
    <w:rsid w:val="00576EA5"/>
    <w:rsid w:val="0057787E"/>
    <w:rsid w:val="005812B4"/>
    <w:rsid w:val="00582BC3"/>
    <w:rsid w:val="00582E4E"/>
    <w:rsid w:val="00583B07"/>
    <w:rsid w:val="00584104"/>
    <w:rsid w:val="00584DDF"/>
    <w:rsid w:val="00587C59"/>
    <w:rsid w:val="00590DBE"/>
    <w:rsid w:val="00595503"/>
    <w:rsid w:val="00597568"/>
    <w:rsid w:val="005A00B2"/>
    <w:rsid w:val="005A03F0"/>
    <w:rsid w:val="005A04CA"/>
    <w:rsid w:val="005A1110"/>
    <w:rsid w:val="005A2885"/>
    <w:rsid w:val="005A2886"/>
    <w:rsid w:val="005A3188"/>
    <w:rsid w:val="005A45C2"/>
    <w:rsid w:val="005A5C36"/>
    <w:rsid w:val="005B05B5"/>
    <w:rsid w:val="005B1D4F"/>
    <w:rsid w:val="005B32E0"/>
    <w:rsid w:val="005B3B2C"/>
    <w:rsid w:val="005B6CE5"/>
    <w:rsid w:val="005C0874"/>
    <w:rsid w:val="005C20B1"/>
    <w:rsid w:val="005C2213"/>
    <w:rsid w:val="005C4821"/>
    <w:rsid w:val="005C4F16"/>
    <w:rsid w:val="005D121E"/>
    <w:rsid w:val="005D44B3"/>
    <w:rsid w:val="005D48A2"/>
    <w:rsid w:val="005D4EF6"/>
    <w:rsid w:val="005D6C79"/>
    <w:rsid w:val="005D7B6B"/>
    <w:rsid w:val="005E375F"/>
    <w:rsid w:val="005E391A"/>
    <w:rsid w:val="005E5DCA"/>
    <w:rsid w:val="005E79C4"/>
    <w:rsid w:val="005E7E33"/>
    <w:rsid w:val="005F21F3"/>
    <w:rsid w:val="005F3B7C"/>
    <w:rsid w:val="005F3C24"/>
    <w:rsid w:val="005F411B"/>
    <w:rsid w:val="005F4CEB"/>
    <w:rsid w:val="005F567A"/>
    <w:rsid w:val="0060000E"/>
    <w:rsid w:val="0060213C"/>
    <w:rsid w:val="00606215"/>
    <w:rsid w:val="00606DAF"/>
    <w:rsid w:val="00610AD4"/>
    <w:rsid w:val="00612614"/>
    <w:rsid w:val="00612EA5"/>
    <w:rsid w:val="0061460E"/>
    <w:rsid w:val="00615B61"/>
    <w:rsid w:val="00617A34"/>
    <w:rsid w:val="00620034"/>
    <w:rsid w:val="006208D6"/>
    <w:rsid w:val="00622567"/>
    <w:rsid w:val="00624A0D"/>
    <w:rsid w:val="00624A57"/>
    <w:rsid w:val="0063017F"/>
    <w:rsid w:val="00630B03"/>
    <w:rsid w:val="00633971"/>
    <w:rsid w:val="0063457A"/>
    <w:rsid w:val="00634D2A"/>
    <w:rsid w:val="0063639D"/>
    <w:rsid w:val="00637FE1"/>
    <w:rsid w:val="006406A4"/>
    <w:rsid w:val="00642134"/>
    <w:rsid w:val="00642646"/>
    <w:rsid w:val="00644546"/>
    <w:rsid w:val="00645591"/>
    <w:rsid w:val="006529D6"/>
    <w:rsid w:val="006530BB"/>
    <w:rsid w:val="0065464F"/>
    <w:rsid w:val="00654A7A"/>
    <w:rsid w:val="00661361"/>
    <w:rsid w:val="0066188F"/>
    <w:rsid w:val="00663BBB"/>
    <w:rsid w:val="00663ED7"/>
    <w:rsid w:val="006659D6"/>
    <w:rsid w:val="00670261"/>
    <w:rsid w:val="0067067F"/>
    <w:rsid w:val="00672F54"/>
    <w:rsid w:val="00675EDD"/>
    <w:rsid w:val="00682EEA"/>
    <w:rsid w:val="006855AF"/>
    <w:rsid w:val="00687D1C"/>
    <w:rsid w:val="00693ADE"/>
    <w:rsid w:val="00696607"/>
    <w:rsid w:val="00696CF8"/>
    <w:rsid w:val="00697649"/>
    <w:rsid w:val="006A04F2"/>
    <w:rsid w:val="006A0FB9"/>
    <w:rsid w:val="006A1CD9"/>
    <w:rsid w:val="006A6474"/>
    <w:rsid w:val="006A6BBE"/>
    <w:rsid w:val="006A6C0F"/>
    <w:rsid w:val="006B0778"/>
    <w:rsid w:val="006B14D9"/>
    <w:rsid w:val="006B1684"/>
    <w:rsid w:val="006B20F4"/>
    <w:rsid w:val="006B44D9"/>
    <w:rsid w:val="006B5565"/>
    <w:rsid w:val="006B7065"/>
    <w:rsid w:val="006B7E65"/>
    <w:rsid w:val="006C049E"/>
    <w:rsid w:val="006C3A4F"/>
    <w:rsid w:val="006C72F4"/>
    <w:rsid w:val="006D34A4"/>
    <w:rsid w:val="006D3AC3"/>
    <w:rsid w:val="006D6E3D"/>
    <w:rsid w:val="006D6FE4"/>
    <w:rsid w:val="006D73EB"/>
    <w:rsid w:val="006D7D60"/>
    <w:rsid w:val="006E0169"/>
    <w:rsid w:val="006E01BB"/>
    <w:rsid w:val="006F204B"/>
    <w:rsid w:val="006F3F1B"/>
    <w:rsid w:val="006F433E"/>
    <w:rsid w:val="006F4773"/>
    <w:rsid w:val="006F5DC3"/>
    <w:rsid w:val="006F609C"/>
    <w:rsid w:val="006F6800"/>
    <w:rsid w:val="006F6941"/>
    <w:rsid w:val="007007CA"/>
    <w:rsid w:val="00702742"/>
    <w:rsid w:val="007034DD"/>
    <w:rsid w:val="00710414"/>
    <w:rsid w:val="007104A8"/>
    <w:rsid w:val="00714B67"/>
    <w:rsid w:val="007169E6"/>
    <w:rsid w:val="00717AC6"/>
    <w:rsid w:val="00717BDD"/>
    <w:rsid w:val="00721B95"/>
    <w:rsid w:val="007222B2"/>
    <w:rsid w:val="007257FD"/>
    <w:rsid w:val="00726898"/>
    <w:rsid w:val="00727ADE"/>
    <w:rsid w:val="00733CCC"/>
    <w:rsid w:val="00744D8F"/>
    <w:rsid w:val="0074541D"/>
    <w:rsid w:val="007462AF"/>
    <w:rsid w:val="00747353"/>
    <w:rsid w:val="007515E2"/>
    <w:rsid w:val="00752773"/>
    <w:rsid w:val="007539A7"/>
    <w:rsid w:val="00754710"/>
    <w:rsid w:val="00756CBE"/>
    <w:rsid w:val="00757C7D"/>
    <w:rsid w:val="00761042"/>
    <w:rsid w:val="00762642"/>
    <w:rsid w:val="00764046"/>
    <w:rsid w:val="00764891"/>
    <w:rsid w:val="00767A0A"/>
    <w:rsid w:val="007722BA"/>
    <w:rsid w:val="00772E68"/>
    <w:rsid w:val="007733F0"/>
    <w:rsid w:val="00773E0F"/>
    <w:rsid w:val="0078388C"/>
    <w:rsid w:val="00787407"/>
    <w:rsid w:val="007951E2"/>
    <w:rsid w:val="007A2A9A"/>
    <w:rsid w:val="007A4715"/>
    <w:rsid w:val="007B0584"/>
    <w:rsid w:val="007B07C4"/>
    <w:rsid w:val="007B08D3"/>
    <w:rsid w:val="007B1ED2"/>
    <w:rsid w:val="007B220C"/>
    <w:rsid w:val="007B2711"/>
    <w:rsid w:val="007B29C9"/>
    <w:rsid w:val="007B3B63"/>
    <w:rsid w:val="007B6273"/>
    <w:rsid w:val="007B7D63"/>
    <w:rsid w:val="007C0658"/>
    <w:rsid w:val="007C27A8"/>
    <w:rsid w:val="007C29DF"/>
    <w:rsid w:val="007C2BA3"/>
    <w:rsid w:val="007C2D73"/>
    <w:rsid w:val="007C5731"/>
    <w:rsid w:val="007D1FC1"/>
    <w:rsid w:val="007D2210"/>
    <w:rsid w:val="007D4742"/>
    <w:rsid w:val="007D5B84"/>
    <w:rsid w:val="007E1EB5"/>
    <w:rsid w:val="007E355A"/>
    <w:rsid w:val="007E3A39"/>
    <w:rsid w:val="007E50B4"/>
    <w:rsid w:val="007E5E91"/>
    <w:rsid w:val="007F40FE"/>
    <w:rsid w:val="007F5342"/>
    <w:rsid w:val="007F5BB1"/>
    <w:rsid w:val="007F5F91"/>
    <w:rsid w:val="008048FE"/>
    <w:rsid w:val="00805BFC"/>
    <w:rsid w:val="00806F96"/>
    <w:rsid w:val="00810970"/>
    <w:rsid w:val="008161B0"/>
    <w:rsid w:val="00817B56"/>
    <w:rsid w:val="00817C02"/>
    <w:rsid w:val="008204D3"/>
    <w:rsid w:val="00821643"/>
    <w:rsid w:val="008223C6"/>
    <w:rsid w:val="00824FA6"/>
    <w:rsid w:val="00825FED"/>
    <w:rsid w:val="008275A7"/>
    <w:rsid w:val="00831D81"/>
    <w:rsid w:val="00832B37"/>
    <w:rsid w:val="008352E5"/>
    <w:rsid w:val="00837CED"/>
    <w:rsid w:val="00843E8C"/>
    <w:rsid w:val="00846197"/>
    <w:rsid w:val="008478FC"/>
    <w:rsid w:val="00847A9B"/>
    <w:rsid w:val="0085183C"/>
    <w:rsid w:val="00852E6E"/>
    <w:rsid w:val="00853161"/>
    <w:rsid w:val="00854D95"/>
    <w:rsid w:val="00855491"/>
    <w:rsid w:val="00857F9C"/>
    <w:rsid w:val="0086055B"/>
    <w:rsid w:val="008629C3"/>
    <w:rsid w:val="00862CCC"/>
    <w:rsid w:val="00862D76"/>
    <w:rsid w:val="008630D2"/>
    <w:rsid w:val="008652DB"/>
    <w:rsid w:val="00866A0D"/>
    <w:rsid w:val="00867949"/>
    <w:rsid w:val="008706AC"/>
    <w:rsid w:val="00871D60"/>
    <w:rsid w:val="00873BA3"/>
    <w:rsid w:val="00875A49"/>
    <w:rsid w:val="00875C2C"/>
    <w:rsid w:val="00876A6D"/>
    <w:rsid w:val="0088023A"/>
    <w:rsid w:val="008811A8"/>
    <w:rsid w:val="00881C29"/>
    <w:rsid w:val="008850B1"/>
    <w:rsid w:val="00885602"/>
    <w:rsid w:val="008900ED"/>
    <w:rsid w:val="00890E52"/>
    <w:rsid w:val="00891646"/>
    <w:rsid w:val="00891D04"/>
    <w:rsid w:val="008920E3"/>
    <w:rsid w:val="0089435B"/>
    <w:rsid w:val="00896BFB"/>
    <w:rsid w:val="008A04F4"/>
    <w:rsid w:val="008A1BFF"/>
    <w:rsid w:val="008A1D8E"/>
    <w:rsid w:val="008A391B"/>
    <w:rsid w:val="008A5008"/>
    <w:rsid w:val="008B06BD"/>
    <w:rsid w:val="008B6DC0"/>
    <w:rsid w:val="008B7805"/>
    <w:rsid w:val="008C173E"/>
    <w:rsid w:val="008C2459"/>
    <w:rsid w:val="008C2A1F"/>
    <w:rsid w:val="008C36CA"/>
    <w:rsid w:val="008C4886"/>
    <w:rsid w:val="008C5737"/>
    <w:rsid w:val="008C6B12"/>
    <w:rsid w:val="008C6C13"/>
    <w:rsid w:val="008D08D4"/>
    <w:rsid w:val="008D152A"/>
    <w:rsid w:val="008D533F"/>
    <w:rsid w:val="008E05DA"/>
    <w:rsid w:val="008E35AD"/>
    <w:rsid w:val="008E5027"/>
    <w:rsid w:val="008E55FB"/>
    <w:rsid w:val="008E6128"/>
    <w:rsid w:val="008E6216"/>
    <w:rsid w:val="008E690E"/>
    <w:rsid w:val="008E7EC8"/>
    <w:rsid w:val="008F2179"/>
    <w:rsid w:val="008F3372"/>
    <w:rsid w:val="008F4146"/>
    <w:rsid w:val="008F6777"/>
    <w:rsid w:val="008F6C3E"/>
    <w:rsid w:val="008F7527"/>
    <w:rsid w:val="00902585"/>
    <w:rsid w:val="0090334E"/>
    <w:rsid w:val="00904EA7"/>
    <w:rsid w:val="00907396"/>
    <w:rsid w:val="0091636C"/>
    <w:rsid w:val="00920DCA"/>
    <w:rsid w:val="00921058"/>
    <w:rsid w:val="00922239"/>
    <w:rsid w:val="00924D0E"/>
    <w:rsid w:val="009279BB"/>
    <w:rsid w:val="00930D87"/>
    <w:rsid w:val="00930FAC"/>
    <w:rsid w:val="00931EEE"/>
    <w:rsid w:val="00932594"/>
    <w:rsid w:val="00933E81"/>
    <w:rsid w:val="009369FB"/>
    <w:rsid w:val="009412C7"/>
    <w:rsid w:val="009417E4"/>
    <w:rsid w:val="00942176"/>
    <w:rsid w:val="00945347"/>
    <w:rsid w:val="00946052"/>
    <w:rsid w:val="009467F2"/>
    <w:rsid w:val="00946FD5"/>
    <w:rsid w:val="00947017"/>
    <w:rsid w:val="00947B0E"/>
    <w:rsid w:val="009501DE"/>
    <w:rsid w:val="0095423E"/>
    <w:rsid w:val="00954D4B"/>
    <w:rsid w:val="0095723B"/>
    <w:rsid w:val="009611CF"/>
    <w:rsid w:val="00961CEB"/>
    <w:rsid w:val="00961DC1"/>
    <w:rsid w:val="00963450"/>
    <w:rsid w:val="009744AB"/>
    <w:rsid w:val="00974BF8"/>
    <w:rsid w:val="00977570"/>
    <w:rsid w:val="009778E0"/>
    <w:rsid w:val="00977A5B"/>
    <w:rsid w:val="0098212F"/>
    <w:rsid w:val="00982851"/>
    <w:rsid w:val="00982C74"/>
    <w:rsid w:val="00983DDC"/>
    <w:rsid w:val="00984ABE"/>
    <w:rsid w:val="0098716B"/>
    <w:rsid w:val="00990107"/>
    <w:rsid w:val="00991E49"/>
    <w:rsid w:val="00991FE5"/>
    <w:rsid w:val="00992149"/>
    <w:rsid w:val="0099367C"/>
    <w:rsid w:val="00993772"/>
    <w:rsid w:val="00993A72"/>
    <w:rsid w:val="0099443F"/>
    <w:rsid w:val="0099525D"/>
    <w:rsid w:val="00997188"/>
    <w:rsid w:val="00997A58"/>
    <w:rsid w:val="009A092B"/>
    <w:rsid w:val="009A3876"/>
    <w:rsid w:val="009A6072"/>
    <w:rsid w:val="009A78EB"/>
    <w:rsid w:val="009B0080"/>
    <w:rsid w:val="009B17E2"/>
    <w:rsid w:val="009B22AA"/>
    <w:rsid w:val="009B2F21"/>
    <w:rsid w:val="009B407A"/>
    <w:rsid w:val="009B7594"/>
    <w:rsid w:val="009B7733"/>
    <w:rsid w:val="009C02B7"/>
    <w:rsid w:val="009C1501"/>
    <w:rsid w:val="009C15E7"/>
    <w:rsid w:val="009C20B4"/>
    <w:rsid w:val="009C23EA"/>
    <w:rsid w:val="009C3481"/>
    <w:rsid w:val="009C37BC"/>
    <w:rsid w:val="009C6EAF"/>
    <w:rsid w:val="009C6FA3"/>
    <w:rsid w:val="009C7A7D"/>
    <w:rsid w:val="009C7D58"/>
    <w:rsid w:val="009D0093"/>
    <w:rsid w:val="009D4D8A"/>
    <w:rsid w:val="009D4F2A"/>
    <w:rsid w:val="009D6AFC"/>
    <w:rsid w:val="009E06CD"/>
    <w:rsid w:val="009E29C8"/>
    <w:rsid w:val="009E2BEA"/>
    <w:rsid w:val="009E2FED"/>
    <w:rsid w:val="009E3512"/>
    <w:rsid w:val="009F024C"/>
    <w:rsid w:val="00A00624"/>
    <w:rsid w:val="00A04EE3"/>
    <w:rsid w:val="00A053B0"/>
    <w:rsid w:val="00A12089"/>
    <w:rsid w:val="00A158F9"/>
    <w:rsid w:val="00A16111"/>
    <w:rsid w:val="00A20F6A"/>
    <w:rsid w:val="00A22112"/>
    <w:rsid w:val="00A24ECA"/>
    <w:rsid w:val="00A266E8"/>
    <w:rsid w:val="00A27E32"/>
    <w:rsid w:val="00A3080D"/>
    <w:rsid w:val="00A33983"/>
    <w:rsid w:val="00A33F3E"/>
    <w:rsid w:val="00A354A1"/>
    <w:rsid w:val="00A416A2"/>
    <w:rsid w:val="00A41B3E"/>
    <w:rsid w:val="00A430F2"/>
    <w:rsid w:val="00A43D91"/>
    <w:rsid w:val="00A45FE2"/>
    <w:rsid w:val="00A544C0"/>
    <w:rsid w:val="00A548BB"/>
    <w:rsid w:val="00A549E3"/>
    <w:rsid w:val="00A54EA2"/>
    <w:rsid w:val="00A55D01"/>
    <w:rsid w:val="00A561E1"/>
    <w:rsid w:val="00A571D0"/>
    <w:rsid w:val="00A618B3"/>
    <w:rsid w:val="00A62DB5"/>
    <w:rsid w:val="00A64426"/>
    <w:rsid w:val="00A67E79"/>
    <w:rsid w:val="00A737DF"/>
    <w:rsid w:val="00A777E5"/>
    <w:rsid w:val="00A800BE"/>
    <w:rsid w:val="00A80138"/>
    <w:rsid w:val="00A8163B"/>
    <w:rsid w:val="00A8288C"/>
    <w:rsid w:val="00A8423A"/>
    <w:rsid w:val="00A8460E"/>
    <w:rsid w:val="00A85133"/>
    <w:rsid w:val="00A864D2"/>
    <w:rsid w:val="00A87BCB"/>
    <w:rsid w:val="00A92379"/>
    <w:rsid w:val="00A94FDD"/>
    <w:rsid w:val="00AA0938"/>
    <w:rsid w:val="00AA1F73"/>
    <w:rsid w:val="00AA3365"/>
    <w:rsid w:val="00AA5159"/>
    <w:rsid w:val="00AA51E6"/>
    <w:rsid w:val="00AA699D"/>
    <w:rsid w:val="00AA783B"/>
    <w:rsid w:val="00AB0828"/>
    <w:rsid w:val="00AB0972"/>
    <w:rsid w:val="00AB166D"/>
    <w:rsid w:val="00AB2BB5"/>
    <w:rsid w:val="00AB3D7C"/>
    <w:rsid w:val="00AB407C"/>
    <w:rsid w:val="00AB44FC"/>
    <w:rsid w:val="00AB6137"/>
    <w:rsid w:val="00AB7565"/>
    <w:rsid w:val="00AC031F"/>
    <w:rsid w:val="00AC227C"/>
    <w:rsid w:val="00AC2A59"/>
    <w:rsid w:val="00AC4331"/>
    <w:rsid w:val="00AC71A9"/>
    <w:rsid w:val="00AC76E4"/>
    <w:rsid w:val="00AD2C0A"/>
    <w:rsid w:val="00AD3786"/>
    <w:rsid w:val="00AD6ACC"/>
    <w:rsid w:val="00AE53B7"/>
    <w:rsid w:val="00AE72C5"/>
    <w:rsid w:val="00AE7314"/>
    <w:rsid w:val="00AF0F0D"/>
    <w:rsid w:val="00AF1B62"/>
    <w:rsid w:val="00AF5720"/>
    <w:rsid w:val="00AF7011"/>
    <w:rsid w:val="00B03197"/>
    <w:rsid w:val="00B04278"/>
    <w:rsid w:val="00B05101"/>
    <w:rsid w:val="00B112C7"/>
    <w:rsid w:val="00B11CD7"/>
    <w:rsid w:val="00B14399"/>
    <w:rsid w:val="00B171B5"/>
    <w:rsid w:val="00B1743F"/>
    <w:rsid w:val="00B23200"/>
    <w:rsid w:val="00B254D8"/>
    <w:rsid w:val="00B26CA4"/>
    <w:rsid w:val="00B30098"/>
    <w:rsid w:val="00B33315"/>
    <w:rsid w:val="00B336C6"/>
    <w:rsid w:val="00B349CD"/>
    <w:rsid w:val="00B36901"/>
    <w:rsid w:val="00B409A3"/>
    <w:rsid w:val="00B419E1"/>
    <w:rsid w:val="00B43FB3"/>
    <w:rsid w:val="00B4701C"/>
    <w:rsid w:val="00B47881"/>
    <w:rsid w:val="00B53EBD"/>
    <w:rsid w:val="00B56432"/>
    <w:rsid w:val="00B57D5E"/>
    <w:rsid w:val="00B60B3C"/>
    <w:rsid w:val="00B61E79"/>
    <w:rsid w:val="00B624D5"/>
    <w:rsid w:val="00B62670"/>
    <w:rsid w:val="00B634E6"/>
    <w:rsid w:val="00B649F1"/>
    <w:rsid w:val="00B67FC0"/>
    <w:rsid w:val="00B70285"/>
    <w:rsid w:val="00B72FE0"/>
    <w:rsid w:val="00B73D98"/>
    <w:rsid w:val="00B7465A"/>
    <w:rsid w:val="00B74862"/>
    <w:rsid w:val="00B77273"/>
    <w:rsid w:val="00B772DE"/>
    <w:rsid w:val="00B8021C"/>
    <w:rsid w:val="00B80DD9"/>
    <w:rsid w:val="00B81777"/>
    <w:rsid w:val="00B853E4"/>
    <w:rsid w:val="00B858EC"/>
    <w:rsid w:val="00B86E11"/>
    <w:rsid w:val="00B91CFD"/>
    <w:rsid w:val="00B93181"/>
    <w:rsid w:val="00B93BC6"/>
    <w:rsid w:val="00B93BDB"/>
    <w:rsid w:val="00B96910"/>
    <w:rsid w:val="00BA065A"/>
    <w:rsid w:val="00BA0692"/>
    <w:rsid w:val="00BA2041"/>
    <w:rsid w:val="00BA5CB1"/>
    <w:rsid w:val="00BA5D7F"/>
    <w:rsid w:val="00BA7499"/>
    <w:rsid w:val="00BB0D80"/>
    <w:rsid w:val="00BB2123"/>
    <w:rsid w:val="00BB281D"/>
    <w:rsid w:val="00BB34EE"/>
    <w:rsid w:val="00BB53E9"/>
    <w:rsid w:val="00BB692B"/>
    <w:rsid w:val="00BB6B6D"/>
    <w:rsid w:val="00BC1273"/>
    <w:rsid w:val="00BC1B28"/>
    <w:rsid w:val="00BC2844"/>
    <w:rsid w:val="00BC2B5A"/>
    <w:rsid w:val="00BC2B99"/>
    <w:rsid w:val="00BC3383"/>
    <w:rsid w:val="00BC6321"/>
    <w:rsid w:val="00BC6A94"/>
    <w:rsid w:val="00BC71FD"/>
    <w:rsid w:val="00BC74F0"/>
    <w:rsid w:val="00BD0C9A"/>
    <w:rsid w:val="00BD16AD"/>
    <w:rsid w:val="00BD241C"/>
    <w:rsid w:val="00BD495D"/>
    <w:rsid w:val="00BD6C0E"/>
    <w:rsid w:val="00BD6D14"/>
    <w:rsid w:val="00BD7E0D"/>
    <w:rsid w:val="00BE0CF4"/>
    <w:rsid w:val="00BE126D"/>
    <w:rsid w:val="00BE22D7"/>
    <w:rsid w:val="00BE65D2"/>
    <w:rsid w:val="00BE7908"/>
    <w:rsid w:val="00BF05E8"/>
    <w:rsid w:val="00BF1C4F"/>
    <w:rsid w:val="00C06C2B"/>
    <w:rsid w:val="00C076A4"/>
    <w:rsid w:val="00C10062"/>
    <w:rsid w:val="00C147D6"/>
    <w:rsid w:val="00C1619B"/>
    <w:rsid w:val="00C175A0"/>
    <w:rsid w:val="00C179ED"/>
    <w:rsid w:val="00C21AFC"/>
    <w:rsid w:val="00C2233F"/>
    <w:rsid w:val="00C22B09"/>
    <w:rsid w:val="00C3015B"/>
    <w:rsid w:val="00C3148D"/>
    <w:rsid w:val="00C3420C"/>
    <w:rsid w:val="00C352A2"/>
    <w:rsid w:val="00C35643"/>
    <w:rsid w:val="00C35B62"/>
    <w:rsid w:val="00C406CF"/>
    <w:rsid w:val="00C41344"/>
    <w:rsid w:val="00C44B43"/>
    <w:rsid w:val="00C47588"/>
    <w:rsid w:val="00C53834"/>
    <w:rsid w:val="00C541A6"/>
    <w:rsid w:val="00C55B0B"/>
    <w:rsid w:val="00C564C1"/>
    <w:rsid w:val="00C56591"/>
    <w:rsid w:val="00C56682"/>
    <w:rsid w:val="00C60600"/>
    <w:rsid w:val="00C60B49"/>
    <w:rsid w:val="00C6521D"/>
    <w:rsid w:val="00C655B2"/>
    <w:rsid w:val="00C65C9B"/>
    <w:rsid w:val="00C67008"/>
    <w:rsid w:val="00C672FE"/>
    <w:rsid w:val="00C67E7A"/>
    <w:rsid w:val="00C67ED9"/>
    <w:rsid w:val="00C72425"/>
    <w:rsid w:val="00C74F77"/>
    <w:rsid w:val="00C74F90"/>
    <w:rsid w:val="00C756E9"/>
    <w:rsid w:val="00C764E8"/>
    <w:rsid w:val="00C82852"/>
    <w:rsid w:val="00C84527"/>
    <w:rsid w:val="00C91DB9"/>
    <w:rsid w:val="00C932B4"/>
    <w:rsid w:val="00CA208E"/>
    <w:rsid w:val="00CA341C"/>
    <w:rsid w:val="00CA4E6B"/>
    <w:rsid w:val="00CA55CB"/>
    <w:rsid w:val="00CB2BAE"/>
    <w:rsid w:val="00CB31A3"/>
    <w:rsid w:val="00CB64AB"/>
    <w:rsid w:val="00CB78F6"/>
    <w:rsid w:val="00CB7E67"/>
    <w:rsid w:val="00CC0092"/>
    <w:rsid w:val="00CC253F"/>
    <w:rsid w:val="00CC3997"/>
    <w:rsid w:val="00CC62B6"/>
    <w:rsid w:val="00CD237E"/>
    <w:rsid w:val="00CD4B0B"/>
    <w:rsid w:val="00CD521E"/>
    <w:rsid w:val="00CD715D"/>
    <w:rsid w:val="00CE07D8"/>
    <w:rsid w:val="00CE11AB"/>
    <w:rsid w:val="00CE17B9"/>
    <w:rsid w:val="00CE42EA"/>
    <w:rsid w:val="00CE6BED"/>
    <w:rsid w:val="00CE7092"/>
    <w:rsid w:val="00CF2F8D"/>
    <w:rsid w:val="00CF4234"/>
    <w:rsid w:val="00CF4EBF"/>
    <w:rsid w:val="00CF5197"/>
    <w:rsid w:val="00CF61EC"/>
    <w:rsid w:val="00CF6E95"/>
    <w:rsid w:val="00D032DC"/>
    <w:rsid w:val="00D03FE1"/>
    <w:rsid w:val="00D0694E"/>
    <w:rsid w:val="00D10637"/>
    <w:rsid w:val="00D13B0C"/>
    <w:rsid w:val="00D142A3"/>
    <w:rsid w:val="00D147C0"/>
    <w:rsid w:val="00D151F5"/>
    <w:rsid w:val="00D209B4"/>
    <w:rsid w:val="00D2277D"/>
    <w:rsid w:val="00D24EE6"/>
    <w:rsid w:val="00D26E74"/>
    <w:rsid w:val="00D276EA"/>
    <w:rsid w:val="00D3095C"/>
    <w:rsid w:val="00D35530"/>
    <w:rsid w:val="00D3587B"/>
    <w:rsid w:val="00D36738"/>
    <w:rsid w:val="00D4070A"/>
    <w:rsid w:val="00D426FB"/>
    <w:rsid w:val="00D45CD9"/>
    <w:rsid w:val="00D46EDC"/>
    <w:rsid w:val="00D50F86"/>
    <w:rsid w:val="00D52C5A"/>
    <w:rsid w:val="00D52C8B"/>
    <w:rsid w:val="00D52CB1"/>
    <w:rsid w:val="00D558F8"/>
    <w:rsid w:val="00D560F3"/>
    <w:rsid w:val="00D62C74"/>
    <w:rsid w:val="00D65255"/>
    <w:rsid w:val="00D67EA5"/>
    <w:rsid w:val="00D703DC"/>
    <w:rsid w:val="00D71EDA"/>
    <w:rsid w:val="00D7387E"/>
    <w:rsid w:val="00D76DA9"/>
    <w:rsid w:val="00D80C15"/>
    <w:rsid w:val="00D8231B"/>
    <w:rsid w:val="00D82C66"/>
    <w:rsid w:val="00D83964"/>
    <w:rsid w:val="00D84223"/>
    <w:rsid w:val="00D8518F"/>
    <w:rsid w:val="00D85F28"/>
    <w:rsid w:val="00D85FA7"/>
    <w:rsid w:val="00D860E8"/>
    <w:rsid w:val="00D86307"/>
    <w:rsid w:val="00D90C91"/>
    <w:rsid w:val="00D91238"/>
    <w:rsid w:val="00D9131B"/>
    <w:rsid w:val="00D91338"/>
    <w:rsid w:val="00D92783"/>
    <w:rsid w:val="00D95114"/>
    <w:rsid w:val="00DA0E6A"/>
    <w:rsid w:val="00DA17C8"/>
    <w:rsid w:val="00DA5633"/>
    <w:rsid w:val="00DB042F"/>
    <w:rsid w:val="00DB18B0"/>
    <w:rsid w:val="00DB1DBD"/>
    <w:rsid w:val="00DB788E"/>
    <w:rsid w:val="00DC4536"/>
    <w:rsid w:val="00DC513B"/>
    <w:rsid w:val="00DC5AC2"/>
    <w:rsid w:val="00DC7F30"/>
    <w:rsid w:val="00DD111E"/>
    <w:rsid w:val="00DD19C1"/>
    <w:rsid w:val="00DE0A4B"/>
    <w:rsid w:val="00DE23CD"/>
    <w:rsid w:val="00DE2AE1"/>
    <w:rsid w:val="00DE4DFF"/>
    <w:rsid w:val="00DE5667"/>
    <w:rsid w:val="00DE78F0"/>
    <w:rsid w:val="00DE7EE6"/>
    <w:rsid w:val="00DF0D15"/>
    <w:rsid w:val="00DF51B8"/>
    <w:rsid w:val="00DF6CDB"/>
    <w:rsid w:val="00DF7A2A"/>
    <w:rsid w:val="00E03ED0"/>
    <w:rsid w:val="00E10CB1"/>
    <w:rsid w:val="00E10DFF"/>
    <w:rsid w:val="00E20212"/>
    <w:rsid w:val="00E23F19"/>
    <w:rsid w:val="00E2407B"/>
    <w:rsid w:val="00E253BC"/>
    <w:rsid w:val="00E2584F"/>
    <w:rsid w:val="00E26CD2"/>
    <w:rsid w:val="00E300A2"/>
    <w:rsid w:val="00E300C6"/>
    <w:rsid w:val="00E301BA"/>
    <w:rsid w:val="00E30650"/>
    <w:rsid w:val="00E359B0"/>
    <w:rsid w:val="00E37E6C"/>
    <w:rsid w:val="00E407DF"/>
    <w:rsid w:val="00E41308"/>
    <w:rsid w:val="00E475C9"/>
    <w:rsid w:val="00E51363"/>
    <w:rsid w:val="00E51B62"/>
    <w:rsid w:val="00E54EA0"/>
    <w:rsid w:val="00E55307"/>
    <w:rsid w:val="00E56F2B"/>
    <w:rsid w:val="00E6178E"/>
    <w:rsid w:val="00E65705"/>
    <w:rsid w:val="00E6626D"/>
    <w:rsid w:val="00E662CB"/>
    <w:rsid w:val="00E670BA"/>
    <w:rsid w:val="00E710A9"/>
    <w:rsid w:val="00E7288F"/>
    <w:rsid w:val="00E74649"/>
    <w:rsid w:val="00E756EE"/>
    <w:rsid w:val="00E768EE"/>
    <w:rsid w:val="00E76A62"/>
    <w:rsid w:val="00E81CB9"/>
    <w:rsid w:val="00E83DFE"/>
    <w:rsid w:val="00E84D73"/>
    <w:rsid w:val="00E866AC"/>
    <w:rsid w:val="00E86B13"/>
    <w:rsid w:val="00E87F19"/>
    <w:rsid w:val="00E90978"/>
    <w:rsid w:val="00E9172C"/>
    <w:rsid w:val="00E927C8"/>
    <w:rsid w:val="00E937E2"/>
    <w:rsid w:val="00E93D35"/>
    <w:rsid w:val="00E97D4C"/>
    <w:rsid w:val="00EA2E70"/>
    <w:rsid w:val="00EA458B"/>
    <w:rsid w:val="00EA5C97"/>
    <w:rsid w:val="00EA605A"/>
    <w:rsid w:val="00EA6686"/>
    <w:rsid w:val="00EB01BD"/>
    <w:rsid w:val="00EB070B"/>
    <w:rsid w:val="00EB4567"/>
    <w:rsid w:val="00EB6AD5"/>
    <w:rsid w:val="00EB77C1"/>
    <w:rsid w:val="00EC0416"/>
    <w:rsid w:val="00EC1FA4"/>
    <w:rsid w:val="00ED08C0"/>
    <w:rsid w:val="00ED12C0"/>
    <w:rsid w:val="00ED5B68"/>
    <w:rsid w:val="00ED78C4"/>
    <w:rsid w:val="00EE352A"/>
    <w:rsid w:val="00EE4AD7"/>
    <w:rsid w:val="00EE5041"/>
    <w:rsid w:val="00EE5499"/>
    <w:rsid w:val="00EE57DE"/>
    <w:rsid w:val="00EE7AB0"/>
    <w:rsid w:val="00EF075E"/>
    <w:rsid w:val="00F01904"/>
    <w:rsid w:val="00F0191A"/>
    <w:rsid w:val="00F0288E"/>
    <w:rsid w:val="00F1313F"/>
    <w:rsid w:val="00F13825"/>
    <w:rsid w:val="00F148FC"/>
    <w:rsid w:val="00F16525"/>
    <w:rsid w:val="00F16B90"/>
    <w:rsid w:val="00F177F9"/>
    <w:rsid w:val="00F207DA"/>
    <w:rsid w:val="00F229F2"/>
    <w:rsid w:val="00F235C9"/>
    <w:rsid w:val="00F26F1C"/>
    <w:rsid w:val="00F2717A"/>
    <w:rsid w:val="00F3439B"/>
    <w:rsid w:val="00F34B26"/>
    <w:rsid w:val="00F3659C"/>
    <w:rsid w:val="00F40193"/>
    <w:rsid w:val="00F41657"/>
    <w:rsid w:val="00F41766"/>
    <w:rsid w:val="00F42EC2"/>
    <w:rsid w:val="00F46D34"/>
    <w:rsid w:val="00F50E07"/>
    <w:rsid w:val="00F518CF"/>
    <w:rsid w:val="00F52A93"/>
    <w:rsid w:val="00F575F8"/>
    <w:rsid w:val="00F57D3C"/>
    <w:rsid w:val="00F6082D"/>
    <w:rsid w:val="00F61D8A"/>
    <w:rsid w:val="00F61F77"/>
    <w:rsid w:val="00F62295"/>
    <w:rsid w:val="00F63C5E"/>
    <w:rsid w:val="00F64F4B"/>
    <w:rsid w:val="00F66A61"/>
    <w:rsid w:val="00F71196"/>
    <w:rsid w:val="00F72996"/>
    <w:rsid w:val="00F72BF5"/>
    <w:rsid w:val="00F80706"/>
    <w:rsid w:val="00F8608A"/>
    <w:rsid w:val="00F86D67"/>
    <w:rsid w:val="00F906AF"/>
    <w:rsid w:val="00F92A59"/>
    <w:rsid w:val="00F974BA"/>
    <w:rsid w:val="00FA017F"/>
    <w:rsid w:val="00FA274D"/>
    <w:rsid w:val="00FA4B1E"/>
    <w:rsid w:val="00FB2874"/>
    <w:rsid w:val="00FB4260"/>
    <w:rsid w:val="00FB4B5F"/>
    <w:rsid w:val="00FB57D2"/>
    <w:rsid w:val="00FB6195"/>
    <w:rsid w:val="00FB6238"/>
    <w:rsid w:val="00FB7F33"/>
    <w:rsid w:val="00FC0171"/>
    <w:rsid w:val="00FC0305"/>
    <w:rsid w:val="00FC41E9"/>
    <w:rsid w:val="00FC4499"/>
    <w:rsid w:val="00FC6076"/>
    <w:rsid w:val="00FD0E73"/>
    <w:rsid w:val="00FD28E5"/>
    <w:rsid w:val="00FE0901"/>
    <w:rsid w:val="00FE1B86"/>
    <w:rsid w:val="00FF0EF0"/>
    <w:rsid w:val="00FF3051"/>
    <w:rsid w:val="00FF32C1"/>
    <w:rsid w:val="00FF486B"/>
    <w:rsid w:val="00FF59AB"/>
    <w:rsid w:val="00FF5C2A"/>
    <w:rsid w:val="00FF5D74"/>
    <w:rsid w:val="10F8603D"/>
    <w:rsid w:val="1C1A7AA9"/>
    <w:rsid w:val="6BC67859"/>
    <w:rsid w:val="6BD82770"/>
    <w:rsid w:val="762F0C47"/>
    <w:rsid w:val="7D2B13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65"/>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59"/>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66"/>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7"/>
    <w:semiHidden/>
    <w:unhideWhenUsed/>
    <w:qFormat/>
    <w:uiPriority w:val="99"/>
    <w:pPr>
      <w:spacing w:after="0" w:line="240" w:lineRule="auto"/>
    </w:pPr>
    <w:rPr>
      <w:rFonts w:ascii="Tahoma" w:hAnsi="Tahoma" w:cs="Tahoma"/>
      <w:sz w:val="16"/>
      <w:szCs w:val="16"/>
    </w:rPr>
  </w:style>
  <w:style w:type="paragraph" w:styleId="9">
    <w:name w:val="Body Text"/>
    <w:basedOn w:val="1"/>
    <w:link w:val="38"/>
    <w:qFormat/>
    <w:uiPriority w:val="0"/>
    <w:pPr>
      <w:widowControl w:val="0"/>
      <w:suppressAutoHyphens/>
      <w:spacing w:after="120" w:line="240" w:lineRule="auto"/>
    </w:pPr>
    <w:rPr>
      <w:rFonts w:ascii="Times New Roman" w:hAnsi="Times New Roman" w:eastAsia="Lucida Sans Unicode" w:cs="Times New Roman"/>
      <w:sz w:val="24"/>
      <w:szCs w:val="24"/>
    </w:rPr>
  </w:style>
  <w:style w:type="character" w:styleId="10">
    <w:name w:val="Emphasis"/>
    <w:basedOn w:val="6"/>
    <w:qFormat/>
    <w:uiPriority w:val="20"/>
    <w:rPr>
      <w:i/>
      <w:iCs/>
    </w:rPr>
  </w:style>
  <w:style w:type="character" w:styleId="11">
    <w:name w:val="FollowedHyperlink"/>
    <w:basedOn w:val="6"/>
    <w:semiHidden/>
    <w:unhideWhenUsed/>
    <w:qFormat/>
    <w:uiPriority w:val="99"/>
    <w:rPr>
      <w:color w:val="800080" w:themeColor="followedHyperlink"/>
      <w:u w:val="single"/>
      <w14:textFill>
        <w14:solidFill>
          <w14:schemeClr w14:val="folHlink"/>
        </w14:solidFill>
      </w14:textFill>
    </w:rPr>
  </w:style>
  <w:style w:type="paragraph" w:styleId="12">
    <w:name w:val="footer"/>
    <w:basedOn w:val="1"/>
    <w:link w:val="32"/>
    <w:unhideWhenUsed/>
    <w:qFormat/>
    <w:uiPriority w:val="99"/>
    <w:pPr>
      <w:tabs>
        <w:tab w:val="center" w:pos="4320"/>
        <w:tab w:val="right" w:pos="8640"/>
      </w:tabs>
      <w:spacing w:after="0" w:line="240" w:lineRule="auto"/>
    </w:pPr>
  </w:style>
  <w:style w:type="paragraph" w:styleId="13">
    <w:name w:val="header"/>
    <w:basedOn w:val="1"/>
    <w:link w:val="31"/>
    <w:unhideWhenUsed/>
    <w:qFormat/>
    <w:uiPriority w:val="99"/>
    <w:pPr>
      <w:tabs>
        <w:tab w:val="center" w:pos="4320"/>
        <w:tab w:val="right" w:pos="8640"/>
      </w:tabs>
      <w:spacing w:after="0" w:line="240" w:lineRule="auto"/>
    </w:pPr>
  </w:style>
  <w:style w:type="character" w:styleId="14">
    <w:name w:val="HTML Cite"/>
    <w:basedOn w:val="6"/>
    <w:semiHidden/>
    <w:unhideWhenUsed/>
    <w:qFormat/>
    <w:uiPriority w:val="99"/>
    <w:rPr>
      <w:i/>
      <w:iCs/>
    </w:rPr>
  </w:style>
  <w:style w:type="character" w:styleId="15">
    <w:name w:val="HTML Code"/>
    <w:basedOn w:val="6"/>
    <w:semiHidden/>
    <w:unhideWhenUsed/>
    <w:uiPriority w:val="99"/>
    <w:rPr>
      <w:rFonts w:ascii="Courier New" w:hAnsi="Courier New" w:eastAsia="Times New Roman" w:cs="Courier New"/>
      <w:sz w:val="20"/>
      <w:szCs w:val="20"/>
    </w:rPr>
  </w:style>
  <w:style w:type="character" w:styleId="16">
    <w:name w:val="Hyperlink"/>
    <w:basedOn w:val="6"/>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8">
    <w:name w:val="page number"/>
    <w:basedOn w:val="6"/>
    <w:qFormat/>
    <w:uiPriority w:val="0"/>
  </w:style>
  <w:style w:type="character" w:styleId="19">
    <w:name w:val="Strong"/>
    <w:basedOn w:val="6"/>
    <w:qFormat/>
    <w:uiPriority w:val="22"/>
    <w:rPr>
      <w:b/>
      <w:bCs/>
    </w:rPr>
  </w:style>
  <w:style w:type="table" w:styleId="20">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oc 1"/>
    <w:basedOn w:val="1"/>
    <w:next w:val="1"/>
    <w:autoRedefine/>
    <w:unhideWhenUsed/>
    <w:qFormat/>
    <w:uiPriority w:val="39"/>
    <w:pPr>
      <w:tabs>
        <w:tab w:val="left" w:pos="567"/>
        <w:tab w:val="right" w:leader="dot" w:pos="9350"/>
      </w:tabs>
      <w:spacing w:after="100"/>
      <w:ind w:left="709" w:hanging="709"/>
      <w:jc w:val="center"/>
    </w:pPr>
    <w:rPr>
      <w:rFonts w:asciiTheme="majorBidi" w:hAnsiTheme="majorBidi"/>
    </w:r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qFormat/>
    <w:uiPriority w:val="39"/>
    <w:pPr>
      <w:spacing w:after="100" w:line="259" w:lineRule="auto"/>
      <w:ind w:left="440"/>
    </w:pPr>
    <w:rPr>
      <w:rFonts w:eastAsiaTheme="minorEastAsia"/>
    </w:rPr>
  </w:style>
  <w:style w:type="paragraph" w:styleId="24">
    <w:name w:val="toc 4"/>
    <w:basedOn w:val="1"/>
    <w:next w:val="1"/>
    <w:autoRedefine/>
    <w:unhideWhenUsed/>
    <w:qFormat/>
    <w:uiPriority w:val="39"/>
    <w:pPr>
      <w:spacing w:after="100" w:line="259" w:lineRule="auto"/>
      <w:ind w:left="660"/>
    </w:pPr>
    <w:rPr>
      <w:rFonts w:eastAsiaTheme="minorEastAsia"/>
    </w:rPr>
  </w:style>
  <w:style w:type="paragraph" w:styleId="25">
    <w:name w:val="toc 5"/>
    <w:basedOn w:val="1"/>
    <w:next w:val="1"/>
    <w:autoRedefine/>
    <w:unhideWhenUsed/>
    <w:uiPriority w:val="39"/>
    <w:pPr>
      <w:spacing w:after="100" w:line="259" w:lineRule="auto"/>
      <w:ind w:left="880"/>
    </w:pPr>
    <w:rPr>
      <w:rFonts w:eastAsiaTheme="minorEastAsia"/>
    </w:rPr>
  </w:style>
  <w:style w:type="paragraph" w:styleId="26">
    <w:name w:val="toc 6"/>
    <w:basedOn w:val="1"/>
    <w:next w:val="1"/>
    <w:autoRedefine/>
    <w:unhideWhenUsed/>
    <w:qFormat/>
    <w:uiPriority w:val="39"/>
    <w:pPr>
      <w:spacing w:after="100" w:line="259" w:lineRule="auto"/>
      <w:ind w:left="1100"/>
    </w:pPr>
    <w:rPr>
      <w:rFonts w:eastAsiaTheme="minorEastAsia"/>
    </w:rPr>
  </w:style>
  <w:style w:type="paragraph" w:styleId="27">
    <w:name w:val="toc 7"/>
    <w:basedOn w:val="1"/>
    <w:next w:val="1"/>
    <w:autoRedefine/>
    <w:unhideWhenUsed/>
    <w:qFormat/>
    <w:uiPriority w:val="39"/>
    <w:pPr>
      <w:spacing w:after="100" w:line="259" w:lineRule="auto"/>
      <w:ind w:left="1320"/>
    </w:pPr>
    <w:rPr>
      <w:rFonts w:eastAsiaTheme="minorEastAsia"/>
    </w:rPr>
  </w:style>
  <w:style w:type="paragraph" w:styleId="28">
    <w:name w:val="toc 8"/>
    <w:basedOn w:val="1"/>
    <w:next w:val="1"/>
    <w:autoRedefine/>
    <w:unhideWhenUsed/>
    <w:uiPriority w:val="39"/>
    <w:pPr>
      <w:spacing w:after="100" w:line="259" w:lineRule="auto"/>
      <w:ind w:left="1540"/>
    </w:pPr>
    <w:rPr>
      <w:rFonts w:eastAsiaTheme="minorEastAsia"/>
    </w:rPr>
  </w:style>
  <w:style w:type="paragraph" w:styleId="29">
    <w:name w:val="toc 9"/>
    <w:basedOn w:val="1"/>
    <w:next w:val="1"/>
    <w:autoRedefine/>
    <w:unhideWhenUsed/>
    <w:uiPriority w:val="39"/>
    <w:pPr>
      <w:spacing w:after="100" w:line="259" w:lineRule="auto"/>
      <w:ind w:left="1760"/>
    </w:pPr>
    <w:rPr>
      <w:rFonts w:eastAsiaTheme="minorEastAsia"/>
    </w:rPr>
  </w:style>
  <w:style w:type="paragraph" w:styleId="30">
    <w:name w:val="List Paragraph"/>
    <w:basedOn w:val="1"/>
    <w:qFormat/>
    <w:uiPriority w:val="34"/>
    <w:pPr>
      <w:ind w:left="720"/>
      <w:contextualSpacing/>
    </w:pPr>
  </w:style>
  <w:style w:type="character" w:customStyle="1" w:styleId="31">
    <w:name w:val="Header Char"/>
    <w:basedOn w:val="6"/>
    <w:link w:val="13"/>
    <w:qFormat/>
    <w:uiPriority w:val="99"/>
  </w:style>
  <w:style w:type="character" w:customStyle="1" w:styleId="32">
    <w:name w:val="Footer Char"/>
    <w:basedOn w:val="6"/>
    <w:link w:val="12"/>
    <w:qFormat/>
    <w:uiPriority w:val="99"/>
  </w:style>
  <w:style w:type="paragraph" w:customStyle="1" w:styleId="33">
    <w:name w:val="HTML Top of Form"/>
    <w:basedOn w:val="1"/>
    <w:next w:val="1"/>
    <w:link w:val="34"/>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34">
    <w:name w:val="z-Top of Form Char"/>
    <w:basedOn w:val="6"/>
    <w:link w:val="33"/>
    <w:qFormat/>
    <w:uiPriority w:val="99"/>
    <w:rPr>
      <w:rFonts w:ascii="Arial" w:hAnsi="Arial" w:eastAsia="Times New Roman" w:cs="Arial"/>
      <w:vanish/>
      <w:sz w:val="16"/>
      <w:szCs w:val="16"/>
    </w:rPr>
  </w:style>
  <w:style w:type="paragraph" w:customStyle="1" w:styleId="35">
    <w:name w:val="HTML Bottom of Form"/>
    <w:basedOn w:val="1"/>
    <w:next w:val="1"/>
    <w:link w:val="36"/>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36">
    <w:name w:val="z-Bottom of Form Char"/>
    <w:basedOn w:val="6"/>
    <w:link w:val="35"/>
    <w:semiHidden/>
    <w:qFormat/>
    <w:uiPriority w:val="99"/>
    <w:rPr>
      <w:rFonts w:ascii="Arial" w:hAnsi="Arial" w:eastAsia="Times New Roman" w:cs="Arial"/>
      <w:vanish/>
      <w:sz w:val="16"/>
      <w:szCs w:val="16"/>
    </w:rPr>
  </w:style>
  <w:style w:type="character" w:customStyle="1" w:styleId="37">
    <w:name w:val="Balloon Text Char"/>
    <w:basedOn w:val="6"/>
    <w:link w:val="8"/>
    <w:semiHidden/>
    <w:qFormat/>
    <w:uiPriority w:val="99"/>
    <w:rPr>
      <w:rFonts w:ascii="Tahoma" w:hAnsi="Tahoma" w:cs="Tahoma"/>
      <w:sz w:val="16"/>
      <w:szCs w:val="16"/>
    </w:rPr>
  </w:style>
  <w:style w:type="character" w:customStyle="1" w:styleId="38">
    <w:name w:val="Body Text Char"/>
    <w:basedOn w:val="6"/>
    <w:link w:val="9"/>
    <w:qFormat/>
    <w:uiPriority w:val="0"/>
    <w:rPr>
      <w:rFonts w:ascii="Times New Roman" w:hAnsi="Times New Roman" w:eastAsia="Lucida Sans Unicode" w:cs="Times New Roman"/>
      <w:sz w:val="24"/>
      <w:szCs w:val="24"/>
    </w:rPr>
  </w:style>
  <w:style w:type="paragraph" w:styleId="39">
    <w:name w:val="No Spacing"/>
    <w:link w:val="40"/>
    <w:qFormat/>
    <w:uiPriority w:val="1"/>
    <w:pPr>
      <w:spacing w:after="0" w:line="240" w:lineRule="auto"/>
    </w:pPr>
    <w:rPr>
      <w:rFonts w:ascii="Calibri" w:hAnsi="Calibri" w:eastAsia="Calibri" w:cs="Times New Roman"/>
      <w:sz w:val="22"/>
      <w:szCs w:val="22"/>
      <w:lang w:val="en-US" w:eastAsia="en-US" w:bidi="ar-SA"/>
    </w:rPr>
  </w:style>
  <w:style w:type="character" w:customStyle="1" w:styleId="40">
    <w:name w:val="No Spacing Char"/>
    <w:basedOn w:val="6"/>
    <w:link w:val="39"/>
    <w:qFormat/>
    <w:uiPriority w:val="1"/>
    <w:rPr>
      <w:rFonts w:ascii="Calibri" w:hAnsi="Calibri" w:eastAsia="Calibri" w:cs="Times New Roman"/>
    </w:rPr>
  </w:style>
  <w:style w:type="character" w:customStyle="1" w:styleId="41">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authorname"/>
    <w:basedOn w:val="6"/>
    <w:qFormat/>
    <w:uiPriority w:val="0"/>
  </w:style>
  <w:style w:type="character" w:customStyle="1" w:styleId="43">
    <w:name w:val="separator"/>
    <w:basedOn w:val="6"/>
    <w:qFormat/>
    <w:uiPriority w:val="0"/>
  </w:style>
  <w:style w:type="character" w:customStyle="1" w:styleId="44">
    <w:name w:val="Date1"/>
    <w:basedOn w:val="6"/>
    <w:qFormat/>
    <w:uiPriority w:val="0"/>
  </w:style>
  <w:style w:type="character" w:customStyle="1" w:styleId="45">
    <w:name w:val="art_title"/>
    <w:basedOn w:val="6"/>
    <w:qFormat/>
    <w:uiPriority w:val="0"/>
  </w:style>
  <w:style w:type="character" w:customStyle="1" w:styleId="46">
    <w:name w:val="serial_title"/>
    <w:basedOn w:val="6"/>
    <w:qFormat/>
    <w:uiPriority w:val="0"/>
  </w:style>
  <w:style w:type="character" w:customStyle="1" w:styleId="47">
    <w:name w:val="volume_issue"/>
    <w:basedOn w:val="6"/>
    <w:qFormat/>
    <w:uiPriority w:val="0"/>
  </w:style>
  <w:style w:type="character" w:customStyle="1" w:styleId="48">
    <w:name w:val="page_range"/>
    <w:basedOn w:val="6"/>
    <w:qFormat/>
    <w:uiPriority w:val="0"/>
  </w:style>
  <w:style w:type="character" w:customStyle="1" w:styleId="49">
    <w:name w:val="doi_link"/>
    <w:basedOn w:val="6"/>
    <w:qFormat/>
    <w:uiPriority w:val="0"/>
  </w:style>
  <w:style w:type="paragraph" w:customStyle="1" w:styleId="50">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customStyle="1" w:styleId="51">
    <w:name w:val="TOC Heading"/>
    <w:basedOn w:val="2"/>
    <w:next w:val="1"/>
    <w:unhideWhenUsed/>
    <w:qFormat/>
    <w:uiPriority w:val="39"/>
    <w:pPr>
      <w:spacing w:before="240" w:line="259" w:lineRule="auto"/>
      <w:outlineLvl w:val="9"/>
    </w:pPr>
    <w:rPr>
      <w:b w:val="0"/>
      <w:bCs w:val="0"/>
      <w:sz w:val="32"/>
      <w:szCs w:val="32"/>
    </w:rPr>
  </w:style>
  <w:style w:type="character" w:customStyle="1" w:styleId="52">
    <w:name w:val="authors"/>
    <w:basedOn w:val="6"/>
    <w:qFormat/>
    <w:uiPriority w:val="0"/>
  </w:style>
  <w:style w:type="character" w:customStyle="1" w:styleId="53">
    <w:name w:val="citation_source-journal"/>
    <w:basedOn w:val="6"/>
    <w:qFormat/>
    <w:uiPriority w:val="0"/>
  </w:style>
  <w:style w:type="character" w:customStyle="1" w:styleId="54">
    <w:name w:val="hgkelc"/>
    <w:basedOn w:val="6"/>
    <w:qFormat/>
    <w:uiPriority w:val="0"/>
  </w:style>
  <w:style w:type="paragraph" w:customStyle="1" w:styleId="55">
    <w:name w:val="c-article-references__text"/>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56">
    <w:name w:val="author-pic"/>
    <w:basedOn w:val="6"/>
    <w:uiPriority w:val="0"/>
  </w:style>
  <w:style w:type="character" w:customStyle="1" w:styleId="57">
    <w:name w:val="authorinfo"/>
    <w:basedOn w:val="6"/>
    <w:qFormat/>
    <w:uiPriority w:val="0"/>
  </w:style>
  <w:style w:type="character" w:customStyle="1" w:styleId="58">
    <w:name w:val="datepublished"/>
    <w:basedOn w:val="6"/>
    <w:qFormat/>
    <w:uiPriority w:val="0"/>
  </w:style>
  <w:style w:type="character" w:customStyle="1" w:styleId="59">
    <w:name w:val="Heading 3 Char"/>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60">
    <w:name w:val="vuuxrf"/>
    <w:basedOn w:val="6"/>
    <w:qFormat/>
    <w:uiPriority w:val="0"/>
  </w:style>
  <w:style w:type="character" w:customStyle="1" w:styleId="61">
    <w:name w:val="kx21rb"/>
    <w:basedOn w:val="6"/>
    <w:qFormat/>
    <w:uiPriority w:val="0"/>
  </w:style>
  <w:style w:type="character" w:customStyle="1" w:styleId="62">
    <w:name w:val="ylgvce"/>
    <w:basedOn w:val="6"/>
    <w:qFormat/>
    <w:uiPriority w:val="0"/>
  </w:style>
  <w:style w:type="paragraph" w:customStyle="1" w:styleId="63">
    <w:name w:val="p64x9c"/>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64">
    <w:name w:val="spell_orig"/>
    <w:basedOn w:val="6"/>
    <w:qFormat/>
    <w:uiPriority w:val="0"/>
  </w:style>
  <w:style w:type="character" w:customStyle="1" w:styleId="65">
    <w:name w:val="Heading 2 Char"/>
    <w:basedOn w:val="6"/>
    <w:link w:val="3"/>
    <w:qFormat/>
    <w:uiPriority w:val="9"/>
    <w:rPr>
      <w:rFonts w:asciiTheme="majorHAnsi" w:hAnsiTheme="majorHAnsi" w:eastAsiaTheme="majorEastAsia" w:cstheme="majorBidi"/>
      <w:color w:val="376092" w:themeColor="accent1" w:themeShade="BF"/>
      <w:sz w:val="26"/>
      <w:szCs w:val="26"/>
    </w:rPr>
  </w:style>
  <w:style w:type="character" w:customStyle="1" w:styleId="66">
    <w:name w:val="Heading 4 Char"/>
    <w:basedOn w:val="6"/>
    <w:link w:val="5"/>
    <w:qFormat/>
    <w:uiPriority w:val="9"/>
    <w:rPr>
      <w:rFonts w:asciiTheme="majorHAnsi" w:hAnsiTheme="majorHAnsi" w:eastAsiaTheme="majorEastAsia" w:cstheme="majorBidi"/>
      <w:i/>
      <w:iCs/>
      <w:color w:val="376092" w:themeColor="accent1" w:themeShade="BF"/>
    </w:rPr>
  </w:style>
  <w:style w:type="paragraph" w:customStyle="1" w:styleId="67">
    <w:name w:val="Style1"/>
    <w:basedOn w:val="3"/>
    <w:link w:val="68"/>
    <w:qFormat/>
    <w:uiPriority w:val="0"/>
    <w:rPr>
      <w:rFonts w:asciiTheme="majorBidi" w:hAnsiTheme="majorBidi"/>
    </w:rPr>
  </w:style>
  <w:style w:type="character" w:customStyle="1" w:styleId="68">
    <w:name w:val="Style1 Char"/>
    <w:basedOn w:val="65"/>
    <w:link w:val="67"/>
    <w:uiPriority w:val="0"/>
    <w:rPr>
      <w:rFonts w:asciiTheme="majorBidi" w:hAnsiTheme="majorBidi" w:eastAsiaTheme="majorEastAsia" w:cstheme="majorBidi"/>
      <w:color w:val="376092" w:themeColor="accent1" w:themeShade="BF"/>
      <w:sz w:val="26"/>
      <w:szCs w:val="26"/>
    </w:rPr>
  </w:style>
  <w:style w:type="character" w:customStyle="1" w:styleId="69">
    <w:name w:val="text-token-text-secondary"/>
    <w:basedOn w:val="6"/>
    <w:qFormat/>
    <w:uiPriority w:val="0"/>
  </w:style>
  <w:style w:type="character" w:customStyle="1" w:styleId="70">
    <w:name w:val="h1"/>
    <w:basedOn w:val="6"/>
    <w:uiPriority w:val="0"/>
  </w:style>
  <w:style w:type="character" w:customStyle="1" w:styleId="71">
    <w:name w:val="Unresolved Mention1"/>
    <w:basedOn w:val="6"/>
    <w:semiHidden/>
    <w:unhideWhenUsed/>
    <w:uiPriority w:val="99"/>
    <w:rPr>
      <w:color w:val="605E5C"/>
      <w:shd w:val="clear" w:color="auto" w:fill="E1DFDD"/>
    </w:rPr>
  </w:style>
  <w:style w:type="character" w:customStyle="1" w:styleId="72">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5DADE9-1ACC-43DB-8B4C-65E2FF23023D}">
  <ds:schemaRefs/>
</ds:datastoreItem>
</file>

<file path=docProps/app.xml><?xml version="1.0" encoding="utf-8"?>
<Properties xmlns="http://schemas.openxmlformats.org/officeDocument/2006/extended-properties" xmlns:vt="http://schemas.openxmlformats.org/officeDocument/2006/docPropsVTypes">
  <Template>Normal</Template>
  <Pages>219</Pages>
  <Words>54951</Words>
  <Characters>313221</Characters>
  <Lines>2610</Lines>
  <Paragraphs>734</Paragraphs>
  <TotalTime>28</TotalTime>
  <ScaleCrop>false</ScaleCrop>
  <LinksUpToDate>false</LinksUpToDate>
  <CharactersWithSpaces>367438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2025-11-06T13:23:00Z</dcterms:created>
  <dc:creator>Principal-PC</dc:creator>
  <cp:lastModifiedBy>BOSONGOKISII TV</cp:lastModifiedBy>
  <cp:lastPrinted>2025-04-07T07:14:00Z</cp:lastPrinted>
  <dcterms:modified xsi:type="dcterms:W3CDTF">2025-11-07T17:41:00Z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6A3ED383A207420C9A2581B330494A31_12</vt:lpwstr>
  </property>
</Properties>
</file>