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2559087A">
      <w:pPr>
        <w:jc w:val="center"/>
        <w:rPr>
          <w:rFonts w:hint="default" w:ascii="Times New Roman" w:hAnsi="Times New Roman" w:cs="Times New Roman"/>
        </w:rPr>
      </w:pPr>
      <w:r>
        <w:rPr>
          <w:rFonts w:hint="default" w:ascii="Times New Roman" w:hAnsi="Times New Roman" w:cs="Times New Roman"/>
        </w:rPr>
        <w:drawing>
          <wp:inline distT="0" distB="0" distL="0" distR="0">
            <wp:extent cx="1638300" cy="1228725"/>
            <wp:effectExtent l="0" t="0" r="0"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pic:cNvPicPr>
                  </pic:nvPicPr>
                  <pic:blipFill>
                    <a:blip r:embed="rId8"/>
                    <a:stretch>
                      <a:fillRect/>
                    </a:stretch>
                  </pic:blipFill>
                  <pic:spPr>
                    <a:xfrm>
                      <a:off x="0" y="0"/>
                      <a:ext cx="1638096" cy="1228572"/>
                    </a:xfrm>
                    <a:prstGeom prst="rect">
                      <a:avLst/>
                    </a:prstGeom>
                  </pic:spPr>
                </pic:pic>
              </a:graphicData>
            </a:graphic>
          </wp:inline>
        </w:drawing>
      </w:r>
    </w:p>
    <w:tbl>
      <w:tblPr>
        <w:tblStyle w:val="4"/>
        <w:tblpPr w:leftFromText="187" w:rightFromText="187" w:horzAnchor="margin" w:tblpXSpec="center" w:tblpYSpec="bottom"/>
        <w:tblW w:w="4506" w:type="pct"/>
        <w:tblInd w:w="0" w:type="dxa"/>
        <w:tblLayout w:type="autofit"/>
        <w:tblCellMar>
          <w:top w:w="0" w:type="dxa"/>
          <w:left w:w="108" w:type="dxa"/>
          <w:bottom w:w="0" w:type="dxa"/>
          <w:right w:w="108" w:type="dxa"/>
        </w:tblCellMar>
      </w:tblPr>
      <w:tblGrid>
        <w:gridCol w:w="7680"/>
      </w:tblGrid>
      <w:tr w14:paraId="657908AD">
        <w:tblPrEx>
          <w:tblCellMar>
            <w:top w:w="0" w:type="dxa"/>
            <w:left w:w="108" w:type="dxa"/>
            <w:bottom w:w="0" w:type="dxa"/>
            <w:right w:w="108" w:type="dxa"/>
          </w:tblCellMar>
        </w:tblPrEx>
        <w:tc>
          <w:tcPr>
            <w:tcW w:w="5000" w:type="pct"/>
          </w:tcPr>
          <w:p w14:paraId="1EABC124">
            <w:pPr>
              <w:pStyle w:val="10"/>
              <w:jc w:val="center"/>
              <w:rPr>
                <w:rFonts w:hint="default" w:ascii="Times New Roman" w:hAnsi="Times New Roman" w:cs="Times New Roman"/>
              </w:rPr>
            </w:pPr>
          </w:p>
        </w:tc>
      </w:tr>
    </w:tbl>
    <w:p w14:paraId="59630F9B">
      <w:pPr>
        <w:jc w:val="left"/>
        <w:rPr>
          <w:rFonts w:hint="default" w:ascii="Times New Roman" w:hAnsi="Times New Roman" w:cs="Times New Roman"/>
          <w:b/>
          <w:sz w:val="36"/>
          <w:szCs w:val="21"/>
        </w:rPr>
      </w:pPr>
      <w:r>
        <w:rPr>
          <w:rFonts w:hint="default" w:ascii="Times New Roman" w:hAnsi="Times New Roman" w:cs="Times New Roman"/>
          <w:b/>
          <w:sz w:val="36"/>
          <w:szCs w:val="21"/>
        </w:rPr>
        <w:t>GARISSA UNIVERSITY</w:t>
      </w:r>
    </w:p>
    <w:p w14:paraId="7A5C5E1D">
      <w:pPr>
        <w:jc w:val="left"/>
        <w:rPr>
          <w:rFonts w:hint="default" w:ascii="Times New Roman" w:hAnsi="Times New Roman" w:cs="Times New Roman"/>
          <w:b/>
          <w:sz w:val="36"/>
          <w:szCs w:val="21"/>
        </w:rPr>
      </w:pPr>
      <w:r>
        <w:rPr>
          <w:rFonts w:hint="default" w:ascii="Times New Roman" w:hAnsi="Times New Roman" w:cs="Times New Roman"/>
          <w:b/>
          <w:sz w:val="36"/>
          <w:szCs w:val="21"/>
        </w:rPr>
        <w:t>SCHOOL OF EDUCATION, ARTS AND SOCIAL SCIENCES</w:t>
      </w:r>
    </w:p>
    <w:p w14:paraId="4A3918AD">
      <w:pPr>
        <w:jc w:val="left"/>
        <w:rPr>
          <w:rFonts w:hint="default" w:ascii="Times New Roman" w:hAnsi="Times New Roman" w:cs="Times New Roman"/>
          <w:b/>
          <w:sz w:val="36"/>
          <w:szCs w:val="21"/>
          <w:lang w:val="en-US"/>
        </w:rPr>
      </w:pPr>
      <w:r>
        <w:rPr>
          <w:rFonts w:hint="default" w:ascii="Times New Roman" w:hAnsi="Times New Roman" w:cs="Times New Roman"/>
          <w:b/>
          <w:sz w:val="36"/>
          <w:szCs w:val="21"/>
          <w:lang w:val="en-US"/>
        </w:rPr>
        <w:t>DEPARTMENT: EDUCATION ARTS AND POSTGRADUATE STUDIES</w:t>
      </w:r>
    </w:p>
    <w:p w14:paraId="49ED5BFF">
      <w:pPr>
        <w:jc w:val="left"/>
        <w:rPr>
          <w:rFonts w:hint="default" w:ascii="Times New Roman" w:hAnsi="Times New Roman" w:cs="Times New Roman"/>
          <w:b/>
          <w:sz w:val="36"/>
          <w:szCs w:val="21"/>
        </w:rPr>
      </w:pPr>
      <w:r>
        <w:rPr>
          <w:rFonts w:hint="default" w:ascii="Times New Roman" w:hAnsi="Times New Roman" w:cs="Times New Roman"/>
          <w:b/>
          <w:sz w:val="36"/>
          <w:szCs w:val="21"/>
        </w:rPr>
        <w:t>PROGRAMME: MASTER OF EDUCATION IN CURRICULUM</w:t>
      </w:r>
      <w:r>
        <w:rPr>
          <w:rFonts w:hint="default" w:ascii="Times New Roman" w:hAnsi="Times New Roman" w:cs="Times New Roman"/>
          <w:b/>
          <w:sz w:val="36"/>
          <w:szCs w:val="21"/>
          <w:lang w:val="en-US"/>
        </w:rPr>
        <w:t xml:space="preserve"> </w:t>
      </w:r>
      <w:r>
        <w:rPr>
          <w:rFonts w:hint="default" w:ascii="Times New Roman" w:hAnsi="Times New Roman" w:cs="Times New Roman"/>
          <w:b/>
          <w:sz w:val="36"/>
          <w:szCs w:val="21"/>
        </w:rPr>
        <w:t>STUDIES</w:t>
      </w:r>
    </w:p>
    <w:p w14:paraId="2AE9246F">
      <w:pPr>
        <w:rPr>
          <w:rFonts w:hint="default" w:ascii="Times New Roman" w:hAnsi="Times New Roman" w:cs="Times New Roman"/>
          <w:b/>
          <w:bCs w:val="0"/>
          <w:sz w:val="36"/>
          <w:szCs w:val="36"/>
        </w:rPr>
      </w:pPr>
      <w:r>
        <w:rPr>
          <w:rFonts w:hint="default" w:ascii="Times New Roman" w:hAnsi="Times New Roman" w:cs="Times New Roman"/>
          <w:b/>
          <w:bCs w:val="0"/>
          <w:sz w:val="36"/>
          <w:szCs w:val="36"/>
        </w:rPr>
        <w:t>UNIT TITLE:  CURRICULUM MONITORING AND EVALUATION</w:t>
      </w:r>
    </w:p>
    <w:p w14:paraId="52168C6E">
      <w:pPr>
        <w:jc w:val="left"/>
        <w:rPr>
          <w:rFonts w:hint="default" w:ascii="Times New Roman" w:hAnsi="Times New Roman" w:cs="Times New Roman"/>
          <w:b/>
          <w:bCs w:val="0"/>
          <w:sz w:val="36"/>
          <w:szCs w:val="36"/>
          <w:lang w:val="en-US"/>
        </w:rPr>
      </w:pPr>
      <w:r>
        <w:rPr>
          <w:rFonts w:hint="default" w:ascii="Times New Roman" w:hAnsi="Times New Roman" w:cs="Times New Roman"/>
          <w:b/>
          <w:bCs w:val="0"/>
          <w:sz w:val="36"/>
          <w:szCs w:val="36"/>
        </w:rPr>
        <w:t>UNIT CODE: CIM 8123</w:t>
      </w:r>
    </w:p>
    <w:p w14:paraId="243EF185">
      <w:pPr>
        <w:jc w:val="left"/>
        <w:rPr>
          <w:rFonts w:hint="default" w:ascii="Times New Roman" w:hAnsi="Times New Roman" w:cs="Times New Roman"/>
          <w:b/>
          <w:sz w:val="36"/>
          <w:szCs w:val="21"/>
        </w:rPr>
      </w:pPr>
      <w:r>
        <w:rPr>
          <w:rFonts w:hint="default" w:ascii="Times New Roman" w:hAnsi="Times New Roman" w:cs="Times New Roman"/>
          <w:b/>
          <w:sz w:val="36"/>
          <w:szCs w:val="21"/>
        </w:rPr>
        <w:t xml:space="preserve">YEAR 1 SEMESTER </w:t>
      </w:r>
      <w:r>
        <w:rPr>
          <w:rFonts w:hint="default" w:ascii="Times New Roman" w:hAnsi="Times New Roman" w:cs="Times New Roman"/>
          <w:b/>
          <w:sz w:val="36"/>
          <w:szCs w:val="21"/>
          <w:lang w:val="en-US"/>
        </w:rPr>
        <w:t>2</w:t>
      </w:r>
      <w:r>
        <w:rPr>
          <w:rFonts w:hint="default" w:ascii="Times New Roman" w:hAnsi="Times New Roman" w:cs="Times New Roman"/>
          <w:b/>
          <w:sz w:val="36"/>
          <w:szCs w:val="21"/>
        </w:rPr>
        <w:t>(</w:t>
      </w:r>
      <w:r>
        <w:rPr>
          <w:rFonts w:hint="default" w:ascii="Times New Roman" w:hAnsi="Times New Roman" w:cs="Times New Roman"/>
          <w:b/>
          <w:sz w:val="36"/>
          <w:szCs w:val="21"/>
          <w:lang w:val="en-US"/>
        </w:rPr>
        <w:t>SEP-DEC</w:t>
      </w:r>
      <w:r>
        <w:rPr>
          <w:rFonts w:hint="default" w:ascii="Times New Roman" w:hAnsi="Times New Roman" w:cs="Times New Roman"/>
          <w:b/>
          <w:sz w:val="36"/>
          <w:szCs w:val="21"/>
        </w:rPr>
        <w:t>) 2025</w:t>
      </w:r>
    </w:p>
    <w:p w14:paraId="0CB6C13E">
      <w:pPr>
        <w:jc w:val="left"/>
        <w:rPr>
          <w:rFonts w:hint="default" w:ascii="Times New Roman" w:hAnsi="Times New Roman" w:cs="Times New Roman"/>
          <w:b/>
          <w:sz w:val="36"/>
          <w:szCs w:val="21"/>
        </w:rPr>
      </w:pPr>
      <w:r>
        <w:rPr>
          <w:rFonts w:hint="default" w:ascii="Times New Roman" w:hAnsi="Times New Roman" w:cs="Times New Roman"/>
          <w:b/>
          <w:sz w:val="36"/>
          <w:szCs w:val="21"/>
        </w:rPr>
        <w:t xml:space="preserve">TO: </w:t>
      </w:r>
      <w:r>
        <w:rPr>
          <w:rFonts w:hint="default" w:ascii="Times New Roman" w:hAnsi="Times New Roman" w:cs="Times New Roman"/>
          <w:b/>
          <w:bCs/>
          <w:sz w:val="36"/>
          <w:szCs w:val="21"/>
        </w:rPr>
        <w:t>DR. ROSALIA MUMO</w:t>
      </w:r>
    </w:p>
    <w:p w14:paraId="5C6012A8">
      <w:pPr>
        <w:jc w:val="left"/>
        <w:rPr>
          <w:rFonts w:hint="default" w:ascii="Times New Roman" w:hAnsi="Times New Roman" w:cs="Times New Roman"/>
          <w:b/>
          <w:sz w:val="36"/>
          <w:szCs w:val="21"/>
        </w:rPr>
      </w:pPr>
      <w:r>
        <w:rPr>
          <w:rFonts w:hint="default" w:ascii="Times New Roman" w:hAnsi="Times New Roman" w:cs="Times New Roman"/>
          <w:b/>
          <w:sz w:val="36"/>
          <w:szCs w:val="21"/>
        </w:rPr>
        <w:t>DATE:  0</w:t>
      </w:r>
      <w:r>
        <w:rPr>
          <w:rFonts w:hint="default" w:ascii="Times New Roman" w:hAnsi="Times New Roman" w:cs="Times New Roman"/>
          <w:b/>
          <w:sz w:val="36"/>
          <w:szCs w:val="21"/>
          <w:lang w:val="en-US"/>
        </w:rPr>
        <w:t>9/12/</w:t>
      </w:r>
      <w:r>
        <w:rPr>
          <w:rFonts w:hint="default" w:ascii="Times New Roman" w:hAnsi="Times New Roman" w:cs="Times New Roman"/>
          <w:b/>
          <w:sz w:val="36"/>
          <w:szCs w:val="21"/>
        </w:rPr>
        <w:t>2025</w:t>
      </w:r>
    </w:p>
    <w:p w14:paraId="28E55F6F">
      <w:pPr>
        <w:jc w:val="left"/>
        <w:rPr>
          <w:rFonts w:hint="default" w:ascii="Times New Roman" w:hAnsi="Times New Roman" w:cs="Times New Roman"/>
          <w:b/>
          <w:sz w:val="36"/>
          <w:szCs w:val="21"/>
          <w:lang w:val="en-US"/>
        </w:rPr>
      </w:pPr>
      <w:r>
        <w:rPr>
          <w:rFonts w:hint="default" w:ascii="Times New Roman" w:hAnsi="Times New Roman" w:cs="Times New Roman"/>
          <w:b/>
          <w:sz w:val="36"/>
          <w:szCs w:val="21"/>
        </w:rPr>
        <w:t>GROUP 1 WORK</w:t>
      </w:r>
      <w:r>
        <w:rPr>
          <w:rFonts w:hint="default" w:ascii="Times New Roman" w:hAnsi="Times New Roman" w:cs="Times New Roman"/>
          <w:b/>
          <w:sz w:val="36"/>
          <w:szCs w:val="21"/>
          <w:lang w:val="en-US"/>
        </w:rPr>
        <w:t>:</w:t>
      </w:r>
    </w:p>
    <w:p w14:paraId="576F516F">
      <w:pPr>
        <w:jc w:val="left"/>
        <w:rPr>
          <w:rFonts w:hint="default" w:ascii="Times New Roman" w:hAnsi="Times New Roman" w:cs="Times New Roman"/>
          <w:b/>
          <w:sz w:val="36"/>
          <w:szCs w:val="21"/>
        </w:rPr>
      </w:pPr>
      <w:r>
        <w:rPr>
          <w:rFonts w:hint="default" w:ascii="Times New Roman" w:hAnsi="Times New Roman" w:cs="Times New Roman"/>
          <w:b/>
          <w:sz w:val="36"/>
          <w:szCs w:val="21"/>
        </w:rPr>
        <w:t>MEMBERS</w:t>
      </w:r>
    </w:p>
    <w:p w14:paraId="59CD87E5">
      <w:pPr>
        <w:rPr>
          <w:rFonts w:hint="default" w:ascii="Times New Roman" w:hAnsi="Times New Roman" w:cs="Times New Roman"/>
          <w:sz w:val="24"/>
          <w:szCs w:val="24"/>
        </w:rPr>
      </w:pPr>
      <w:r>
        <w:rPr>
          <w:rFonts w:hint="default" w:ascii="Times New Roman" w:hAnsi="Times New Roman" w:cs="Times New Roman"/>
          <w:sz w:val="24"/>
          <w:szCs w:val="24"/>
        </w:rPr>
        <w:drawing>
          <wp:inline distT="0" distB="0" distL="0" distR="0">
            <wp:extent cx="5941695" cy="2623185"/>
            <wp:effectExtent l="0" t="0" r="1905" b="571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pic:cNvPicPr>
                  </pic:nvPicPr>
                  <pic:blipFill>
                    <a:blip r:embed="rId9"/>
                    <a:stretch>
                      <a:fillRect/>
                    </a:stretch>
                  </pic:blipFill>
                  <pic:spPr>
                    <a:xfrm>
                      <a:off x="0" y="0"/>
                      <a:ext cx="5943600" cy="2623185"/>
                    </a:xfrm>
                    <a:prstGeom prst="rect">
                      <a:avLst/>
                    </a:prstGeom>
                  </pic:spPr>
                </pic:pic>
              </a:graphicData>
            </a:graphic>
          </wp:inline>
        </w:drawing>
      </w:r>
    </w:p>
    <w:p w14:paraId="19BEBEFF">
      <w:pPr>
        <w:rPr>
          <w:rFonts w:hint="default" w:ascii="Times New Roman" w:hAnsi="Times New Roman" w:cs="Times New Roman"/>
        </w:rPr>
      </w:pPr>
    </w:p>
    <w:p w14:paraId="41B969FA">
      <w:pPr>
        <w:rPr>
          <w:rFonts w:hint="default" w:ascii="Times New Roman" w:hAnsi="Times New Roman" w:cs="Times New Roman"/>
        </w:rPr>
      </w:pPr>
    </w:p>
    <w:p w14:paraId="54FCADF0">
      <w:pPr>
        <w:rPr>
          <w:rFonts w:hint="default" w:ascii="Times New Roman" w:hAnsi="Times New Roman" w:cs="Times New Roman"/>
        </w:rPr>
      </w:pPr>
    </w:p>
    <w:p w14:paraId="1F38DC40">
      <w:pPr>
        <w:rPr>
          <w:rFonts w:hint="default" w:ascii="Times New Roman" w:hAnsi="Times New Roman" w:cs="Times New Roman"/>
        </w:rPr>
      </w:pPr>
    </w:p>
    <w:p w14:paraId="793E8083">
      <w:pPr>
        <w:rPr>
          <w:rFonts w:hint="default" w:ascii="Times New Roman" w:hAnsi="Times New Roman" w:cs="Times New Roman"/>
        </w:rPr>
      </w:pPr>
    </w:p>
    <w:p w14:paraId="4DEDCBF8">
      <w:pPr>
        <w:rPr>
          <w:rFonts w:hint="default" w:ascii="Times New Roman" w:hAnsi="Times New Roman" w:cs="Times New Roman"/>
        </w:rPr>
      </w:pPr>
    </w:p>
    <w:p w14:paraId="50013E99">
      <w:pPr>
        <w:jc w:val="center"/>
        <w:rPr>
          <w:rFonts w:hint="default" w:ascii="Times New Roman" w:hAnsi="Times New Roman" w:cs="Times New Roman"/>
          <w:b/>
          <w:bCs/>
          <w:sz w:val="32"/>
          <w:szCs w:val="32"/>
          <w:lang w:val="en-US"/>
        </w:rPr>
        <w:sectPr>
          <w:headerReference r:id="rId3" w:type="default"/>
          <w:footerReference r:id="rId4" w:type="default"/>
          <w:pgSz w:w="11906" w:h="16838"/>
          <w:pgMar w:top="1440" w:right="1800" w:bottom="1440" w:left="1800" w:header="720" w:footer="720" w:gutter="0"/>
          <w:cols w:space="720" w:num="1"/>
          <w:docGrid w:linePitch="360" w:charSpace="0"/>
        </w:sectPr>
      </w:pPr>
    </w:p>
    <w:p w14:paraId="6709BE6B">
      <w:pPr>
        <w:jc w:val="center"/>
        <w:rPr>
          <w:rFonts w:hint="default" w:ascii="Times New Roman" w:hAnsi="Times New Roman" w:cs="Times New Roman"/>
          <w:b/>
          <w:bCs/>
          <w:sz w:val="32"/>
          <w:szCs w:val="32"/>
          <w:lang w:val="en-US"/>
        </w:rPr>
      </w:pPr>
      <w:r>
        <w:rPr>
          <w:rFonts w:hint="default" w:ascii="Times New Roman" w:hAnsi="Times New Roman" w:cs="Times New Roman"/>
          <w:b/>
          <w:bCs/>
          <w:sz w:val="32"/>
          <w:szCs w:val="32"/>
          <w:lang w:val="en-US"/>
        </w:rPr>
        <w:t>TASK:</w:t>
      </w:r>
    </w:p>
    <w:p w14:paraId="62EE286D">
      <w:pPr>
        <w:rPr>
          <w:rFonts w:hint="default" w:ascii="Times New Roman" w:hAnsi="Times New Roman" w:cs="Times New Roman"/>
          <w:b w:val="0"/>
          <w:bCs w:val="0"/>
          <w:sz w:val="32"/>
          <w:szCs w:val="32"/>
          <w:u w:val="single"/>
        </w:rPr>
      </w:pPr>
      <w:r>
        <w:rPr>
          <w:rFonts w:hint="default" w:ascii="Times New Roman" w:hAnsi="Times New Roman" w:cs="Times New Roman"/>
          <w:b w:val="0"/>
          <w:bCs w:val="0"/>
          <w:sz w:val="32"/>
          <w:szCs w:val="32"/>
          <w:u w:val="single"/>
        </w:rPr>
        <w:t>Discuss and show why it is important for a curriculum to be monitored and evaluated in Kenya citing relevant examples</w:t>
      </w:r>
    </w:p>
    <w:p w14:paraId="3CE885D4">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Ensuring Curriculum Relevance to National Needs</w:t>
      </w:r>
    </w:p>
    <w:p w14:paraId="4F9DDEA4">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Curriculum monitoring and evaluation are essential for determining whether the curriculum responds to Kenya’s evolving social, economic, and technological needs. Education is expected to prepare learners for productive participation in society. Without systematic monitoring, the curriculum can quickly become outdated and disconnected from national development priorities. In Kenya, this relevance is particularly important because the country’s labour market demands are constantly shifting due to technological advancement and globalisation.</w:t>
      </w:r>
    </w:p>
    <w:p w14:paraId="2A08DDF5">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Through regular monitoring, curriculum developers can assess whether learning content aligns with Kenya’s Vision 2030, the Competency-Based Curriculum (CBC) goals, and the demands of a knowledge-driven economy. For instance, monitoring exercises help determine whether subjects such as digital literacy, entrepreneurship, and environmental education are being effectively integrated into learning. When gaps are identified, curriculum reforms can be initiated to strengthen the relevance and applicability of content taught in schools.</w:t>
      </w:r>
    </w:p>
    <w:p w14:paraId="1537568C">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also ensures that topical national issues are woven into the curriculum so that learners gain practical, context-based skills. For example, areas such as food security, national cohesion, climate change, and innovation have become central to Kenya’s development agenda. Monitoring allows education stakeholders to check whether teachers adequately address these themes and whether learners demonstrate the competencies required for real-world application.</w:t>
      </w:r>
    </w:p>
    <w:p w14:paraId="68DF18CF">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In Kenya, curriculum relevance has been reinforced through initiatives such as integrating ICT skills in early primary classes after monitoring revealed the need for digital competence. Similarly, the reorientation of agricultural education to support the Big Four Agenda illustrates how monitoring helps the curriculum meet national development needs. This ensures learners graduate with skills that match current and future societal expectations.</w:t>
      </w:r>
    </w:p>
    <w:p w14:paraId="595E315F">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Improving Teaching and Learning Processes</w:t>
      </w:r>
    </w:p>
    <w:p w14:paraId="20644DBA">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play a crucial role in enhancing teaching quality and learning outcomes. By observing classroom practices, reviewing lesson plans, and assessing learner</w:t>
      </w:r>
      <w:bookmarkStart w:id="0" w:name="_GoBack"/>
      <w:bookmarkEnd w:id="0"/>
      <w:r>
        <w:rPr>
          <w:rFonts w:hint="default" w:ascii="Times New Roman" w:hAnsi="Times New Roman" w:cs="Times New Roman"/>
        </w:rPr>
        <w:t xml:space="preserve"> performance, stakeholders can identify strengths and weaknesses in instruction. This data helps policymakers, school leaders, and teachers determine the effectiveness of teaching methods used across different learning levels in Kenya’s education system.</w:t>
      </w:r>
    </w:p>
    <w:p w14:paraId="194240C6">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Through this process, challenges such as inadequate instructional materials, ineffective pedagogy, and low teacher preparedness are identified. For instance, during the early phases of CBC implementation, monitoring indicated that many teachers struggled to apply learner-centered approaches such as inquiry-based learning. This led to nationwide teacher capacity-building programmes to improve competence and confidence in implementing the new curriculum.</w:t>
      </w:r>
    </w:p>
    <w:p w14:paraId="34FD5786">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also helps refine the teaching-learning process by highlighting successful strategies that can be scaled across schools. Schools that demonstrate high learner engagement or improved assessment outcomes become models for others. This ensures that good practices in pedagogy, assessment, and classroom management are shared and adopted nationally, promoting consistency in learning quality.</w:t>
      </w:r>
    </w:p>
    <w:p w14:paraId="359B25CD">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In Kenya, classroom observations conducted by Quality Assurance and Standards Officers (QASOs) have helped identify issues such as overcrowded classrooms and inadequate facilities, especially in public schools. Such findings have informed government interventions, including recruitment of more teachers and construction of additional classrooms for junior secondary. This illustrates how M&amp;E ensures that teaching and learning remain efficient and effective.</w:t>
      </w:r>
    </w:p>
    <w:p w14:paraId="63A04467">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Accountability and Quality Assurance</w:t>
      </w:r>
    </w:p>
    <w:p w14:paraId="0ABD8CFA">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strengthen accountability within Kenya’s education sector. A curriculum can only be effective when teachers, school leaders, and educational institutions uphold the standards required for its implementation. M&amp;E ensures that all stakeholders fulfil their responsibilities and follow national guidelines. It also promotes transparency in how educational resources are used and how learning outcomes are achieved.</w:t>
      </w:r>
    </w:p>
    <w:p w14:paraId="5FDD37C5">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Quality assurance processes provide evidence of whether schools adhere to curriculum requirements, instructional hours, assessment standards, and teacher professionalism. Through regular school inspections, the Ministry of Education can ensure that teaching practices meet minimum expectations. These inspections expose issues such as misuse of instructional time, inadequate preparation, or deviation from the curriculum.</w:t>
      </w:r>
    </w:p>
    <w:p w14:paraId="410B58D4">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Additionally, evaluation mechanisms such as national assessments help determine whether learners are achieving the competencies intended by the curriculum. In Kenya, the transition from KCPE under 8-4-4 to school-based assessments under CBC reflects a system that values continuous monitoring of learner progress. Assessments such as KPSEA serve as tools for checking curriculum implementation rather than ranking learners.</w:t>
      </w:r>
    </w:p>
    <w:p w14:paraId="083709BB">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Accountability also ensures that the government allocates resources fairly and efficiently. Findings from monitoring reports have guided policymaking—for example, redirecting textbooks, funding, and instructional materials to under-resourced counties. Through such evidence-based allocation, M&amp;E fosters equity and fairness in curriculum delivery across Kenya.</w:t>
      </w:r>
    </w:p>
    <w:p w14:paraId="5C14D9B6">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Early Identification of Implementation Challenges</w:t>
      </w:r>
    </w:p>
    <w:p w14:paraId="78BA3B5E">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are essential for identifying curriculum implementation challenges at an early stage. When a new curriculum such as CBC is introduced, schools often face unforeseen obstacles related to teacher training, resource availability, and classroom practices. Without M&amp;E, these challenges may persist and undermine the curriculum’s effectiveness long-term.</w:t>
      </w:r>
    </w:p>
    <w:p w14:paraId="27EB98F4">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Regular monitoring helps stakeholders detect obstacles before they escalate. For instance, early CBC monitoring revealed shortages of learner activity books, inadequate infrastructure for practical activities, and confusion over assessment procedures. Early identification enabled the Kenya Institute of Curriculum Development (KICD) and the Ministry of Education to address these problems through resource distribution, guideline revisions, and teacher sensitisation.</w:t>
      </w:r>
    </w:p>
    <w:p w14:paraId="05DF7BD2">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also reveals regional disparities in curriculum implementation. Kenyan counties differ in terms of resources, teacher availability, and environmental conditions. Monitoring data highlighted that arid and semi-arid counties faced high absenteeism and lacked sufficient learning materials. As a result, interventions such as school feeding programmes and infrastructural investments were introduced to support effective curriculum delivery.</w:t>
      </w:r>
    </w:p>
    <w:p w14:paraId="3EA7036D">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By uncovering challenges promptly, M&amp;E prevents curriculum failure and ensures continual improvement. This proactive approach ensures that learners across Kenya receive high-quality education despite the diverse contexts in which schools operate. Early problem-solving therefore keeps curriculum goals on track and enhances long-term success.</w:t>
      </w:r>
    </w:p>
    <w:p w14:paraId="71C73D0A">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Enhancing Equity and Inclusion</w:t>
      </w:r>
    </w:p>
    <w:p w14:paraId="718814B8">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are vital for promoting equity and inclusion in Kenya’s education system. A curriculum can only be considered effective if it supports all learners—including those with disabilities, from marginalised communities, or living in disadvantaged regions. M&amp;E helps identify inequities that prevent learners from fully benefiting from the curriculum.</w:t>
      </w:r>
    </w:p>
    <w:p w14:paraId="15B782EC">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Through regular monitoring, education officials can assess whether learning materials, teaching methods, and school environments accommodate diverse learner needs. For instance, early evaluations of CBC showed that learners with disabilities lacked adapted resources such as Braille books and Kenyan Sign Language materials. This led KICD to produce specialised learning devices and adapt the curriculum to ensure inclusivity.</w:t>
      </w:r>
    </w:p>
    <w:p w14:paraId="552C2DEF">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also helps highlight disparities in resource distribution between urban and rural schools. In Kenya, counties such as Turkana, Mandera, and Wajir have historically recorded lower access to learning materials and qualified teachers. Monitoring reports have influenced government decisions to allocate additional resources and deploy more teachers to marginalised counties, thereby improving curriculum delivery.</w:t>
      </w:r>
    </w:p>
    <w:p w14:paraId="7F7A4B69">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Furthermore, M&amp;E ensures gender equity in education. Findings that girls in some regions were lagging behind due to cultural practices and socio-economic barriers prompted targeted interventions such as mentorship programmes, provision of sanitary towels, and community sensitisation. Through systematic monitoring, Kenya ensures that no learner is left behind in the curriculum implementation process.</w:t>
      </w:r>
    </w:p>
    <w:p w14:paraId="262BABEE">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Facilitating Policy Review and Evidence-Based Decision Making</w:t>
      </w:r>
    </w:p>
    <w:p w14:paraId="1E617810">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are critical for informed policymaking. Without accurate data on curriculum performance, the Ministry of Education cannot make sound decisions regarding reforms, resourcing, or instructional shifts. M&amp;E provides factual evidence that guides policy adjustments and strengthens the education system.</w:t>
      </w:r>
    </w:p>
    <w:p w14:paraId="128EC475">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Through evaluation reports, stakeholders can determine whether the curriculum aligns with national educational goals. For example, research and monitoring data indicated that the 8-4-4 system was overly exam-focused and overloaded, leading to poor skill acquisition. This evidence played a major role in informing the transition to the Competency-Based Curriculum. Thus, curriculum reforms in Kenya are grounded in reliable data rather than assumptions.</w:t>
      </w:r>
    </w:p>
    <w:p w14:paraId="39C9C5E6">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also highlights successful practices worth scaling up. Programmes such as the Tusome Early Grade Reading Initiative were expanded nationwide after monitoring revealed significant improvements in literacy levels. This demonstrates how evidence-based decision making ensures that effective solutions are institutionalised in the education system.</w:t>
      </w:r>
    </w:p>
    <w:p w14:paraId="113378AE">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Additionally, M&amp;E supports long-term planning by tracking changes in learner performance, teacher capacity, and school readiness. Data gathered over time helps policymakers predict future needs, whether in teacher recruitment, infrastructure, or curriculum design. As Kenya continues to roll out CBC and senior secondary pathways, monitoring remains essential for shaping policies based on real implementation experiences.</w:t>
      </w:r>
    </w:p>
    <w:p w14:paraId="30C3905D">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Improving Learner Outcomes</w:t>
      </w:r>
    </w:p>
    <w:p w14:paraId="27BCC27F">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The ultimate goal of curriculum monitoring and evaluation is to improve learner outcomes. When the curriculum is implemented effectively, learners develop knowledge, skills, values, and competencies relevant for life, work, and further education. M&amp;E ensures that teaching practices, assessments, and learning materials work together to support meaningful learning.</w:t>
      </w:r>
    </w:p>
    <w:p w14:paraId="05EB405C">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helps track learners’ academic progress and their development of critical competencies such as creativity, critical thinking, collaboration, and communication. In Kenya, both formative and summative assessments provide valuable information on areas where learners excel and where additional support is required. This enables teachers to refine instructional strategies and target interventions more effectively.</w:t>
      </w:r>
    </w:p>
    <w:p w14:paraId="0B6495CB">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also identifies systemic factors that affect learner performance, such as teacher absenteeism, overcrowded classrooms, or insufficient resources. When these issues are addressed, learners benefit from a more conducive learning environment. For example, monitoring under the Tusome programme revealed reading difficulties in lower primary, prompting structured interventions that improved learning outcomes nationwide.</w:t>
      </w:r>
    </w:p>
    <w:p w14:paraId="0D0AD4EE">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Ultimately, M&amp;E ensures that learners receive high-quality education that prepares them for future academic and life opportunities. By continually assessing what works and what does not, Kenya strengthens its education system and ensures that the curriculum yields the desired positive results in learner achievement.</w:t>
      </w:r>
    </w:p>
    <w:p w14:paraId="6C14DBC4">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Supporting Teacher Professional Development</w:t>
      </w:r>
    </w:p>
    <w:p w14:paraId="1565B638">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play a vital role in identifying the professional development needs of teachers. Effective curriculum implementation depends heavily on teacher competence, confidence, and continuous training. Through M&amp;E, education stakeholders can determine areas where teachers require additional skills or refresher courses to effectively align their teaching with curriculum expectations.</w:t>
      </w:r>
    </w:p>
    <w:p w14:paraId="03F9ADF3">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In Kenya, early monitoring of the Competency-Based Curriculum (CBC) revealed gaps in teachers’ understanding of competency-based pedagogy, formative assessment, and integration of ICT. As a result, the Teachers Service Commission (TSC) and Kenya Institute of Curriculum Development (KICD) introduced systematic training programmes to strengthen teacher capacity. These trainings were guided by evidence gathered from field inspections and school reports.</w:t>
      </w:r>
    </w:p>
    <w:p w14:paraId="6A14F968">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also enables curriculum developers to understand the challenges teachers experience on the ground. Issues such as large class sizes, limited resources, and inadequate support systems become evident during monitoring exercises. These findings help inform the development of teacher support tools, guidelines, and teaching aids that enhance professionalism and instructional effectiveness.</w:t>
      </w:r>
    </w:p>
    <w:p w14:paraId="03207040">
      <w:pPr>
        <w:pStyle w:val="8"/>
        <w:keepNext w:val="0"/>
        <w:keepLines w:val="0"/>
        <w:widowControl/>
        <w:suppressLineNumbers w:val="0"/>
        <w:rPr>
          <w:rFonts w:hint="default" w:ascii="Times New Roman" w:hAnsi="Times New Roman" w:cs="Times New Roman"/>
          <w:lang w:val="en-US"/>
        </w:rPr>
      </w:pPr>
      <w:r>
        <w:rPr>
          <w:rFonts w:hint="default" w:ascii="Times New Roman" w:hAnsi="Times New Roman" w:cs="Times New Roman"/>
        </w:rPr>
        <w:t>Moreover, M&amp;E ensures that teacher development remains continuous rather than a one-time action. Data collected over time helps track teacher performance, growth, and areas needing reinforcement. This ongoing support ensures that educators remain well-equipped to meet the changing demands of Kenya’s education syste</w:t>
      </w:r>
      <w:r>
        <w:rPr>
          <w:rFonts w:hint="default" w:ascii="Times New Roman" w:hAnsi="Times New Roman" w:cs="Times New Roman"/>
          <w:lang w:val="en-US"/>
        </w:rPr>
        <w:t>m.</w:t>
      </w:r>
    </w:p>
    <w:p w14:paraId="6B9EAABE">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Strengthening Resource Allocation and Utilisation</w:t>
      </w:r>
    </w:p>
    <w:p w14:paraId="29037EC9">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ensure that school resources are used efficiently and distributed fairly across the country. A curriculum can only succeed when adequate learning materials, classrooms, and teaching resources are available. M&amp;E provides accurate information on the resource needs of different schools, enabling the government to allocate funds more effectively.</w:t>
      </w:r>
    </w:p>
    <w:p w14:paraId="7979E80F">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Through regular monitoring reports, the Ministry of Education can identify schools facing shortages of textbooks, desks, laboratory equipment, or digital devices. This information guides resource distribution strategies, ensuring that schools in remote or marginalised regions receive adequate support. For example, monitoring under the CBC rollout highlighted shortages of learning materials in some counties, prompting targeted distribution efforts.</w:t>
      </w:r>
    </w:p>
    <w:p w14:paraId="639D1F14">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also assesses whether schools are making effective use of the resources provided to them. Issues such as mismanagement, wastage, or underutilisation become visible through routine inspections. When such problems are detected, corrective measures—such as financial audits, training on resource management, or increased supervision—are implemented to enhance accountability.</w:t>
      </w:r>
    </w:p>
    <w:p w14:paraId="7FEEFF51">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In Kenya, strengthened resource monitoring has helped improve equity across schools. By ensuring that learning materials reach the most disadvantaged areas, M&amp;E supports consistent curriculum delivery nationwide. This promotes fairness and improves learning conditions for all pupils, irrespective of where they live.</w:t>
      </w:r>
    </w:p>
    <w:p w14:paraId="73D14E72">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Promoting Innovation and Continuous Improvement</w:t>
      </w:r>
    </w:p>
    <w:p w14:paraId="197BF9E8">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encourage innovation within the education system by identifying successful practices that can be replicated and scaled. When M&amp;E reveals teaching approaches or school strategies that yield strong outcomes, these innovations can be adopted at regional or national levels. This fosters a culture of continuous improvement within the curriculum implementation process.</w:t>
      </w:r>
    </w:p>
    <w:p w14:paraId="391BF5F8">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 xml:space="preserve">In Kenya, innovative programmes such as the </w:t>
      </w:r>
      <w:r>
        <w:rPr>
          <w:rStyle w:val="5"/>
          <w:rFonts w:hint="default" w:ascii="Times New Roman" w:hAnsi="Times New Roman" w:cs="Times New Roman"/>
        </w:rPr>
        <w:t>Tusome</w:t>
      </w:r>
      <w:r>
        <w:rPr>
          <w:rFonts w:hint="default" w:ascii="Times New Roman" w:hAnsi="Times New Roman" w:cs="Times New Roman"/>
        </w:rPr>
        <w:t xml:space="preserve"> initiative emerged from monitored pilot studies that showed the effectiveness of structured literacy instruction. The programme was later expanded nationally because evaluation evidence demonstrated substantial gains in learner reading outcomes. Such innovations illustrate how M&amp;E drives broader system transformation.</w:t>
      </w:r>
    </w:p>
    <w:p w14:paraId="5D65E483">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Additionally, evaluation enables curriculum developers to integrate new technologies into classroom practice. Monitoring may show that digital learning tools enhance learner engagement and understanding. In response, the Ministry of Education may promote the use of tablets, digital content, or virtual learning platforms to enrich instruction.</w:t>
      </w:r>
    </w:p>
    <w:p w14:paraId="1737450F">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Continuous improvement is essential for ensuring that the curriculum remains dynamic and responsive. M&amp;E promotes this by identifying outdated practices that need to be replaced and highlighting areas where change can lead to better learner outcomes. This cycle of innovation ensures Kenya’s education system remains globally competitive.</w:t>
      </w:r>
    </w:p>
    <w:p w14:paraId="7806B34C">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Supporting National Education Planning</w:t>
      </w:r>
    </w:p>
    <w:p w14:paraId="0283B820">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Another key importance of curriculum monitoring and evaluation is its contribution to long-term national education planning. The government relies on accurate data to predict future needs related to teacher deployment, school infrastructure, or curriculum reforms. M&amp;E provides this data, ensuring that planning is grounded in real evidence rather than assumptions.</w:t>
      </w:r>
    </w:p>
    <w:p w14:paraId="7BF352ED">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For example, monitoring may reveal population growth in certain regions, requiring new schools or additional teachers. This helps the Ministry of Education budget effectively and anticipate where demand for learning spaces will increase. Without such information, planning would be reactive rather than proactive.</w:t>
      </w:r>
    </w:p>
    <w:p w14:paraId="4F6E6D9B">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also informs planning for curriculum review cycles. By tracking learner performance, teacher feedback, and implementation challenges, policymakers can identify when a curriculum needs to be revised. In Kenya, evidence gathered over years from 8-4-4 implementation informed the shift to CBC, demonstrating how evaluation drives reform.</w:t>
      </w:r>
    </w:p>
    <w:p w14:paraId="6C42C83F">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Furthermore, national planning benefits from the identification of emerging global trends such as digital literacy or sustainability education. Monitoring ensures Kenya can incorporate these trends into future curriculum updates. This alignment strengthens the country’s preparedness for global opportunities and challenges.</w:t>
      </w:r>
    </w:p>
    <w:p w14:paraId="2EED7C9F">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Enhancing Stakeholder Engagement and Collaboration</w:t>
      </w:r>
    </w:p>
    <w:p w14:paraId="5DE6ABEC">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also promote stakeholder involvement in curriculum implementation. The success of any curriculum depends on collaboration among teachers, parents, learners, government agencies, NGOs, and private-sector partners. M&amp;E provides a platform for stakeholders to share feedback, raise concerns, and contribute ideas for improvement.</w:t>
      </w:r>
    </w:p>
    <w:p w14:paraId="7003D633">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Through monitoring visits and feedback mechanisms, teachers and school heads can voice the challenges they encounter in implementing the curriculum. This engagement ensures that reforms or support interventions are shaped by people who directly interact with learners. It promotes ownership and commitment to curriculum goals.</w:t>
      </w:r>
    </w:p>
    <w:p w14:paraId="3A510925">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Parents and communities also benefit from evaluation findings. Reports may highlight the need for increased parental involvement in homework, support for home-based learning, or participation in school boards. Engagement deepens when stakeholders see that their input contributes to positive change in the education system.</w:t>
      </w:r>
    </w:p>
    <w:p w14:paraId="5D4C07B8">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In Kenya, collaborations between government agencies and development partners—such as UNESCO, World Bank, and USAID—have been strengthened through M&amp;E data. These partnerships often provide funding, technical assistance, and capacity-building initiatives that enhance curriculum implementation nationwide.</w:t>
      </w:r>
    </w:p>
    <w:p w14:paraId="2BC9BF83">
      <w:pPr>
        <w:pStyle w:val="2"/>
        <w:keepNext w:val="0"/>
        <w:keepLines w:val="0"/>
        <w:widowControl/>
        <w:suppressLineNumbers w:val="0"/>
        <w:rPr>
          <w:rFonts w:hint="default" w:ascii="Times New Roman" w:hAnsi="Times New Roman" w:cs="Times New Roman"/>
          <w:sz w:val="28"/>
          <w:szCs w:val="28"/>
        </w:rPr>
      </w:pPr>
      <w:r>
        <w:rPr>
          <w:rStyle w:val="9"/>
          <w:rFonts w:hint="default" w:ascii="Times New Roman" w:hAnsi="Times New Roman" w:cs="Times New Roman"/>
          <w:b/>
          <w:bCs/>
          <w:sz w:val="28"/>
          <w:szCs w:val="28"/>
        </w:rPr>
        <w:t xml:space="preserve"> Strengthening Assessment Practices</w:t>
      </w:r>
    </w:p>
    <w:p w14:paraId="6C1B3DB1">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Monitoring and evaluation are essential for ensuring that assessment methods align with curriculum goals. In CBC, assessments are competency-based, focusing on what learners can demonstrate rather than memorised content. M&amp;E ensures that teachers understand and apply these assessment principles effectively.</w:t>
      </w:r>
    </w:p>
    <w:p w14:paraId="5605BC76">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helps identify inconsistencies or challenges in the assessment process—for example, difficulties in applying rubrics, inadequate record-keeping, or misinterpretation of formative assessment guidelines. This information is used to revise assessment tools and train teachers on effective assessment practices.</w:t>
      </w:r>
    </w:p>
    <w:p w14:paraId="6AF1D656">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Kenya’s transition from KCPE to school-based assessments under CBC was guided by extensive monitoring and research. Evaluation results demonstrated the need to reduce exam pressure and focus on holistic learner development. As a result, KNEC introduced continuous assessment tools and standardised guidelines to support teachers.</w:t>
      </w:r>
    </w:p>
    <w:p w14:paraId="581FD740">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By ensuring assessments are reliable, fair, and aligned with curriculum expectations, M&amp;E strengthens the credibility of the education system. Learners benefit from clearer expectations, constructive feedback, and assessments that genuinely reflect their competency development.</w:t>
      </w:r>
    </w:p>
    <w:p w14:paraId="16997C08">
      <w:pPr>
        <w:pStyle w:val="2"/>
        <w:keepNext w:val="0"/>
        <w:keepLines w:val="0"/>
        <w:widowControl/>
        <w:numPr>
          <w:ilvl w:val="0"/>
          <w:numId w:val="0"/>
        </w:numPr>
        <w:suppressLineNumbers w:val="0"/>
        <w:outlineLvl w:val="0"/>
        <w:rPr>
          <w:rFonts w:hint="default" w:ascii="Times New Roman" w:hAnsi="Times New Roman" w:cs="Times New Roman"/>
          <w:sz w:val="28"/>
          <w:szCs w:val="28"/>
        </w:rPr>
      </w:pPr>
      <w:r>
        <w:rPr>
          <w:rStyle w:val="9"/>
          <w:rFonts w:hint="default" w:ascii="Times New Roman" w:hAnsi="Times New Roman" w:cs="Times New Roman"/>
          <w:b/>
          <w:bCs/>
          <w:sz w:val="28"/>
          <w:szCs w:val="28"/>
        </w:rPr>
        <w:t>Supporting National Unity and Social Cohesion</w:t>
      </w:r>
    </w:p>
    <w:p w14:paraId="76C5EE3C">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Finally, monitoring and evaluation help ensure that the curriculum fosters national unity and social cohesion—a key goal in Kenya’s education philosophy. The curriculum is designed to promote values such as patriotism, respect for diversity, and peaceful coexistence. M&amp;E checks whether these values are effectively taught and internalised by learners.</w:t>
      </w:r>
    </w:p>
    <w:p w14:paraId="7C5262A7">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Evaluation helps ensure that topics related to citizenship education, ethics, conflict resolution, and national identity are properly implemented. If schools fail to emphasise these areas, monitoring prompts corrective action, such as teacher training or enrichment of instructional materials.</w:t>
      </w:r>
    </w:p>
    <w:p w14:paraId="252E843E">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In regions affected by ethnic tensions or cultural disparities, monitoring helps identify gaps in value-based education. Findings may reveal the need for enhanced peace education or community engagement programmes to promote social harmony. Such targeted interventions support national cohesion.</w:t>
      </w:r>
    </w:p>
    <w:p w14:paraId="6B4E632D">
      <w:pPr>
        <w:pStyle w:val="8"/>
        <w:keepNext w:val="0"/>
        <w:keepLines w:val="0"/>
        <w:widowControl/>
        <w:suppressLineNumbers w:val="0"/>
        <w:rPr>
          <w:rFonts w:hint="default" w:ascii="Times New Roman" w:hAnsi="Times New Roman" w:cs="Times New Roman"/>
        </w:rPr>
      </w:pPr>
      <w:r>
        <w:rPr>
          <w:rFonts w:hint="default" w:ascii="Times New Roman" w:hAnsi="Times New Roman" w:cs="Times New Roman"/>
        </w:rPr>
        <w:t>Through consistent monitoring, Kenya ensures that the curriculum contributes to the development of responsible, tolerant, and socially cohesive citizens. This strengthens the nation’s social fabric and prepares learners to contribute positively to national development.</w:t>
      </w:r>
    </w:p>
    <w:p w14:paraId="270AA4A2">
      <w:pPr>
        <w:rPr>
          <w:rFonts w:hint="default" w:ascii="Times New Roman" w:hAnsi="Times New Roman" w:cs="Times New Roman"/>
        </w:rPr>
      </w:pPr>
    </w:p>
    <w:p w14:paraId="48E46979">
      <w:pPr>
        <w:rPr>
          <w:rFonts w:hint="default" w:ascii="Times New Roman" w:hAnsi="Times New Roman" w:cs="Times New Roman"/>
        </w:rPr>
      </w:pPr>
    </w:p>
    <w:p w14:paraId="2E270141">
      <w:pPr>
        <w:rPr>
          <w:rFonts w:hint="default" w:ascii="Times New Roman" w:hAnsi="Times New Roman" w:cs="Times New Roman"/>
        </w:rPr>
      </w:pPr>
    </w:p>
    <w:p w14:paraId="23B791FD">
      <w:pPr>
        <w:rPr>
          <w:rFonts w:hint="default" w:ascii="Times New Roman" w:hAnsi="Times New Roman" w:cs="Times New Roman"/>
        </w:rPr>
      </w:pPr>
    </w:p>
    <w:p w14:paraId="2F6F10B0">
      <w:pPr>
        <w:rPr>
          <w:rFonts w:hint="default" w:ascii="Times New Roman" w:hAnsi="Times New Roman" w:cs="Times New Roman"/>
        </w:rPr>
      </w:pPr>
    </w:p>
    <w:p w14:paraId="5F2F3456">
      <w:pPr>
        <w:rPr>
          <w:rFonts w:hint="default" w:ascii="Times New Roman" w:hAnsi="Times New Roman" w:cs="Times New Roman"/>
        </w:rPr>
      </w:pPr>
    </w:p>
    <w:p w14:paraId="549A6029">
      <w:pPr>
        <w:pStyle w:val="2"/>
        <w:keepNext w:val="0"/>
        <w:keepLines w:val="0"/>
        <w:widowControl/>
        <w:suppressLineNumbers w:val="0"/>
        <w:rPr>
          <w:rStyle w:val="9"/>
          <w:rFonts w:hint="default" w:ascii="Times New Roman" w:hAnsi="Times New Roman" w:cs="Times New Roman"/>
          <w:b/>
          <w:bCs/>
          <w:i/>
          <w:iCs/>
          <w:u w:val="none"/>
        </w:rPr>
      </w:pPr>
    </w:p>
    <w:p w14:paraId="542004A7">
      <w:pPr>
        <w:pStyle w:val="2"/>
        <w:keepNext w:val="0"/>
        <w:keepLines w:val="0"/>
        <w:widowControl/>
        <w:suppressLineNumbers w:val="0"/>
        <w:rPr>
          <w:rStyle w:val="9"/>
          <w:rFonts w:hint="default" w:ascii="Times New Roman" w:hAnsi="Times New Roman" w:cs="Times New Roman"/>
          <w:b/>
          <w:bCs/>
          <w:i/>
          <w:iCs/>
          <w:u w:val="none"/>
        </w:rPr>
      </w:pPr>
    </w:p>
    <w:p w14:paraId="7AE18D5A">
      <w:pPr>
        <w:pStyle w:val="2"/>
        <w:keepNext w:val="0"/>
        <w:keepLines w:val="0"/>
        <w:widowControl/>
        <w:suppressLineNumbers w:val="0"/>
        <w:rPr>
          <w:rStyle w:val="9"/>
          <w:rFonts w:hint="default" w:ascii="Times New Roman" w:hAnsi="Times New Roman" w:cs="Times New Roman"/>
          <w:b/>
          <w:bCs/>
          <w:i/>
          <w:iCs/>
          <w:u w:val="none"/>
        </w:rPr>
      </w:pPr>
    </w:p>
    <w:p w14:paraId="119B3EB7">
      <w:pPr>
        <w:pStyle w:val="2"/>
        <w:keepNext w:val="0"/>
        <w:keepLines w:val="0"/>
        <w:widowControl/>
        <w:suppressLineNumbers w:val="0"/>
        <w:rPr>
          <w:rStyle w:val="9"/>
          <w:rFonts w:hint="default" w:ascii="Times New Roman" w:hAnsi="Times New Roman" w:cs="Times New Roman"/>
          <w:b/>
          <w:bCs/>
          <w:i/>
          <w:iCs/>
          <w:u w:val="none"/>
        </w:rPr>
      </w:pPr>
    </w:p>
    <w:p w14:paraId="18176D83">
      <w:pPr>
        <w:pStyle w:val="2"/>
        <w:keepNext w:val="0"/>
        <w:keepLines w:val="0"/>
        <w:widowControl/>
        <w:suppressLineNumbers w:val="0"/>
        <w:rPr>
          <w:rStyle w:val="9"/>
          <w:rFonts w:hint="default" w:ascii="Times New Roman" w:hAnsi="Times New Roman" w:cs="Times New Roman"/>
          <w:b/>
          <w:bCs/>
          <w:i/>
          <w:iCs/>
          <w:u w:val="none"/>
        </w:rPr>
      </w:pPr>
    </w:p>
    <w:p w14:paraId="12DBBABE">
      <w:pPr>
        <w:pStyle w:val="2"/>
        <w:keepNext w:val="0"/>
        <w:keepLines w:val="0"/>
        <w:widowControl/>
        <w:suppressLineNumbers w:val="0"/>
        <w:rPr>
          <w:rStyle w:val="9"/>
          <w:rFonts w:hint="default" w:ascii="Times New Roman" w:hAnsi="Times New Roman" w:cs="Times New Roman"/>
          <w:b/>
          <w:bCs/>
          <w:i/>
          <w:iCs/>
          <w:sz w:val="28"/>
          <w:szCs w:val="28"/>
          <w:u w:val="none"/>
        </w:rPr>
      </w:pPr>
    </w:p>
    <w:p w14:paraId="748980EF">
      <w:pPr>
        <w:pStyle w:val="2"/>
        <w:keepNext w:val="0"/>
        <w:keepLines w:val="0"/>
        <w:widowControl/>
        <w:suppressLineNumbers w:val="0"/>
        <w:rPr>
          <w:rStyle w:val="9"/>
          <w:rFonts w:hint="default" w:ascii="Times New Roman" w:hAnsi="Times New Roman" w:cs="Times New Roman"/>
          <w:b/>
          <w:bCs/>
          <w:i/>
          <w:iCs/>
          <w:sz w:val="28"/>
          <w:szCs w:val="28"/>
          <w:u w:val="none"/>
        </w:rPr>
      </w:pPr>
    </w:p>
    <w:p w14:paraId="2BB39CF1">
      <w:pPr>
        <w:pStyle w:val="2"/>
        <w:keepNext w:val="0"/>
        <w:keepLines w:val="0"/>
        <w:widowControl/>
        <w:suppressLineNumbers w:val="0"/>
        <w:rPr>
          <w:rStyle w:val="9"/>
          <w:rFonts w:hint="default" w:ascii="Times New Roman" w:hAnsi="Times New Roman" w:cs="Times New Roman"/>
          <w:b/>
          <w:bCs/>
          <w:i/>
          <w:iCs/>
          <w:sz w:val="28"/>
          <w:szCs w:val="28"/>
          <w:u w:val="none"/>
        </w:rPr>
      </w:pPr>
    </w:p>
    <w:p w14:paraId="51B716EE">
      <w:pPr>
        <w:pStyle w:val="2"/>
        <w:keepNext w:val="0"/>
        <w:keepLines w:val="0"/>
        <w:widowControl/>
        <w:suppressLineNumbers w:val="0"/>
        <w:rPr>
          <w:rStyle w:val="9"/>
          <w:rFonts w:hint="default" w:ascii="Times New Roman" w:hAnsi="Times New Roman" w:cs="Times New Roman"/>
          <w:b/>
          <w:bCs/>
          <w:i/>
          <w:iCs/>
          <w:sz w:val="28"/>
          <w:szCs w:val="28"/>
          <w:u w:val="none"/>
        </w:rPr>
        <w:sectPr>
          <w:footerReference r:id="rId5" w:type="default"/>
          <w:pgSz w:w="11906" w:h="16838"/>
          <w:pgMar w:top="1440" w:right="1800" w:bottom="1440" w:left="1800" w:header="720" w:footer="720" w:gutter="0"/>
          <w:pgNumType w:fmt="decimal" w:start="1"/>
          <w:cols w:space="720" w:num="1"/>
          <w:docGrid w:linePitch="360" w:charSpace="0"/>
        </w:sectPr>
      </w:pPr>
    </w:p>
    <w:p w14:paraId="75D933C6">
      <w:pPr>
        <w:pStyle w:val="2"/>
        <w:keepNext w:val="0"/>
        <w:keepLines w:val="0"/>
        <w:widowControl/>
        <w:suppressLineNumbers w:val="0"/>
        <w:rPr>
          <w:rFonts w:hint="default" w:ascii="Times New Roman" w:hAnsi="Times New Roman" w:cs="Times New Roman"/>
          <w:i/>
          <w:iCs/>
          <w:sz w:val="28"/>
          <w:szCs w:val="28"/>
          <w:u w:val="none"/>
          <w:lang w:val="en-US"/>
        </w:rPr>
      </w:pPr>
      <w:r>
        <w:rPr>
          <w:rStyle w:val="9"/>
          <w:rFonts w:hint="default" w:ascii="Times New Roman" w:hAnsi="Times New Roman" w:cs="Times New Roman"/>
          <w:b/>
          <w:bCs/>
          <w:i/>
          <w:iCs/>
          <w:sz w:val="28"/>
          <w:szCs w:val="28"/>
          <w:u w:val="none"/>
        </w:rPr>
        <w:t>Reference</w:t>
      </w:r>
      <w:r>
        <w:rPr>
          <w:rStyle w:val="9"/>
          <w:rFonts w:hint="default" w:ascii="Times New Roman" w:hAnsi="Times New Roman" w:cs="Times New Roman"/>
          <w:b/>
          <w:bCs/>
          <w:i/>
          <w:iCs/>
          <w:sz w:val="28"/>
          <w:szCs w:val="28"/>
          <w:u w:val="none"/>
          <w:lang w:val="en-US"/>
        </w:rPr>
        <w:t>s</w:t>
      </w:r>
    </w:p>
    <w:p w14:paraId="12DB4382">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Borg, S., &amp; Alshumaimeri, Y. (2019). </w:t>
      </w:r>
      <w:r>
        <w:rPr>
          <w:rStyle w:val="5"/>
          <w:rFonts w:hint="default" w:ascii="Times New Roman" w:hAnsi="Times New Roman" w:cs="Times New Roman"/>
          <w:i/>
          <w:iCs/>
          <w:u w:val="none"/>
        </w:rPr>
        <w:t>Language teacher professional development: Perceptions and practices</w:t>
      </w:r>
      <w:r>
        <w:rPr>
          <w:rFonts w:hint="default" w:ascii="Times New Roman" w:hAnsi="Times New Roman" w:cs="Times New Roman"/>
          <w:i/>
          <w:iCs/>
          <w:u w:val="none"/>
        </w:rPr>
        <w:t>. British Council.</w:t>
      </w:r>
    </w:p>
    <w:p w14:paraId="01EA16C6">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Government of Kenya. (2019). </w:t>
      </w:r>
      <w:r>
        <w:rPr>
          <w:rStyle w:val="5"/>
          <w:rFonts w:hint="default" w:ascii="Times New Roman" w:hAnsi="Times New Roman" w:cs="Times New Roman"/>
          <w:i/>
          <w:iCs/>
          <w:u w:val="none"/>
        </w:rPr>
        <w:t>Sessional Paper No. 1 of 2019: A policy framework for reforming education and training for sustainable development in Kenya</w:t>
      </w:r>
      <w:r>
        <w:rPr>
          <w:rFonts w:hint="default" w:ascii="Times New Roman" w:hAnsi="Times New Roman" w:cs="Times New Roman"/>
          <w:i/>
          <w:iCs/>
          <w:u w:val="none"/>
        </w:rPr>
        <w:t>. Ministry of Education.</w:t>
      </w:r>
    </w:p>
    <w:p w14:paraId="46F6BCB5">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Kenya Institute of Curriculum Development (KICD). (2017). </w:t>
      </w:r>
      <w:r>
        <w:rPr>
          <w:rStyle w:val="5"/>
          <w:rFonts w:hint="default" w:ascii="Times New Roman" w:hAnsi="Times New Roman" w:cs="Times New Roman"/>
          <w:i/>
          <w:iCs/>
          <w:u w:val="none"/>
        </w:rPr>
        <w:t>Basic Education Curriculum Framework</w:t>
      </w:r>
      <w:r>
        <w:rPr>
          <w:rFonts w:hint="default" w:ascii="Times New Roman" w:hAnsi="Times New Roman" w:cs="Times New Roman"/>
          <w:i/>
          <w:iCs/>
          <w:u w:val="none"/>
        </w:rPr>
        <w:t>. Kenya Institute of Curriculum Development.</w:t>
      </w:r>
    </w:p>
    <w:p w14:paraId="5F735A13">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Kenya Institute of Curriculum Development (KICD). (2021). </w:t>
      </w:r>
      <w:r>
        <w:rPr>
          <w:rStyle w:val="5"/>
          <w:rFonts w:hint="default" w:ascii="Times New Roman" w:hAnsi="Times New Roman" w:cs="Times New Roman"/>
          <w:i/>
          <w:iCs/>
          <w:u w:val="none"/>
        </w:rPr>
        <w:t>Curriculum designs for Competency-Based Curriculum</w:t>
      </w:r>
      <w:r>
        <w:rPr>
          <w:rFonts w:hint="default" w:ascii="Times New Roman" w:hAnsi="Times New Roman" w:cs="Times New Roman"/>
          <w:i/>
          <w:iCs/>
          <w:u w:val="none"/>
        </w:rPr>
        <w:t>. KICD.</w:t>
      </w:r>
    </w:p>
    <w:p w14:paraId="6F3DAB5C">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Kenya National Bureau of Statistics (KNBS). (2020). </w:t>
      </w:r>
      <w:r>
        <w:rPr>
          <w:rStyle w:val="5"/>
          <w:rFonts w:hint="default" w:ascii="Times New Roman" w:hAnsi="Times New Roman" w:cs="Times New Roman"/>
          <w:i/>
          <w:iCs/>
          <w:u w:val="none"/>
        </w:rPr>
        <w:t>Economic Survey 2020</w:t>
      </w:r>
      <w:r>
        <w:rPr>
          <w:rFonts w:hint="default" w:ascii="Times New Roman" w:hAnsi="Times New Roman" w:cs="Times New Roman"/>
          <w:i/>
          <w:iCs/>
          <w:u w:val="none"/>
        </w:rPr>
        <w:t>. Government Printer.</w:t>
      </w:r>
    </w:p>
    <w:p w14:paraId="0CE9E5EE">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Kenya National Examinations Council (KNEC). (2022). </w:t>
      </w:r>
      <w:r>
        <w:rPr>
          <w:rStyle w:val="5"/>
          <w:rFonts w:hint="default" w:ascii="Times New Roman" w:hAnsi="Times New Roman" w:cs="Times New Roman"/>
          <w:i/>
          <w:iCs/>
          <w:u w:val="none"/>
        </w:rPr>
        <w:t>Competency-based assessment framework</w:t>
      </w:r>
      <w:r>
        <w:rPr>
          <w:rFonts w:hint="default" w:ascii="Times New Roman" w:hAnsi="Times New Roman" w:cs="Times New Roman"/>
          <w:i/>
          <w:iCs/>
          <w:u w:val="none"/>
        </w:rPr>
        <w:t>. KNEC.</w:t>
      </w:r>
    </w:p>
    <w:p w14:paraId="6318D533">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Ministry of Education. (2018). </w:t>
      </w:r>
      <w:r>
        <w:rPr>
          <w:rStyle w:val="5"/>
          <w:rFonts w:hint="default" w:ascii="Times New Roman" w:hAnsi="Times New Roman" w:cs="Times New Roman"/>
          <w:i/>
          <w:iCs/>
          <w:u w:val="none"/>
        </w:rPr>
        <w:t>Report on the needs assessment for the implementation of the Competency-Based Curriculum</w:t>
      </w:r>
      <w:r>
        <w:rPr>
          <w:rFonts w:hint="default" w:ascii="Times New Roman" w:hAnsi="Times New Roman" w:cs="Times New Roman"/>
          <w:i/>
          <w:iCs/>
          <w:u w:val="none"/>
        </w:rPr>
        <w:t>. Government Printer.</w:t>
      </w:r>
    </w:p>
    <w:p w14:paraId="081FE5D8">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Ministry of Education. (2020). </w:t>
      </w:r>
      <w:r>
        <w:rPr>
          <w:rStyle w:val="5"/>
          <w:rFonts w:hint="default" w:ascii="Times New Roman" w:hAnsi="Times New Roman" w:cs="Times New Roman"/>
          <w:i/>
          <w:iCs/>
          <w:u w:val="none"/>
        </w:rPr>
        <w:t>Education sector report 2019/2020</w:t>
      </w:r>
      <w:r>
        <w:rPr>
          <w:rFonts w:hint="default" w:ascii="Times New Roman" w:hAnsi="Times New Roman" w:cs="Times New Roman"/>
          <w:i/>
          <w:iCs/>
          <w:u w:val="none"/>
        </w:rPr>
        <w:t>. Government Printer.</w:t>
      </w:r>
    </w:p>
    <w:p w14:paraId="6916CD94">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MoEST (Ministry of Education, Science and Technology). (2014). </w:t>
      </w:r>
      <w:r>
        <w:rPr>
          <w:rStyle w:val="5"/>
          <w:rFonts w:hint="default" w:ascii="Times New Roman" w:hAnsi="Times New Roman" w:cs="Times New Roman"/>
          <w:i/>
          <w:iCs/>
          <w:u w:val="none"/>
        </w:rPr>
        <w:t>Education Sector Policy Review</w:t>
      </w:r>
      <w:r>
        <w:rPr>
          <w:rFonts w:hint="default" w:ascii="Times New Roman" w:hAnsi="Times New Roman" w:cs="Times New Roman"/>
          <w:i/>
          <w:iCs/>
          <w:u w:val="none"/>
        </w:rPr>
        <w:t>. Government Printer.</w:t>
      </w:r>
    </w:p>
    <w:p w14:paraId="0650E439">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Republic of Kenya. (2013). </w:t>
      </w:r>
      <w:r>
        <w:rPr>
          <w:rStyle w:val="5"/>
          <w:rFonts w:hint="default" w:ascii="Times New Roman" w:hAnsi="Times New Roman" w:cs="Times New Roman"/>
          <w:i/>
          <w:iCs/>
          <w:u w:val="none"/>
        </w:rPr>
        <w:t>National Education Sector Plan (2013–2018)</w:t>
      </w:r>
      <w:r>
        <w:rPr>
          <w:rFonts w:hint="default" w:ascii="Times New Roman" w:hAnsi="Times New Roman" w:cs="Times New Roman"/>
          <w:i/>
          <w:iCs/>
          <w:u w:val="none"/>
        </w:rPr>
        <w:t>. Ministry of Education.</w:t>
      </w:r>
    </w:p>
    <w:p w14:paraId="240581B8">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Republic of Kenya. (2018). </w:t>
      </w:r>
      <w:r>
        <w:rPr>
          <w:rStyle w:val="5"/>
          <w:rFonts w:hint="default" w:ascii="Times New Roman" w:hAnsi="Times New Roman" w:cs="Times New Roman"/>
          <w:i/>
          <w:iCs/>
          <w:u w:val="none"/>
        </w:rPr>
        <w:t>National Education Sector Strategic Plan (NESSP) 2018–2022</w:t>
      </w:r>
      <w:r>
        <w:rPr>
          <w:rFonts w:hint="default" w:ascii="Times New Roman" w:hAnsi="Times New Roman" w:cs="Times New Roman"/>
          <w:i/>
          <w:iCs/>
          <w:u w:val="none"/>
        </w:rPr>
        <w:t>. Ministry of Education.</w:t>
      </w:r>
    </w:p>
    <w:p w14:paraId="5BD98EB0">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TSC (Teachers Service Commission). (2021). </w:t>
      </w:r>
      <w:r>
        <w:rPr>
          <w:rStyle w:val="5"/>
          <w:rFonts w:hint="default" w:ascii="Times New Roman" w:hAnsi="Times New Roman" w:cs="Times New Roman"/>
          <w:i/>
          <w:iCs/>
          <w:u w:val="none"/>
        </w:rPr>
        <w:t>Framework for teacher professional development in Kenya</w:t>
      </w:r>
      <w:r>
        <w:rPr>
          <w:rFonts w:hint="default" w:ascii="Times New Roman" w:hAnsi="Times New Roman" w:cs="Times New Roman"/>
          <w:i/>
          <w:iCs/>
          <w:u w:val="none"/>
        </w:rPr>
        <w:t>. Teachers Service Commission.</w:t>
      </w:r>
    </w:p>
    <w:p w14:paraId="0AD19488">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UNESCO. (2017). </w:t>
      </w:r>
      <w:r>
        <w:rPr>
          <w:rStyle w:val="5"/>
          <w:rFonts w:hint="default" w:ascii="Times New Roman" w:hAnsi="Times New Roman" w:cs="Times New Roman"/>
          <w:i/>
          <w:iCs/>
          <w:u w:val="none"/>
        </w:rPr>
        <w:t>Review of the Kenyan education sector: A report for strategic intervention</w:t>
      </w:r>
      <w:r>
        <w:rPr>
          <w:rFonts w:hint="default" w:ascii="Times New Roman" w:hAnsi="Times New Roman" w:cs="Times New Roman"/>
          <w:i/>
          <w:iCs/>
          <w:u w:val="none"/>
        </w:rPr>
        <w:t>. UNESCO.</w:t>
      </w:r>
    </w:p>
    <w:p w14:paraId="751493B8">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USAID. (2018). </w:t>
      </w:r>
      <w:r>
        <w:rPr>
          <w:rStyle w:val="5"/>
          <w:rFonts w:hint="default" w:ascii="Times New Roman" w:hAnsi="Times New Roman" w:cs="Times New Roman"/>
          <w:i/>
          <w:iCs/>
          <w:u w:val="none"/>
        </w:rPr>
        <w:t>Tusome early grade reading activity: Endline evaluation report</w:t>
      </w:r>
      <w:r>
        <w:rPr>
          <w:rFonts w:hint="default" w:ascii="Times New Roman" w:hAnsi="Times New Roman" w:cs="Times New Roman"/>
          <w:i/>
          <w:iCs/>
          <w:u w:val="none"/>
        </w:rPr>
        <w:t>. USAID Kenya &amp; RTI International.</w:t>
      </w:r>
    </w:p>
    <w:p w14:paraId="66727438">
      <w:pPr>
        <w:pStyle w:val="8"/>
        <w:keepNext w:val="0"/>
        <w:keepLines w:val="0"/>
        <w:pageBreakBefore w:val="0"/>
        <w:widowControl/>
        <w:suppressLineNumbers w:val="0"/>
        <w:kinsoku/>
        <w:wordWrap/>
        <w:overflowPunct/>
        <w:topLinePunct w:val="0"/>
        <w:autoSpaceDE/>
        <w:autoSpaceDN/>
        <w:bidi w:val="0"/>
        <w:adjustRightInd/>
        <w:snapToGrid/>
        <w:ind w:left="480" w:leftChars="0" w:hanging="480" w:hangingChars="200"/>
        <w:textAlignment w:val="auto"/>
        <w:rPr>
          <w:rFonts w:hint="default" w:ascii="Times New Roman" w:hAnsi="Times New Roman" w:cs="Times New Roman"/>
          <w:i/>
          <w:iCs/>
          <w:u w:val="none"/>
        </w:rPr>
      </w:pPr>
      <w:r>
        <w:rPr>
          <w:rFonts w:hint="default" w:ascii="Times New Roman" w:hAnsi="Times New Roman" w:cs="Times New Roman"/>
          <w:i/>
          <w:iCs/>
          <w:u w:val="none"/>
        </w:rPr>
        <w:t xml:space="preserve">World Bank. (2021). </w:t>
      </w:r>
      <w:r>
        <w:rPr>
          <w:rStyle w:val="5"/>
          <w:rFonts w:hint="default" w:ascii="Times New Roman" w:hAnsi="Times New Roman" w:cs="Times New Roman"/>
          <w:i/>
          <w:iCs/>
          <w:u w:val="none"/>
        </w:rPr>
        <w:t>Kenya education sector analysis: Improving learning outcomes and equity</w:t>
      </w:r>
      <w:r>
        <w:rPr>
          <w:rFonts w:hint="default" w:ascii="Times New Roman" w:hAnsi="Times New Roman" w:cs="Times New Roman"/>
          <w:i/>
          <w:iCs/>
          <w:u w:val="none"/>
        </w:rPr>
        <w:t>. World Bank Group.</w:t>
      </w:r>
    </w:p>
    <w:p w14:paraId="650842C4">
      <w:pPr>
        <w:rPr>
          <w:rFonts w:hint="default" w:ascii="Times New Roman" w:hAnsi="Times New Roman" w:cs="Times New Roman"/>
          <w:i/>
          <w:iCs/>
          <w:u w:val="none"/>
        </w:rPr>
      </w:pPr>
    </w:p>
    <w:sectPr>
      <w:footerReference r:id="rId6" w:type="default"/>
      <w:pgSz w:w="11906" w:h="16838"/>
      <w:pgMar w:top="1440" w:right="1800" w:bottom="1440" w:left="1800" w:header="720" w:footer="720" w:gutter="0"/>
      <w:pgNumType w:fmt="decimal"/>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6188766">
    <w:pPr>
      <w:pStyle w:val="6"/>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9FD6B3C">
    <w:pPr>
      <w:pStyle w:val="6"/>
    </w:pPr>
    <w:r>
      <w:rPr>
        <w:sz w:val="18"/>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6" name="Text Box 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a:extLst>
                        <a:ext uri="{909E8E84-426E-40DD-AFC4-6F175D3DCCD1}">
                          <a14:hiddenFill xmlns:a14="http://schemas.microsoft.com/office/drawing/2010/main">
                            <a:solidFill>
                              <a:schemeClr val="lt1"/>
                            </a:solidFill>
                          </a14:hiddenFill>
                        </a:ext>
                        <a:ext uri="{91240B29-F687-4F45-9708-019B960494DF}">
                          <a14:hiddenLine xmlns:a14="http://schemas.microsoft.com/office/drawing/2010/main" w="6350">
                            <a:solidFill>
                              <a:prstClr val="black"/>
                            </a:solidFill>
                          </a14:hiddenLine>
                        </a:ext>
                      </a:extLst>
                    </wps:spPr>
                    <wps:style>
                      <a:lnRef idx="0">
                        <a:schemeClr val="accent1"/>
                      </a:lnRef>
                      <a:fillRef idx="0">
                        <a:schemeClr val="accent1"/>
                      </a:fillRef>
                      <a:effectRef idx="0">
                        <a:schemeClr val="accent1"/>
                      </a:effectRef>
                      <a:fontRef idx="minor">
                        <a:schemeClr val="dk1"/>
                      </a:fontRef>
                    </wps:style>
                    <wps:txbx>
                      <w:txbxContent>
                        <w:p w14:paraId="6550CBBD">
                          <w:pPr>
                            <w:pStyle w:val="6"/>
                          </w:pPr>
                          <w:r>
                            <w:fldChar w:fldCharType="begin"/>
                          </w:r>
                          <w:r>
                            <w:instrText xml:space="preserve"> PAGE  \* MERGEFORMAT </w:instrText>
                          </w:r>
                          <w:r>
                            <w:fldChar w:fldCharType="separate"/>
                          </w:r>
                          <w:r>
                            <w:t>2</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">
              <v:fill on="f" focussize="0,0"/>
              <v:stroke on="f" weight="0.5pt"/>
              <v:imagedata o:title=""/>
              <o:lock v:ext="edit" aspectratio="f"/>
              <v:textbox inset="0mm,0mm,0mm,0mm" style="mso-fit-shape-to-text:t;">
                <w:txbxContent>
                  <w:p w14:paraId="6550CBBD">
                    <w:pPr>
                      <w:pStyle w:val="6"/>
                    </w:pPr>
                    <w:r>
                      <w:fldChar w:fldCharType="begin"/>
                    </w:r>
                    <w:r>
                      <w:instrText xml:space="preserve"> PAGE  \* MERGEFORMAT </w:instrText>
                    </w:r>
                    <w:r>
                      <w:fldChar w:fldCharType="separate"/>
                    </w:r>
                    <w:r>
                      <w:t>2</w:t>
                    </w:r>
                    <w:r>
                      <w:fldChar w:fldCharType="end"/>
                    </w:r>
                  </w:p>
                </w:txbxContent>
              </v:textbox>
            </v:shape>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FE70E8A">
    <w:pPr>
      <w:pStyle w:val="6"/>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5" name="Text Box 5"/>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7470AF4">
                          <w:pPr>
                            <w:pStyle w:val="6"/>
                          </w:pPr>
                          <w:r>
                            <w:fldChar w:fldCharType="begin"/>
                          </w:r>
                          <w:r>
                            <w:instrText xml:space="preserve"> PAGE  \* MERGEFORMAT </w:instrText>
                          </w:r>
                          <w:r>
                            <w:fldChar w:fldCharType="separate"/>
                          </w:r>
                          <w:r>
                            <w:t>1</w:t>
                          </w:r>
                          <w: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">
              <v:fill on="f" focussize="0,0"/>
              <v:stroke on="f" weight="0.5pt"/>
              <v:imagedata o:title=""/>
              <o:lock v:ext="edit" aspectratio="f"/>
              <v:textbox inset="0mm,0mm,0mm,0mm" style="mso-fit-shape-to-text:t;">
                <w:txbxContent>
                  <w:p w14:paraId="47470AF4">
                    <w:pPr>
                      <w:pStyle w:val="6"/>
                    </w:pPr>
                    <w:r>
                      <w:fldChar w:fldCharType="begin"/>
                    </w:r>
                    <w:r>
                      <w:instrText xml:space="preserve"> PAGE  \* MERGEFORMAT </w:instrText>
                    </w:r>
                    <w:r>
                      <w:fldChar w:fldCharType="separate"/>
                    </w:r>
                    <w:r>
                      <w:t>1</w:t>
                    </w:r>
                    <w: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FEC2F49">
    <w:pPr>
      <w:pStyle w:val="7"/>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0"/>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compat>
    <w:spaceForUL/>
    <w:doNotLeaveBackslashAlone/>
    <w:ulTrailSpace/>
    <w:doNotExpandShiftReturn/>
    <w:adjustLineHeightInTable/>
    <w:doNotWrapTextWithPunct/>
    <w:doNotUseEastAsian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243521A"/>
    <w:rsid w:val="047B0A99"/>
    <w:rsid w:val="144D3964"/>
    <w:rsid w:val="16721A06"/>
    <w:rsid w:val="21E14005"/>
    <w:rsid w:val="28C277A7"/>
    <w:rsid w:val="363008D6"/>
    <w:rsid w:val="4A88284C"/>
    <w:rsid w:val="4DE45CAA"/>
    <w:rsid w:val="53DB2288"/>
    <w:rsid w:val="6C5A6B55"/>
    <w:rsid w:val="7A431165"/>
    <w:rsid w:val="7D26476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next w:val="1"/>
    <w:qFormat/>
    <w:uiPriority w:val="0"/>
    <w:pPr>
      <w:spacing w:before="0" w:beforeAutospacing="1" w:after="0" w:afterAutospacing="1"/>
      <w:jc w:val="left"/>
    </w:pPr>
    <w:rPr>
      <w:rFonts w:hint="eastAsia" w:ascii="SimSun" w:hAnsi="SimSun" w:eastAsia="SimSun" w:cs="SimSun"/>
      <w:b/>
      <w:bCs/>
      <w:kern w:val="44"/>
      <w:sz w:val="48"/>
      <w:szCs w:val="48"/>
      <w:lang w:val="en-US" w:eastAsia="zh-CN" w:bidi="ar"/>
    </w:rPr>
  </w:style>
  <w:style w:type="character" w:default="1" w:styleId="3">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character" w:styleId="5">
    <w:name w:val="Emphasis"/>
    <w:basedOn w:val="3"/>
    <w:qFormat/>
    <w:uiPriority w:val="0"/>
    <w:rPr>
      <w:i/>
      <w:iCs/>
    </w:rPr>
  </w:style>
  <w:style w:type="paragraph" w:styleId="6">
    <w:name w:val="footer"/>
    <w:basedOn w:val="1"/>
    <w:uiPriority w:val="0"/>
    <w:pPr>
      <w:tabs>
        <w:tab w:val="center" w:pos="4153"/>
        <w:tab w:val="right" w:pos="8306"/>
      </w:tabs>
      <w:snapToGrid w:val="0"/>
      <w:jc w:val="left"/>
    </w:pPr>
    <w:rPr>
      <w:sz w:val="18"/>
      <w:szCs w:val="18"/>
    </w:rPr>
  </w:style>
  <w:style w:type="paragraph" w:styleId="7">
    <w:name w:val="header"/>
    <w:basedOn w:val="1"/>
    <w:uiPriority w:val="0"/>
    <w:pPr>
      <w:tabs>
        <w:tab w:val="center" w:pos="4153"/>
        <w:tab w:val="right" w:pos="8306"/>
      </w:tabs>
      <w:snapToGrid w:val="0"/>
    </w:pPr>
    <w:rPr>
      <w:sz w:val="18"/>
      <w:szCs w:val="18"/>
    </w:rPr>
  </w:style>
  <w:style w:type="paragraph" w:styleId="8">
    <w:name w:val="Normal (Web)"/>
    <w:qFormat/>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9">
    <w:name w:val="Strong"/>
    <w:basedOn w:val="3"/>
    <w:qFormat/>
    <w:uiPriority w:val="0"/>
    <w:rPr>
      <w:b/>
      <w:bCs/>
    </w:rPr>
  </w:style>
  <w:style w:type="paragraph" w:styleId="10">
    <w:name w:val="No Spacing"/>
    <w:qFormat/>
    <w:uiPriority w:val="1"/>
    <w:rPr>
      <w:rFonts w:asciiTheme="minorHAnsi" w:hAnsiTheme="minorHAnsi" w:eastAsiaTheme="minorEastAsia" w:cstheme="minorBidi"/>
      <w:sz w:val="22"/>
      <w:szCs w:val="22"/>
      <w:lang w:val="en-US" w:eastAsia="ja-JP" w:bidi="ar-SA"/>
    </w:rPr>
  </w:style>
</w:styles>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footer" Target="footer3.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1" Type="http://schemas.openxmlformats.org/officeDocument/2006/relationships/fontTable" Target="fontTable.xml"/><Relationship Id="rId10" Type="http://schemas.openxmlformats.org/officeDocument/2006/relationships/customXml" Target="../customXml/item1.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10</Pages>
  <Words>3118</Words>
  <Characters>21109</Characters>
  <Lines>0</Lines>
  <Paragraphs>0</Paragraphs>
  <TotalTime>3</TotalTime>
  <ScaleCrop>false</ScaleCrop>
  <LinksUpToDate>false</LinksUpToDate>
  <CharactersWithSpaces>24131</CharactersWithSpaces>
  <Application>WPS Office_12.2.0.21931_F1E327BC-269C-435d-A152-05C5408002CA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2025-11-30T15:22:00Z</dcterms:created>
  <dc:creator>user</dc:creator>
  <cp:lastModifiedBy>BOSONGOKISII TV</cp:lastModifiedBy>
  <dcterms:modified xsi:type="dcterms:W3CDTF">2025-12-09T05:34:43Z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2057-12.2.0.21931</vt:lpwstr>
  </property>
  <property fmtid="{D5CDD505-2E9C-101B-9397-08002B2CF9AE}" pid="3" name="ICV">
    <vt:lpwstr>842BDE38127348BB9434DEC197A0D0EE_12</vt:lpwstr>
  </property>
</Properties>
</file>