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ajorHAnsi" w:hAnsiTheme="majorHAnsi" w:eastAsiaTheme="majorEastAsia" w:cstheme="majorBidi"/>
          <w:caps/>
        </w:rPr>
        <w:id w:val="-648739168"/>
        <w:docPartObj>
          <w:docPartGallery w:val="autotext"/>
        </w:docPartObj>
      </w:sdtPr>
      <w:sdtEndPr>
        <w:rPr>
          <w:rStyle w:val="11"/>
          <w:rFonts w:ascii="Times New Roman" w:hAnsi="Times New Roman" w:eastAsia="Segoe UI" w:cs="Times New Roman"/>
          <w:caps w:val="0"/>
          <w:sz w:val="40"/>
          <w:szCs w:val="40"/>
          <w:lang w:eastAsia="zh-CN"/>
        </w:rPr>
      </w:sdtEndPr>
      <w:sdtContent>
        <w:p w14:paraId="0AA2355D">
          <w:bookmarkStart w:id="0" w:name="_page_1_0"/>
        </w:p>
        <w:tbl>
          <w:tblPr>
            <w:tblStyle w:val="5"/>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10166"/>
          </w:tblGrid>
          <w:tr w14:paraId="2EC8566D">
            <w:tblPrEx>
              <w:tblCellMar>
                <w:top w:w="0" w:type="dxa"/>
                <w:left w:w="108" w:type="dxa"/>
                <w:bottom w:w="0" w:type="dxa"/>
                <w:right w:w="108" w:type="dxa"/>
              </w:tblCellMar>
            </w:tblPrEx>
            <w:tc>
              <w:tcPr>
                <w:tcW w:w="5000" w:type="pct"/>
              </w:tcPr>
              <w:p w14:paraId="5FFC55C5">
                <w:pPr>
                  <w:pStyle w:val="15"/>
                </w:pPr>
              </w:p>
            </w:tc>
          </w:tr>
        </w:tbl>
        <w:p w14:paraId="60E810B7">
          <w:pPr>
            <w:pStyle w:val="2"/>
            <w:rPr>
              <w:rFonts w:ascii="Times New Roman" w:hAnsi="Times New Roman" w:cs="Times New Roman"/>
              <w:color w:val="auto"/>
              <w:sz w:val="40"/>
              <w:szCs w:val="40"/>
            </w:rPr>
          </w:pPr>
          <w:r>
            <w:rPr>
              <w:rFonts w:ascii="Times New Roman" w:hAnsi="Times New Roman" w:cs="Times New Roman"/>
              <w:color w:val="auto"/>
              <w:sz w:val="40"/>
              <w:szCs w:val="40"/>
            </w:rPr>
            <w:t>DOMESTIC CHORES AND DROPOUT RATE OF GIRLS IN JUNIOR SECONDARY SCHOOLS IN LAGDERA SUB-COUNTY, KENYA</w:t>
          </w:r>
        </w:p>
        <w:p w14:paraId="3C5167ED">
          <w:pPr>
            <w:keepNext/>
            <w:keepLines/>
            <w:ind w:left="180" w:hanging="360"/>
            <w:jc w:val="center"/>
            <w:outlineLvl w:val="0"/>
            <w:rPr>
              <w:rFonts w:ascii="Times New Roman" w:hAnsi="Times New Roman" w:cs="Times New Roman"/>
              <w:b/>
              <w:bCs/>
              <w:sz w:val="40"/>
              <w:szCs w:val="40"/>
              <w:lang w:val="zh-CN" w:eastAsia="zh-CN"/>
            </w:rPr>
          </w:pPr>
        </w:p>
        <w:p w14:paraId="5C5F34EC">
          <w:pPr>
            <w:jc w:val="center"/>
            <w:rPr>
              <w:rFonts w:ascii="Times New Roman" w:hAnsi="Times New Roman" w:cs="Times New Roman"/>
              <w:b/>
              <w:bCs/>
              <w:sz w:val="40"/>
              <w:szCs w:val="40"/>
            </w:rPr>
          </w:pPr>
        </w:p>
        <w:p w14:paraId="6CB5D772">
          <w:pPr>
            <w:jc w:val="center"/>
            <w:rPr>
              <w:rFonts w:ascii="Times New Roman" w:hAnsi="Times New Roman" w:cs="Times New Roman"/>
              <w:b/>
              <w:bCs/>
              <w:sz w:val="40"/>
              <w:szCs w:val="40"/>
            </w:rPr>
          </w:pPr>
          <w:r>
            <w:rPr>
              <w:rFonts w:ascii="Times New Roman" w:hAnsi="Times New Roman" w:cs="Times New Roman"/>
              <w:b/>
              <w:bCs/>
              <w:sz w:val="40"/>
              <w:szCs w:val="40"/>
            </w:rPr>
            <w:t>PATRICK SAITOTI NYAKORA</w:t>
          </w:r>
        </w:p>
        <w:p w14:paraId="6D628F50">
          <w:pPr>
            <w:shd w:val="clear" w:color="auto" w:fill="FFFFFF"/>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E301/P2783/24</w:t>
          </w:r>
        </w:p>
        <w:p w14:paraId="4736B1AE">
          <w:pPr>
            <w:jc w:val="both"/>
            <w:rPr>
              <w:rFonts w:ascii="Times New Roman" w:hAnsi="Times New Roman" w:cs="Times New Roman"/>
              <w:b/>
              <w:bCs/>
              <w:sz w:val="40"/>
              <w:szCs w:val="40"/>
            </w:rPr>
          </w:pPr>
        </w:p>
        <w:p w14:paraId="4C1B587A">
          <w:pPr>
            <w:jc w:val="center"/>
            <w:rPr>
              <w:rStyle w:val="11"/>
              <w:rFonts w:ascii="Times New Roman" w:hAnsi="Times New Roman" w:eastAsia="Segoe UI" w:cs="Times New Roman"/>
              <w:sz w:val="40"/>
              <w:szCs w:val="40"/>
              <w:lang w:eastAsia="zh-CN"/>
            </w:rPr>
          </w:pPr>
        </w:p>
        <w:p w14:paraId="294B3B91">
          <w:pPr>
            <w:jc w:val="center"/>
            <w:rPr>
              <w:rStyle w:val="11"/>
              <w:rFonts w:ascii="Times New Roman" w:hAnsi="Times New Roman" w:eastAsia="Segoe UI" w:cs="Times New Roman"/>
              <w:sz w:val="40"/>
              <w:szCs w:val="40"/>
              <w:lang w:eastAsia="zh-CN"/>
            </w:rPr>
          </w:pPr>
          <w:r>
            <w:rPr>
              <w:rStyle w:val="11"/>
              <w:rFonts w:ascii="Times New Roman" w:hAnsi="Times New Roman" w:eastAsia="Segoe UI" w:cs="Times New Roman"/>
              <w:sz w:val="40"/>
              <w:szCs w:val="40"/>
              <w:lang w:eastAsia="zh-CN"/>
            </w:rPr>
            <w:t xml:space="preserve">A CONCEPT PAPER SUBMITTED TO THE SCHOOL OF EDUCATON, ARTS AND SOCIAL SCIENCES  AS PART OF THE REQUIREMENTS FOR THE CONFERMENT OF DEGREE OF MASTER OF EDUCATION </w:t>
          </w:r>
        </w:p>
        <w:p w14:paraId="120B6EC6">
          <w:pPr>
            <w:jc w:val="center"/>
            <w:rPr>
              <w:rStyle w:val="11"/>
              <w:rFonts w:ascii="Times New Roman" w:hAnsi="Times New Roman" w:eastAsia="Segoe UI" w:cs="Times New Roman"/>
              <w:sz w:val="40"/>
              <w:szCs w:val="40"/>
              <w:lang w:eastAsia="zh-CN"/>
            </w:rPr>
          </w:pPr>
          <w:r>
            <w:rPr>
              <w:rStyle w:val="11"/>
              <w:rFonts w:ascii="Times New Roman" w:hAnsi="Times New Roman" w:eastAsia="Segoe UI" w:cs="Times New Roman"/>
              <w:sz w:val="40"/>
              <w:szCs w:val="40"/>
              <w:lang w:eastAsia="zh-CN"/>
            </w:rPr>
            <w:t xml:space="preserve">IN CURRICULUM STUDIES, </w:t>
          </w:r>
        </w:p>
        <w:p w14:paraId="472B9069">
          <w:pPr>
            <w:jc w:val="center"/>
            <w:rPr>
              <w:rStyle w:val="11"/>
              <w:rFonts w:ascii="Times New Roman" w:hAnsi="Times New Roman" w:eastAsia="Segoe UI" w:cs="Times New Roman"/>
              <w:sz w:val="40"/>
              <w:szCs w:val="40"/>
              <w:lang w:eastAsia="zh-CN"/>
            </w:rPr>
          </w:pPr>
          <w:r>
            <w:rPr>
              <w:rStyle w:val="11"/>
              <w:rFonts w:ascii="Times New Roman" w:hAnsi="Times New Roman" w:eastAsia="Segoe UI" w:cs="Times New Roman"/>
              <w:sz w:val="40"/>
              <w:szCs w:val="40"/>
              <w:lang w:eastAsia="zh-CN"/>
            </w:rPr>
            <w:t>GARISSA UNIVERSITY</w:t>
          </w:r>
        </w:p>
        <w:p w14:paraId="1FE0708E">
          <w:pPr>
            <w:jc w:val="center"/>
            <w:rPr>
              <w:rFonts w:ascii="Times New Roman" w:hAnsi="Times New Roman" w:eastAsia="Segoe UI" w:cs="Times New Roman"/>
              <w:b/>
              <w:bCs/>
              <w:sz w:val="40"/>
              <w:szCs w:val="40"/>
              <w:lang w:eastAsia="zh-CN"/>
            </w:rPr>
          </w:pPr>
          <w:r>
            <w:rPr>
              <w:rStyle w:val="11"/>
              <w:rFonts w:ascii="Times New Roman" w:hAnsi="Times New Roman" w:eastAsia="Segoe UI" w:cs="Times New Roman"/>
              <w:sz w:val="40"/>
              <w:szCs w:val="40"/>
              <w:lang w:eastAsia="zh-CN"/>
            </w:rPr>
            <w:t xml:space="preserve">    AUGUST, </w:t>
          </w:r>
          <w:r>
            <w:rPr>
              <w:rFonts w:ascii="Times New Roman" w:hAnsi="Times New Roman" w:cs="Times New Roman"/>
              <w:b/>
              <w:bCs/>
              <w:sz w:val="40"/>
              <w:szCs w:val="40"/>
            </w:rPr>
            <w:t>2025</w:t>
          </w:r>
        </w:p>
        <w:p w14:paraId="680136CB">
          <w:pPr>
            <w:spacing w:line="240" w:lineRule="exact"/>
            <w:rPr>
              <w:rFonts w:ascii="Times New Roman" w:hAnsi="Times New Roman" w:eastAsia="Times New Roman" w:cs="Times New Roman"/>
              <w:sz w:val="24"/>
              <w:szCs w:val="24"/>
            </w:rPr>
          </w:pPr>
        </w:p>
        <w:p w14:paraId="4C156EED">
          <w:pPr>
            <w:spacing w:line="240" w:lineRule="exact"/>
            <w:rPr>
              <w:rFonts w:ascii="Times New Roman" w:hAnsi="Times New Roman" w:eastAsia="Times New Roman" w:cs="Times New Roman"/>
              <w:sz w:val="24"/>
              <w:szCs w:val="24"/>
            </w:rPr>
          </w:pPr>
        </w:p>
        <w:p w14:paraId="075DF6C5">
          <w:pPr>
            <w:spacing w:after="18" w:line="140" w:lineRule="exact"/>
            <w:rPr>
              <w:rFonts w:ascii="Times New Roman" w:hAnsi="Times New Roman" w:eastAsia="Times New Roman" w:cs="Times New Roman"/>
              <w:sz w:val="14"/>
              <w:szCs w:val="14"/>
            </w:rPr>
          </w:pPr>
        </w:p>
        <w:p w14:paraId="235C3A94"/>
        <w:p w14:paraId="2A700A08">
          <w:pPr>
            <w:rPr>
              <w:rStyle w:val="11"/>
              <w:rFonts w:ascii="Times New Roman" w:hAnsi="Times New Roman" w:eastAsia="Segoe UI" w:cs="Times New Roman"/>
              <w:b w:val="0"/>
              <w:bCs w:val="0"/>
              <w:sz w:val="40"/>
              <w:szCs w:val="40"/>
              <w:lang w:eastAsia="zh-CN"/>
            </w:rPr>
          </w:pPr>
          <w:r>
            <w:rPr>
              <w:rStyle w:val="11"/>
              <w:rFonts w:ascii="Times New Roman" w:hAnsi="Times New Roman" w:eastAsia="Segoe UI" w:cs="Times New Roman"/>
              <w:b w:val="0"/>
              <w:bCs w:val="0"/>
              <w:sz w:val="40"/>
              <w:szCs w:val="40"/>
              <w:lang w:eastAsia="zh-CN"/>
            </w:rPr>
            <w:br w:type="page"/>
          </w:r>
        </w:p>
      </w:sdtContent>
    </w:sdt>
    <w:p w14:paraId="78A1D65D">
      <w:pPr>
        <w:rPr>
          <w:rFonts w:ascii="Times New Roman" w:hAnsi="Times New Roman" w:eastAsia="Segoe UI" w:cs="Times New Roman"/>
          <w:b/>
          <w:bCs/>
          <w:sz w:val="40"/>
          <w:szCs w:val="40"/>
          <w:lang w:eastAsia="zh-CN"/>
        </w:rPr>
      </w:pPr>
      <w:r>
        <w:rPr>
          <w:rFonts w:ascii="Times New Roman" w:hAnsi="Times New Roman" w:eastAsia="Times New Roman" w:cs="Times New Roman"/>
          <w:b/>
          <w:bCs/>
          <w:color w:val="282425"/>
          <w:sz w:val="24"/>
          <w:szCs w:val="24"/>
        </w:rPr>
        <w:t>1.</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rod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ion</w:t>
      </w:r>
    </w:p>
    <w:p w14:paraId="6C6941BB">
      <w:pPr>
        <w:spacing w:after="2"/>
        <w:rPr>
          <w:rFonts w:ascii="Times New Roman" w:hAnsi="Times New Roman" w:eastAsia="Times New Roman" w:cs="Times New Roman"/>
          <w:sz w:val="24"/>
          <w:szCs w:val="24"/>
        </w:rPr>
      </w:pPr>
    </w:p>
    <w:p w14:paraId="783B994A">
      <w:pPr>
        <w:widowControl w:val="0"/>
        <w:ind w:right="-20"/>
        <w:rPr>
          <w:rFonts w:ascii="Times New Roman" w:hAnsi="Times New Roman" w:eastAsia="Times New Roman"/>
          <w:color w:val="282425"/>
          <w:sz w:val="24"/>
          <w:szCs w:val="24"/>
        </w:rPr>
      </w:pPr>
      <w:r>
        <w:rPr>
          <w:rFonts w:ascii="Times New Roman" w:hAnsi="Times New Roman" w:eastAsia="Times New Roman"/>
          <w:color w:val="282425"/>
          <w:sz w:val="24"/>
          <w:szCs w:val="24"/>
        </w:rPr>
        <w:t>In parts of Kenya that are more arid and semi-arid in nature, such as in Lagdera Sub-County of Garissa County, junior secondary school girls have to shoulder a significantly greater amount of household work. This includes fetching of water, cooking, a cleaning, taking care of children, and a tending to livestock. This multitasking diminishes the girl's school attendance and hampers their concentration during lessons and their ability to do school work, in homework, to a troubling degree. This in turn adversely impacts the girls academically and increases the likelihood of increased absenteeism, early marriage and then dropping out of school. While national and local education policies on the other hand aim to provide equal education opportunities to all children, the realities in many communities such as Lagdera seem to work in the opposite direction. Socio-economic forces along with deep-rooted cultural customs continue to place a greater valuing on domestic chores as opposed to education for girls contrary to well-meaning policies for gender balance. This discrepancy between demands at home and school hinders educational retention and success for girls. This is why the study aims to assess the extent of the domestic chore burden and dropout rates in junior secondary school girls, analyzing the gaps in policy enforcement and the socio-cultural influences that make this issue persistently complex and entrenched in local contexts.</w:t>
      </w:r>
    </w:p>
    <w:p w14:paraId="14555303">
      <w:pPr>
        <w:widowControl w:val="0"/>
        <w:ind w:right="-20"/>
        <w:rPr>
          <w:rFonts w:ascii="Times New Roman" w:hAnsi="Times New Roman" w:eastAsia="Times New Roman"/>
          <w:color w:val="282425"/>
          <w:sz w:val="24"/>
          <w:szCs w:val="24"/>
        </w:rPr>
      </w:pPr>
    </w:p>
    <w:p w14:paraId="531B93CB">
      <w:pPr>
        <w:widowControl w:val="0"/>
        <w:numPr>
          <w:ilvl w:val="0"/>
          <w:numId w:val="1"/>
        </w:numPr>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Ba</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kgrou</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d </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bookmarkEnd w:id="0"/>
    <w:p w14:paraId="5BE8A4C2">
      <w:pPr>
        <w:spacing w:after="89"/>
        <w:rPr>
          <w:rFonts w:ascii="Times New Roman" w:hAnsi="Times New Roman" w:eastAsia="Times New Roman"/>
          <w:sz w:val="24"/>
          <w:szCs w:val="24"/>
        </w:rPr>
      </w:pPr>
      <w:bookmarkStart w:id="1" w:name="_page_14_0"/>
      <w:r>
        <w:rPr>
          <w:rFonts w:hint="default" w:ascii="Times New Roman" w:hAnsi="Times New Roman" w:eastAsia="Times New Roman"/>
          <w:sz w:val="24"/>
          <w:szCs w:val="24"/>
          <w:lang w:val="en-US"/>
        </w:rPr>
        <w:t>E</w:t>
      </w:r>
      <w:r>
        <w:rPr>
          <w:rFonts w:ascii="Times New Roman" w:hAnsi="Times New Roman" w:eastAsia="Times New Roman"/>
          <w:sz w:val="24"/>
          <w:szCs w:val="24"/>
        </w:rPr>
        <w:t>ducation catalyzes social and economic develop</w:t>
      </w:r>
      <w:r>
        <w:rPr>
          <w:rFonts w:hint="default" w:ascii="Times New Roman" w:hAnsi="Times New Roman" w:eastAsia="Times New Roman"/>
          <w:sz w:val="24"/>
          <w:szCs w:val="24"/>
          <w:lang w:val="en-US"/>
        </w:rPr>
        <w:t>m</w:t>
      </w:r>
      <w:r>
        <w:rPr>
          <w:rFonts w:ascii="Times New Roman" w:hAnsi="Times New Roman" w:eastAsia="Times New Roman"/>
          <w:sz w:val="24"/>
          <w:szCs w:val="24"/>
        </w:rPr>
        <w:t>ent</w:t>
      </w:r>
      <w:r>
        <w:rPr>
          <w:rFonts w:hint="default" w:ascii="Times New Roman" w:hAnsi="Times New Roman" w:eastAsia="Times New Roman"/>
          <w:sz w:val="24"/>
          <w:szCs w:val="24"/>
          <w:lang w:val="en-US"/>
        </w:rPr>
        <w:t xml:space="preserve"> </w:t>
      </w:r>
      <w:r>
        <w:rPr>
          <w:rFonts w:ascii="Times New Roman" w:hAnsi="Times New Roman" w:eastAsia="Times New Roman"/>
          <w:sz w:val="24"/>
          <w:szCs w:val="24"/>
        </w:rPr>
        <w:t>especially for girls from low-income families. In Kenya, policy frameworks like Free Primary Education and Subsidized Secondary Education have attempted to bridge the gender gap in education. In spite of these policies, there is stil</w:t>
      </w:r>
      <w:r>
        <w:rPr>
          <w:rFonts w:hint="default" w:ascii="Times New Roman" w:hAnsi="Times New Roman" w:eastAsia="Times New Roman"/>
          <w:sz w:val="24"/>
          <w:szCs w:val="24"/>
          <w:lang w:val="en-US"/>
        </w:rPr>
        <w:t>l</w:t>
      </w:r>
      <w:r>
        <w:rPr>
          <w:rFonts w:ascii="Times New Roman" w:hAnsi="Times New Roman" w:eastAsia="Times New Roman"/>
          <w:sz w:val="24"/>
          <w:szCs w:val="24"/>
        </w:rPr>
        <w:t xml:space="preserve"> high dropout rate among girls from the arid and semi-arid areas, like Lagdera Sub-County. One of the single most contributing factors to this problem is the domestic workload of schooling age girls, which in turn, greatly hampers their schooling activities and achievements.  </w:t>
      </w:r>
    </w:p>
    <w:p w14:paraId="5448A9F8">
      <w:pPr>
        <w:spacing w:after="89"/>
        <w:rPr>
          <w:rFonts w:ascii="Times New Roman" w:hAnsi="Times New Roman" w:eastAsia="Times New Roman"/>
          <w:sz w:val="24"/>
          <w:szCs w:val="24"/>
        </w:rPr>
      </w:pPr>
      <w:r>
        <w:rPr>
          <w:rFonts w:ascii="Times New Roman" w:hAnsi="Times New Roman" w:eastAsia="Times New Roman"/>
          <w:sz w:val="24"/>
          <w:szCs w:val="24"/>
        </w:rPr>
        <w:t>Culturally, girls are assigned responsibilities like fetching firewood, babysitting, laundry, and cooking. Although these chores are culturally appreciated, they directly detract from the much-needed time to study, lead to exhaustion, and impact their grades negatively. The sustained and overwhelming expectation of these chores perpetually entraps a multitude of girls into an educationally incomplete and low educationally-advanced, under-educated life. This problem is made worse by low parental awareness and minimal understanding of policies aimed at protecting children. This research, therefore, attempts to fill this gap by studying the impact of domestic chores on school dropout rates of girls in junior secondary school.</w:t>
      </w:r>
    </w:p>
    <w:p w14:paraId="27265083">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3.</w:t>
      </w:r>
      <w:r>
        <w:rPr>
          <w:rFonts w:ascii="Times New Roman" w:hAnsi="Times New Roman" w:eastAsia="Times New Roman" w:cs="Times New Roman"/>
          <w:b/>
          <w:bCs/>
          <w:color w:val="282425"/>
          <w:spacing w:val="6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pacing w:val="-5"/>
          <w:sz w:val="24"/>
          <w:szCs w:val="24"/>
        </w:rPr>
        <w:t>e</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t</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rob</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em</w:t>
      </w:r>
    </w:p>
    <w:p w14:paraId="2885E75D">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In Lagdera Sub-County many girls in junior secondary schools are burdened with heavy domestic workloads which limit their opportunity for regular attendance at school and ultimately success. Chores such as collecting water, cooking, cleaning, babysitting siblings, fetching firewood, and taking care of animals take up valuable time and physical stamina that would be used for studying. After girls complete their chores, low self-worth, absenteeism, poor school achievements follow logically. </w:t>
      </w:r>
    </w:p>
    <w:p w14:paraId="6A9B6140">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In spite of government initiatives promoting girls' rights to education and girls' entitlement to education equally with boys, dropout rates for girls still seem to be alarmingly high in Lagdera. Researchers have examined intensive qualitative research barriers to girls' educational achievement many of which highlight access issues such as poverty and early marriage however not specifically how domestic chores shape participation and performance within Lagdera. By examining the nature and effects of domestic chores (any and all domestic work the girls do), what parents are made aware of by teachers, and the extent of a focus on child labour policy, this study aims to be the first to suggest an evidence-based course of action for stakeholders interested in promoting the education of girls.</w:t>
      </w:r>
    </w:p>
    <w:p w14:paraId="196609CB">
      <w:pPr>
        <w:widowControl w:val="0"/>
        <w:ind w:right="-20"/>
        <w:rPr>
          <w:rFonts w:ascii="Times New Roman" w:hAnsi="Times New Roman" w:eastAsia="Times New Roman" w:cs="Times New Roman"/>
          <w:color w:val="282425"/>
          <w:sz w:val="24"/>
          <w:szCs w:val="24"/>
        </w:rPr>
      </w:pPr>
    </w:p>
    <w:p w14:paraId="66B88F77">
      <w:pPr>
        <w:widowControl w:val="0"/>
        <w:numPr>
          <w:ilvl w:val="0"/>
          <w:numId w:val="1"/>
        </w:numPr>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urpo</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3"/>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p w14:paraId="0FB40E13">
      <w:pPr>
        <w:widowControl w:val="0"/>
        <w:ind w:right="-20"/>
        <w:rPr>
          <w:rFonts w:ascii="Times New Roman" w:hAnsi="Times New Roman" w:cs="Times New Roman"/>
          <w:sz w:val="24"/>
          <w:szCs w:val="24"/>
        </w:rPr>
      </w:pPr>
      <w:r>
        <w:rPr>
          <w:rFonts w:ascii="Times New Roman" w:hAnsi="Times New Roman" w:cs="Times New Roman"/>
          <w:sz w:val="24"/>
          <w:szCs w:val="24"/>
        </w:rPr>
        <w:t>The study seeks to investigate the link between domestic chores and dropout rates among girls in junior secondary schools within Lagdera Sub-County. The research will focus on understanding how domestic responsibilities, parental awareness, and enforcement of child labour laws influence girls’ ability to remain in school.</w:t>
      </w:r>
    </w:p>
    <w:p w14:paraId="7EEDB899">
      <w:pPr>
        <w:widowControl w:val="0"/>
        <w:ind w:right="565"/>
        <w:jc w:val="both"/>
        <w:rPr>
          <w:rFonts w:ascii="Times New Roman" w:hAnsi="Times New Roman" w:eastAsia="Times New Roman" w:cs="Times New Roman"/>
          <w:color w:val="282425"/>
          <w:spacing w:val="2"/>
          <w:sz w:val="24"/>
          <w:szCs w:val="24"/>
        </w:rPr>
      </w:pPr>
    </w:p>
    <w:bookmarkEnd w:id="1"/>
    <w:p w14:paraId="5DDAB521">
      <w:pPr>
        <w:widowControl w:val="0"/>
        <w:numPr>
          <w:ilvl w:val="0"/>
          <w:numId w:val="1"/>
        </w:numPr>
        <w:ind w:right="-20"/>
        <w:rPr>
          <w:rFonts w:ascii="Times New Roman" w:hAnsi="Times New Roman" w:eastAsia="Times New Roman" w:cs="Times New Roman"/>
          <w:b/>
          <w:bCs/>
          <w:color w:val="282425"/>
          <w:sz w:val="24"/>
          <w:szCs w:val="24"/>
        </w:rPr>
      </w:pPr>
      <w:bookmarkStart w:id="2" w:name="_page_18_0"/>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bj</w:t>
      </w:r>
      <w:r>
        <w:rPr>
          <w:rFonts w:ascii="Times New Roman" w:hAnsi="Times New Roman" w:eastAsia="Times New Roman" w:cs="Times New Roman"/>
          <w:b/>
          <w:bCs/>
          <w:color w:val="282425"/>
          <w:sz w:val="24"/>
          <w:szCs w:val="24"/>
        </w:rPr>
        <w:t>ect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 xml:space="preserve">ves 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4C564800">
      <w:pPr>
        <w:pStyle w:val="10"/>
        <w:numPr>
          <w:ilvl w:val="0"/>
          <w:numId w:val="2"/>
        </w:numPr>
        <w:rPr>
          <w:rFonts w:eastAsia="Times New Roman"/>
          <w:color w:val="282425"/>
        </w:rPr>
      </w:pPr>
      <w:r>
        <w:t>To examine the types of domestic chores assigned to girls and their relationship to dropout rates in junior secondary schools in Lagdera Sub-County.</w:t>
      </w:r>
    </w:p>
    <w:p w14:paraId="1E232ED6">
      <w:pPr>
        <w:pStyle w:val="10"/>
        <w:numPr>
          <w:ilvl w:val="0"/>
          <w:numId w:val="2"/>
        </w:numPr>
        <w:rPr>
          <w:rFonts w:eastAsia="Times New Roman"/>
          <w:color w:val="282425"/>
        </w:rPr>
      </w:pPr>
      <w:r>
        <w:t>To assess the effects of domestic chores on girls’ academic performance and school attendance.</w:t>
      </w:r>
    </w:p>
    <w:p w14:paraId="78303B08">
      <w:pPr>
        <w:pStyle w:val="10"/>
        <w:numPr>
          <w:ilvl w:val="0"/>
          <w:numId w:val="2"/>
        </w:numPr>
        <w:rPr>
          <w:rFonts w:eastAsia="Times New Roman"/>
          <w:color w:val="282425"/>
        </w:rPr>
      </w:pPr>
      <w:r>
        <w:t>To evaluate the level of parental sensitization on the impact of domestic chores on girls’ education.</w:t>
      </w:r>
    </w:p>
    <w:p w14:paraId="4552093C">
      <w:pPr>
        <w:pStyle w:val="10"/>
        <w:numPr>
          <w:ilvl w:val="0"/>
          <w:numId w:val="2"/>
        </w:numPr>
        <w:rPr>
          <w:rFonts w:eastAsia="Times New Roman"/>
          <w:color w:val="282425"/>
        </w:rPr>
      </w:pPr>
      <w:r>
        <w:t>To analyze the enforcement of child labour policies in relation to dropout rates among girls in junior secondary schools.</w:t>
      </w:r>
    </w:p>
    <w:p w14:paraId="56FF3579">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6.</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Qu</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rc</w:t>
      </w:r>
      <w:r>
        <w:rPr>
          <w:rFonts w:ascii="Times New Roman" w:hAnsi="Times New Roman" w:eastAsia="Times New Roman" w:cs="Times New Roman"/>
          <w:b/>
          <w:bCs/>
          <w:color w:val="282425"/>
          <w:sz w:val="24"/>
          <w:szCs w:val="24"/>
        </w:rPr>
        <w:t>h</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1"/>
          <w:sz w:val="24"/>
          <w:szCs w:val="24"/>
        </w:rPr>
        <w:t>Qu</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 or</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z w:val="24"/>
          <w:szCs w:val="24"/>
        </w:rPr>
        <w:t>)</w:t>
      </w:r>
    </w:p>
    <w:p w14:paraId="585D2BC0">
      <w:pPr>
        <w:widowControl w:val="0"/>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This study will be guided by the following research questions:</w:t>
      </w:r>
    </w:p>
    <w:p w14:paraId="41DF34E7">
      <w:pPr>
        <w:widowControl w:val="0"/>
        <w:numPr>
          <w:ilvl w:val="0"/>
          <w:numId w:val="3"/>
        </w:numPr>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What types of domestic chores are commonly assigned to girls in junior secondary schools in Lagdera Sub-County?</w:t>
      </w:r>
    </w:p>
    <w:p w14:paraId="3412A007">
      <w:pPr>
        <w:widowControl w:val="0"/>
        <w:numPr>
          <w:ilvl w:val="0"/>
          <w:numId w:val="3"/>
        </w:numPr>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How do domestic chores influence girls’ academic performance and school attendance in junior secondary schools?</w:t>
      </w:r>
    </w:p>
    <w:p w14:paraId="62CA08AC">
      <w:pPr>
        <w:widowControl w:val="0"/>
        <w:numPr>
          <w:ilvl w:val="0"/>
          <w:numId w:val="3"/>
        </w:numPr>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What is the level of parental awareness regarding the impact of domestic chores on girls’ education in Lagdera Sub-County?</w:t>
      </w:r>
    </w:p>
    <w:p w14:paraId="60763DB3">
      <w:pPr>
        <w:widowControl w:val="0"/>
        <w:numPr>
          <w:ilvl w:val="0"/>
          <w:numId w:val="3"/>
        </w:numPr>
        <w:ind w:right="57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282425"/>
          <w:spacing w:val="2"/>
          <w:sz w:val="24"/>
          <w:szCs w:val="24"/>
        </w:rPr>
        <w:t>How effective is the enforcement of child labour policies in addressing dropout rates among girls in junior secondary schools?</w:t>
      </w:r>
    </w:p>
    <w:p w14:paraId="213F9382">
      <w:pPr>
        <w:spacing w:after="34"/>
        <w:rPr>
          <w:rFonts w:ascii="Times New Roman" w:hAnsi="Times New Roman" w:eastAsia="Times New Roman" w:cs="Times New Roman"/>
          <w:sz w:val="24"/>
          <w:szCs w:val="24"/>
        </w:rPr>
      </w:pPr>
    </w:p>
    <w:p w14:paraId="50010D7E">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7.</w:t>
      </w:r>
      <w:r>
        <w:rPr>
          <w:rFonts w:ascii="Times New Roman" w:hAnsi="Times New Roman" w:eastAsia="Times New Roman" w:cs="Times New Roman"/>
          <w:b/>
          <w:bCs/>
          <w:color w:val="282425"/>
          <w:spacing w:val="4"/>
          <w:sz w:val="24"/>
          <w:szCs w:val="24"/>
        </w:rPr>
        <w:t xml:space="preserve"> Research</w:t>
      </w:r>
      <w:r>
        <w:rPr>
          <w:rFonts w:ascii="Times New Roman" w:hAnsi="Times New Roman" w:eastAsia="Times New Roman" w:cs="Times New Roman"/>
          <w:b/>
          <w:bCs/>
          <w:color w:val="282425"/>
          <w:sz w:val="24"/>
          <w:szCs w:val="24"/>
        </w:rPr>
        <w:t xml:space="preserve"> 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 xml:space="preserve">s </w:t>
      </w:r>
      <w:r>
        <w:rPr>
          <w:rFonts w:ascii="Times New Roman" w:hAnsi="Times New Roman" w:eastAsia="Times New Roman" w:cs="Times New Roman"/>
          <w:b/>
          <w:bCs/>
          <w:color w:val="282425"/>
          <w:spacing w:val="1"/>
          <w:sz w:val="24"/>
          <w:szCs w:val="24"/>
        </w:rPr>
        <w:t xml:space="preserve">(Null </w:t>
      </w:r>
      <w:r>
        <w:rPr>
          <w:rFonts w:ascii="Times New Roman" w:hAnsi="Times New Roman" w:eastAsia="Times New Roman" w:cs="Times New Roman"/>
          <w:b/>
          <w:bCs/>
          <w:color w:val="282425"/>
          <w:sz w:val="24"/>
          <w:szCs w:val="24"/>
        </w:rPr>
        <w:t>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se</w:t>
      </w:r>
      <w:r>
        <w:rPr>
          <w:rFonts w:ascii="Times New Roman" w:hAnsi="Times New Roman" w:eastAsia="Times New Roman" w:cs="Times New Roman"/>
          <w:b/>
          <w:bCs/>
          <w:color w:val="282425"/>
          <w:sz w:val="24"/>
          <w:szCs w:val="24"/>
        </w:rPr>
        <w:t>s)</w:t>
      </w:r>
    </w:p>
    <w:p w14:paraId="2F8CB2F0">
      <w:pPr>
        <w:widowControl w:val="0"/>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test the following hypotheses:</w:t>
      </w:r>
    </w:p>
    <w:p w14:paraId="3CB87027">
      <w:pPr>
        <w:widowControl w:val="0"/>
        <w:numPr>
          <w:ilvl w:val="0"/>
          <w:numId w:val="4"/>
        </w:numPr>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H₀₁ (Null Hypothesis): There is no significant relationship between the types of domestic chores assigned to girls and their dropout rates in junior secondary schools in Lagdera Sub-County, Kenya.</w:t>
      </w:r>
    </w:p>
    <w:p w14:paraId="281A5B49">
      <w:pPr>
        <w:widowControl w:val="0"/>
        <w:numPr>
          <w:ilvl w:val="0"/>
          <w:numId w:val="4"/>
        </w:numPr>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H₀₂: Domestic chores have no significant effect on girls’ academic performance and school attendance in Lagdera Sub-County.</w:t>
      </w:r>
    </w:p>
    <w:p w14:paraId="53AEC73F">
      <w:pPr>
        <w:widowControl w:val="0"/>
        <w:numPr>
          <w:ilvl w:val="0"/>
          <w:numId w:val="4"/>
        </w:numPr>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H₀₃: Parental sensitization has no significant influence on girls’ dropout rates in junior secondary schools.</w:t>
      </w:r>
    </w:p>
    <w:p w14:paraId="5AB2CEC4">
      <w:pPr>
        <w:widowControl w:val="0"/>
        <w:numPr>
          <w:ilvl w:val="0"/>
          <w:numId w:val="4"/>
        </w:numPr>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H₀₄: Enforcement of child labour policies does not significantly affect dropout rates of girls in junior secondary schools.</w:t>
      </w:r>
    </w:p>
    <w:bookmarkEnd w:id="2"/>
    <w:p w14:paraId="31C08709">
      <w:pPr>
        <w:rPr>
          <w:rFonts w:ascii="Times New Roman" w:hAnsi="Times New Roman" w:eastAsia="Times New Roman" w:cs="Times New Roman"/>
          <w:sz w:val="24"/>
          <w:szCs w:val="24"/>
        </w:rPr>
      </w:pPr>
      <w:bookmarkStart w:id="3" w:name="_page_21_0"/>
    </w:p>
    <w:p w14:paraId="6FC77B46">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8.</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pacing w:val="1"/>
          <w:sz w:val="24"/>
          <w:szCs w:val="24"/>
        </w:rPr>
        <w:t>Si</w:t>
      </w:r>
      <w:r>
        <w:rPr>
          <w:rFonts w:ascii="Times New Roman" w:hAnsi="Times New Roman" w:eastAsia="Times New Roman" w:cs="Times New Roman"/>
          <w:b/>
          <w:bCs/>
          <w:color w:val="282425"/>
          <w:spacing w:val="-4"/>
          <w:sz w:val="24"/>
          <w:szCs w:val="24"/>
        </w:rPr>
        <w:t>g</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ica</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ce </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1"/>
          <w:sz w:val="24"/>
          <w:szCs w:val="24"/>
        </w:rPr>
        <w:t xml:space="preserve"> 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71C21143">
      <w:pPr>
        <w:widowControl w:val="0"/>
        <w:ind w:right="565"/>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This study is important because it looks into one precise but often neglected influence on girls' education in Lagdera Sub-County, domestic chores. With an emphasis on the influence that household chores have on girls school attendance and academic performance, the study will provide evidence-based data regarding one of the root causes of school dropout for girls' education in arid and semi-arid areas of Kenya. </w:t>
      </w:r>
    </w:p>
    <w:p w14:paraId="5F4965FD">
      <w:pPr>
        <w:widowControl w:val="0"/>
        <w:ind w:right="565"/>
        <w:jc w:val="both"/>
        <w:rPr>
          <w:rFonts w:ascii="Times New Roman" w:hAnsi="Times New Roman" w:eastAsia="Times New Roman" w:cs="Times New Roman"/>
          <w:color w:val="282425"/>
          <w:sz w:val="24"/>
          <w:szCs w:val="24"/>
        </w:rPr>
      </w:pPr>
    </w:p>
    <w:p w14:paraId="263B0666">
      <w:pPr>
        <w:widowControl w:val="0"/>
        <w:ind w:right="565"/>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report will positively influence key stakeholders (education policymakers, teachers, parents, local administrators, NGOs, and community leaders) to understand how household responsibilities have restricted their girls educational opportunities, and assist in the further development of targeted interventions, awareness campaigns, and policy implementation strategies to promote gender equality and efforts to reduce school dropout.</w:t>
      </w:r>
    </w:p>
    <w:p w14:paraId="5251C47D">
      <w:pPr>
        <w:widowControl w:val="0"/>
        <w:ind w:right="565"/>
        <w:jc w:val="both"/>
        <w:rPr>
          <w:rFonts w:ascii="Times New Roman" w:hAnsi="Times New Roman" w:eastAsia="Times New Roman" w:cs="Times New Roman"/>
          <w:color w:val="282425"/>
          <w:sz w:val="24"/>
          <w:szCs w:val="24"/>
        </w:rPr>
      </w:pPr>
    </w:p>
    <w:p w14:paraId="5938EB3A">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9.</w:t>
      </w:r>
      <w:r>
        <w:rPr>
          <w:rFonts w:ascii="Times New Roman" w:hAnsi="Times New Roman" w:eastAsia="Times New Roman" w:cs="Times New Roman"/>
          <w:b/>
          <w:bCs/>
          <w:color w:val="282425"/>
          <w:spacing w:val="62"/>
          <w:sz w:val="24"/>
          <w:szCs w:val="24"/>
        </w:rPr>
        <w:t xml:space="preserve"> </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ss</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5FEBB992">
      <w:pPr>
        <w:widowControl w:val="0"/>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is based on several key assumptions:</w:t>
      </w:r>
    </w:p>
    <w:p w14:paraId="5FCB0FCF">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assumed that domestic chores significantly influence the dropout rates of girls in junior secondary schools within Lagdera Sub-County.</w:t>
      </w:r>
    </w:p>
    <w:p w14:paraId="55FF08D2">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assumes that respondents (students, parents, and teachers) will provide honest and accurate information regarding the types of domestic chores performed and their impact on girls’ education within Lagdera Sub-County.</w:t>
      </w:r>
    </w:p>
    <w:p w14:paraId="2F0E20AA">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also assumed that existing policies on child labour and education are known but may not be fully enforced at the community level.</w:t>
      </w:r>
    </w:p>
    <w:p w14:paraId="614D30D2">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assumes that parental awareness and cultural attitudes play a crucial role in either promoting or hindering girls’ education in the study area.</w:t>
      </w:r>
    </w:p>
    <w:p w14:paraId="41571FEB">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assumed that schools in Lagdera Sub-County maintain records that can help identify patterns related to girls’ attendance, performance, and dropout.</w:t>
      </w:r>
    </w:p>
    <w:p w14:paraId="281FDD54">
      <w:pPr>
        <w:widowControl w:val="0"/>
        <w:numPr>
          <w:ilvl w:val="0"/>
          <w:numId w:val="5"/>
        </w:numPr>
        <w:ind w:right="564"/>
        <w:jc w:val="both"/>
        <w:rPr>
          <w:rFonts w:ascii="Times New Roman" w:hAnsi="Times New Roman" w:cs="Times New Roman"/>
          <w:sz w:val="24"/>
          <w:szCs w:val="24"/>
        </w:rPr>
      </w:pPr>
      <w:r>
        <w:rPr>
          <w:rFonts w:ascii="Times New Roman" w:hAnsi="Times New Roman" w:eastAsia="Times New Roman" w:cs="Times New Roman"/>
          <w:color w:val="282425"/>
          <w:sz w:val="24"/>
          <w:szCs w:val="24"/>
        </w:rPr>
        <w:t>The study assumes that environmental and economic factors in the region may indirectly affect how domestic chores are distributed among family members, especially girls.</w:t>
      </w:r>
    </w:p>
    <w:p w14:paraId="71396C87">
      <w:pPr>
        <w:widowControl w:val="0"/>
        <w:numPr>
          <w:ilvl w:val="0"/>
          <w:numId w:val="5"/>
        </w:numPr>
        <w:ind w:right="564"/>
        <w:jc w:val="both"/>
        <w:rPr>
          <w:rFonts w:ascii="Times New Roman" w:hAnsi="Times New Roman" w:cs="Times New Roman"/>
          <w:sz w:val="24"/>
          <w:szCs w:val="24"/>
        </w:rPr>
      </w:pPr>
      <w:r>
        <w:rPr>
          <w:rFonts w:ascii="Times New Roman" w:hAnsi="Times New Roman" w:cs="Times New Roman"/>
          <w:sz w:val="24"/>
          <w:szCs w:val="24"/>
        </w:rPr>
        <w:t>Girls who perform heavy domestic work tend to experience fatigue, which affects concentration and class performance.</w:t>
      </w:r>
    </w:p>
    <w:p w14:paraId="4F244745">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cs="Times New Roman"/>
          <w:sz w:val="24"/>
          <w:szCs w:val="24"/>
        </w:rPr>
        <w:t>Some parents may prioritize domestic support over girls' schooling due to survival needs or cultural expectations.</w:t>
      </w:r>
    </w:p>
    <w:p w14:paraId="48F1EA85">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cs="Times New Roman"/>
          <w:sz w:val="24"/>
          <w:szCs w:val="24"/>
        </w:rPr>
        <w:t>Not all domestic chores are harmful, but the volume, frequency, and timing (especially during school hours) negatively impact learning.</w:t>
      </w:r>
    </w:p>
    <w:p w14:paraId="43AA2FD2">
      <w:pPr>
        <w:widowControl w:val="0"/>
        <w:numPr>
          <w:ilvl w:val="0"/>
          <w:numId w:val="5"/>
        </w:numPr>
        <w:ind w:right="564"/>
        <w:jc w:val="both"/>
        <w:rPr>
          <w:rFonts w:ascii="Times New Roman" w:hAnsi="Times New Roman" w:eastAsia="Times New Roman" w:cs="Times New Roman"/>
          <w:color w:val="282425"/>
          <w:sz w:val="24"/>
          <w:szCs w:val="24"/>
        </w:rPr>
      </w:pPr>
      <w:r>
        <w:rPr>
          <w:rFonts w:ascii="Times New Roman" w:hAnsi="Times New Roman" w:cs="Times New Roman"/>
          <w:sz w:val="24"/>
          <w:szCs w:val="24"/>
        </w:rPr>
        <w:t>There is a willingness among community stakeholders to support strategies that promote girls’ education when they are well-informed of the long-term benefits.</w:t>
      </w:r>
    </w:p>
    <w:p w14:paraId="5B1B64AB">
      <w:pPr>
        <w:spacing w:after="1"/>
        <w:rPr>
          <w:rFonts w:ascii="Times New Roman" w:hAnsi="Times New Roman" w:eastAsia="Times New Roman" w:cs="Times New Roman"/>
          <w:sz w:val="24"/>
          <w:szCs w:val="24"/>
        </w:rPr>
      </w:pPr>
    </w:p>
    <w:p w14:paraId="1DB94EE6">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10.</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pacing w:val="-3"/>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32658FAE">
      <w:pPr>
        <w:widowControl w:val="0"/>
        <w:ind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There may be several limitations in this study that may impact the extent and depth of findings. First, the reliance on self-report data from students, parents, and teachers presents a potential threat to the study's credibility: social desirability bias. This occurs when respondents intentionally underreport (when provided with a keen favour) or overreport (when reporters share negative feedback) information in order to create a social desirability to conform to social standards and be seen in a favorable light/condition. Such social desirability bias may impact the self-reported data that is collected around household chores and attendance to school.</w:t>
      </w:r>
    </w:p>
    <w:p w14:paraId="4FBE5CF9">
      <w:pPr>
        <w:widowControl w:val="0"/>
        <w:ind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Secondly, the limitation of geographical scope of the study (restricted to Lagdera Sub-County) has implications for generalizations of the findings to other regions with social or economic characteristics different from those of Lagdera Sub-County. Within the data collection process, there are also potential difficulties in dealing with language and cultural sensibilities especially while discussing gender roles and issues of dropout. There will also be constraints to effective and comprehensive data collection that may arise from limited direct access to school records and evidence of incomplete information reporting associated with school records in relation to dropout and attendance data across time, which could hamper more useful comparisons and the development of attendance and dropout trajectories.</w:t>
      </w:r>
    </w:p>
    <w:p w14:paraId="36E232B0">
      <w:pPr>
        <w:widowControl w:val="0"/>
        <w:ind w:right="525"/>
        <w:rPr>
          <w:rFonts w:ascii="Times New Roman" w:hAnsi="Times New Roman" w:eastAsia="Times New Roman" w:cs="Times New Roman"/>
          <w:color w:val="282425"/>
          <w:spacing w:val="-1"/>
          <w:sz w:val="24"/>
          <w:szCs w:val="24"/>
        </w:rPr>
      </w:pPr>
    </w:p>
    <w:p w14:paraId="00671A16">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b/>
          <w:bCs/>
          <w:color w:val="282425"/>
          <w:sz w:val="24"/>
          <w:szCs w:val="24"/>
        </w:rPr>
        <w:t>11.</w:t>
      </w:r>
      <w:r>
        <w:rPr>
          <w:rFonts w:ascii="Times New Roman" w:hAnsi="Times New Roman" w:eastAsia="Times New Roman" w:cs="Times New Roman"/>
          <w:b/>
          <w:bCs/>
          <w:color w:val="282425"/>
          <w:spacing w:val="4"/>
          <w:sz w:val="24"/>
          <w:szCs w:val="24"/>
        </w:rPr>
        <w:t xml:space="preserve"> Delimitation</w:t>
      </w:r>
    </w:p>
    <w:p w14:paraId="091E6A8B">
      <w:pPr>
        <w:widowControl w:val="0"/>
        <w:ind w:right="565"/>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current study will delimit itself to junior secondary schools in Lagdera Sub-County, Garissa County, Kenya. In Lagdera Sub-County, Garissa County, the focus is on girls in junior secondary schools, parents, teachers, and selected education stakeholders in the study. Boys in junior secondary and schools outside the sub-county will be excluded from the research. Thus, the study would explore how domestic chores impact girls’ dropout of schools. </w:t>
      </w:r>
    </w:p>
    <w:p w14:paraId="32E13313">
      <w:pPr>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the study will concentrate on domestic chores as the main independent variable, excluding other possible factors influencing dropout such as school infrastructure, peer influence, or government funding. The timeframe for data collection will also be limited to the current academic year, making the study more focused but potentially excluding long-term trends or past experiences.</w:t>
      </w:r>
    </w:p>
    <w:bookmarkEnd w:id="3"/>
    <w:p w14:paraId="1303E662">
      <w:pPr>
        <w:spacing w:after="67"/>
        <w:rPr>
          <w:rFonts w:ascii="Times New Roman" w:hAnsi="Times New Roman" w:cs="Times New Roman"/>
          <w:sz w:val="24"/>
          <w:szCs w:val="24"/>
        </w:rPr>
      </w:pPr>
    </w:p>
    <w:p w14:paraId="6AED36BC">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12.</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erat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Review</w:t>
      </w:r>
    </w:p>
    <w:p w14:paraId="39EB512D">
      <w:pPr>
        <w:widowControl w:val="0"/>
        <w:ind w:right="565"/>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Research across sub-Saharan Africa has shown that domestic responsibilities disproportionately affect girls' participation in education. According to UNESCO (2021), many girls in rural areas are tasked with household chores that interfere with school attendance, homework completion, and class participation. Studies by FAWE (Forum for African Women Educationalists) also highlight that when girls spend long hours on chores such as fetching water, cooking, and caring for siblings, they are more likely to be absent from school, perform poorly, or drop out entirely. This burden is compounded in arid and semi-arid regions like northern Kenya, where resources are scarce and girls are expected to contribute heavily to household survival.</w:t>
      </w:r>
    </w:p>
    <w:p w14:paraId="19D69D4B">
      <w:pPr>
        <w:widowControl w:val="0"/>
        <w:ind w:right="565"/>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While various national and international initiatives advocate for gender equality in education, there remains a gap in research focusing specifically on how domestic chores contribute to dropout rates in junior secondary schools in marginalized areas. In the Kenyan context, reports from the Ministry of Education have acknowledged challenges such as early marriage and poverty, but few studies delve into the daily realities of domestic labour and its effect on school-going girls. This study therefore builds upon existing literature by narrowing the focus to Lagdera Sub-County, aiming to examine how domestic chores, parental awareness, and enforcement of child labour policies intersect to influence girls’ retention and academic success in school.</w:t>
      </w:r>
    </w:p>
    <w:p w14:paraId="518462F8">
      <w:pPr>
        <w:widowControl w:val="0"/>
        <w:ind w:right="565"/>
        <w:jc w:val="both"/>
        <w:rPr>
          <w:rFonts w:ascii="Times New Roman" w:hAnsi="Times New Roman" w:eastAsia="Times New Roman" w:cs="Times New Roman"/>
          <w:color w:val="282425"/>
          <w:spacing w:val="2"/>
          <w:sz w:val="24"/>
          <w:szCs w:val="24"/>
        </w:rPr>
      </w:pPr>
    </w:p>
    <w:p w14:paraId="62668C67">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13.</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z w:val="24"/>
          <w:szCs w:val="24"/>
        </w:rPr>
        <w:t>Theo</w:t>
      </w:r>
      <w:r>
        <w:rPr>
          <w:rFonts w:ascii="Times New Roman" w:hAnsi="Times New Roman" w:eastAsia="Times New Roman" w:cs="Times New Roman"/>
          <w:b/>
          <w:bCs/>
          <w:color w:val="282425"/>
          <w:spacing w:val="-1"/>
          <w:sz w:val="24"/>
          <w:szCs w:val="24"/>
        </w:rPr>
        <w:t>re</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62F65C33">
      <w:pPr>
        <w:spacing w:after="1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research will be framed based on the Gender Role Theory, developed by sociologists such as Eagly and wood (1991), which explains how social expectations and the cultures of origin dictate what roles are acceptable for individuals based on their gender. Within Gender Role Theory, girls are trained from an early age to take on the roles of caregivers and domestic duties. In contrast, boys are directed towards independence and formal education. The Gender Role Theory is germane in describing why girls in Lagdera Sub-County are affected by additional burdens of domestic work that suppresses tempered being when they actually may want to attend school and be successful for the future. </w:t>
      </w:r>
    </w:p>
    <w:p w14:paraId="28D2A4EE">
      <w:pPr>
        <w:spacing w:after="19"/>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the study will build on Bronfenbrenner’s Ecological systems theory that sees a child's development affected by interaction of environmental systems: home (microsystems), school (meso-systems), community, state, and culture (macro-systems). In this way, Ecological systems theory lends itself as a useful descriptive analysis of how parental factors, schools, and community attitudes/interactions affect girls' educational contexts. By utilizing both Gender Role Theory and Ecological Systems Theory, this study will critically assess the deeply entrenched cultural and social systems that govern the educational path away from girls in Lagdera.</w:t>
      </w:r>
    </w:p>
    <w:p w14:paraId="68FADB3A">
      <w:pPr>
        <w:spacing w:after="19"/>
        <w:rPr>
          <w:rFonts w:ascii="Times New Roman" w:hAnsi="Times New Roman" w:eastAsia="Times New Roman" w:cs="Times New Roman"/>
          <w:sz w:val="24"/>
          <w:szCs w:val="24"/>
        </w:rPr>
      </w:pPr>
    </w:p>
    <w:p w14:paraId="2ADB509B">
      <w:pPr>
        <w:widowControl w:val="0"/>
        <w:numPr>
          <w:ilvl w:val="0"/>
          <w:numId w:val="6"/>
        </w:numPr>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p</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pacing w:val="-4"/>
          <w:sz w:val="24"/>
          <w:szCs w:val="24"/>
        </w:rPr>
        <w:t>a</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5EDF05A0">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conceptual framework for this study is built around the central idea that domestic chores are a major contributor to school dropout rates among girls in junior secondary schools in Lagdera Sub-County. The framework illustrates the relationship between independent variables (domestic chores, parental sensitization, and child labour policy enforcement) and the dependent variable (dropout rates of girls).</w:t>
      </w:r>
    </w:p>
    <w:p w14:paraId="67831921">
      <w:pPr>
        <w:rPr>
          <w:rFonts w:ascii="Times New Roman" w:hAnsi="Times New Roman" w:eastAsia="Times New Roman" w:cs="Times New Roman"/>
          <w:sz w:val="24"/>
          <w:szCs w:val="24"/>
        </w:rPr>
      </w:pPr>
      <w:r>
        <w:rPr>
          <w:rFonts w:ascii="Times New Roman" w:hAnsi="Times New Roman" w:eastAsia="Times New Roman" w:cs="Times New Roman"/>
          <w:sz w:val="24"/>
          <w:szCs w:val="24"/>
        </w:rPr>
        <w:t>Independent Variables</w:t>
      </w:r>
    </w:p>
    <w:p w14:paraId="5AFBA0F8">
      <w:pPr>
        <w:rPr>
          <w:rFonts w:ascii="Times New Roman" w:hAnsi="Times New Roman" w:eastAsia="Times New Roman" w:cs="Times New Roman"/>
          <w:sz w:val="24"/>
          <w:szCs w:val="24"/>
        </w:rPr>
      </w:pPr>
      <w:r>
        <w:rPr>
          <w:rFonts w:ascii="Times New Roman" w:hAnsi="Times New Roman" w:eastAsia="Times New Roman" w:cs="Times New Roman"/>
          <w:sz w:val="24"/>
          <w:szCs w:val="24"/>
        </w:rPr>
        <w:t>Types of Domestic Chores (e.g., cooking, fetching water, childcare, cleaning)</w:t>
      </w:r>
    </w:p>
    <w:p w14:paraId="3115DCD6">
      <w:pPr>
        <w:rPr>
          <w:rFonts w:ascii="Times New Roman" w:hAnsi="Times New Roman" w:eastAsia="Times New Roman" w:cs="Times New Roman"/>
          <w:sz w:val="24"/>
          <w:szCs w:val="24"/>
        </w:rPr>
      </w:pPr>
    </w:p>
    <w:p w14:paraId="61AFC7A5">
      <w:pPr>
        <w:rPr>
          <w:rFonts w:ascii="Times New Roman" w:hAnsi="Times New Roman" w:eastAsia="Times New Roman" w:cs="Times New Roman"/>
          <w:sz w:val="24"/>
          <w:szCs w:val="24"/>
        </w:rPr>
      </w:pPr>
      <w:r>
        <w:rPr>
          <w:rFonts w:ascii="Times New Roman" w:hAnsi="Times New Roman" w:eastAsia="Times New Roman" w:cs="Times New Roman"/>
          <w:sz w:val="24"/>
          <w:szCs w:val="24"/>
        </w:rPr>
        <w:t>Parental Sensitization (awareness of girls’ rights to education and effects of overburdening)</w:t>
      </w:r>
    </w:p>
    <w:p w14:paraId="7B046E91">
      <w:pPr>
        <w:rPr>
          <w:rFonts w:ascii="Times New Roman" w:hAnsi="Times New Roman" w:eastAsia="Times New Roman" w:cs="Times New Roman"/>
          <w:sz w:val="24"/>
          <w:szCs w:val="24"/>
        </w:rPr>
      </w:pPr>
    </w:p>
    <w:p w14:paraId="5E1797EE">
      <w:pPr>
        <w:rPr>
          <w:rFonts w:ascii="Times New Roman" w:hAnsi="Times New Roman" w:eastAsia="Times New Roman" w:cs="Times New Roman"/>
          <w:sz w:val="24"/>
          <w:szCs w:val="24"/>
        </w:rPr>
      </w:pPr>
      <w:r>
        <w:rPr>
          <w:rFonts w:ascii="Times New Roman" w:hAnsi="Times New Roman" w:eastAsia="Times New Roman" w:cs="Times New Roman"/>
          <w:sz w:val="24"/>
          <w:szCs w:val="24"/>
        </w:rPr>
        <w:t>Child Labour Policy Enforcement (effectiveness of policies preventing excessive domestic work)</w:t>
      </w:r>
    </w:p>
    <w:p w14:paraId="40A7584B">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Intervening Variables</w:t>
      </w:r>
    </w:p>
    <w:p w14:paraId="770A6851">
      <w:pPr>
        <w:rPr>
          <w:rFonts w:ascii="Times New Roman" w:hAnsi="Times New Roman" w:eastAsia="Times New Roman" w:cs="Times New Roman"/>
          <w:sz w:val="24"/>
          <w:szCs w:val="24"/>
        </w:rPr>
      </w:pPr>
      <w:r>
        <w:rPr>
          <w:rFonts w:ascii="Times New Roman" w:hAnsi="Times New Roman" w:eastAsia="Times New Roman" w:cs="Times New Roman"/>
          <w:sz w:val="24"/>
          <w:szCs w:val="24"/>
        </w:rPr>
        <w:t>Cultural Beliefs and Gender Norms</w:t>
      </w:r>
    </w:p>
    <w:p w14:paraId="2572A577">
      <w:pPr>
        <w:rPr>
          <w:rFonts w:ascii="Times New Roman" w:hAnsi="Times New Roman" w:eastAsia="Times New Roman" w:cs="Times New Roman"/>
          <w:sz w:val="24"/>
          <w:szCs w:val="24"/>
        </w:rPr>
      </w:pPr>
      <w:r>
        <w:rPr>
          <w:rFonts w:ascii="Times New Roman" w:hAnsi="Times New Roman" w:eastAsia="Times New Roman" w:cs="Times New Roman"/>
          <w:sz w:val="24"/>
          <w:szCs w:val="24"/>
        </w:rPr>
        <w:t>Socioeconomic Status</w:t>
      </w:r>
    </w:p>
    <w:p w14:paraId="6E8DB4C7">
      <w:pPr>
        <w:rPr>
          <w:rFonts w:ascii="Times New Roman" w:hAnsi="Times New Roman" w:eastAsia="Times New Roman" w:cs="Times New Roman"/>
          <w:sz w:val="24"/>
          <w:szCs w:val="24"/>
        </w:rPr>
      </w:pPr>
      <w:r>
        <w:rPr>
          <w:rFonts w:ascii="Times New Roman" w:hAnsi="Times New Roman" w:eastAsia="Times New Roman" w:cs="Times New Roman"/>
          <w:sz w:val="24"/>
          <w:szCs w:val="24"/>
        </w:rPr>
        <w:t>School Support Systems</w:t>
      </w:r>
    </w:p>
    <w:p w14:paraId="1EB4CE2D">
      <w:pPr>
        <w:rPr>
          <w:rFonts w:ascii="Times New Roman" w:hAnsi="Times New Roman" w:eastAsia="Times New Roman" w:cs="Times New Roman"/>
          <w:sz w:val="24"/>
          <w:szCs w:val="24"/>
        </w:rPr>
      </w:pPr>
      <w:r>
        <w:rPr>
          <w:rFonts w:ascii="Times New Roman" w:hAnsi="Times New Roman" w:eastAsia="Times New Roman" w:cs="Times New Roman"/>
          <w:sz w:val="24"/>
          <w:szCs w:val="24"/>
        </w:rPr>
        <w:t>Dependent Variable</w:t>
      </w:r>
    </w:p>
    <w:p w14:paraId="25491B22">
      <w:pPr>
        <w:rPr>
          <w:rFonts w:ascii="Times New Roman" w:hAnsi="Times New Roman" w:eastAsia="Times New Roman" w:cs="Times New Roman"/>
          <w:sz w:val="24"/>
          <w:szCs w:val="24"/>
        </w:rPr>
      </w:pPr>
      <w:r>
        <w:rPr>
          <w:rFonts w:ascii="Times New Roman" w:hAnsi="Times New Roman" w:eastAsia="Times New Roman" w:cs="Times New Roman"/>
          <w:sz w:val="24"/>
          <w:szCs w:val="24"/>
        </w:rPr>
        <w:t>Dropout Rates of Girls in Junior Secondary Schools</w:t>
      </w:r>
    </w:p>
    <w:p w14:paraId="2B9CB864">
      <w:pPr>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sz w:val="24"/>
          <w:szCs w:val="24"/>
        </w:rPr>
        <w:t>This framework assumes that when girls are overburdened with chores and parental support is low—combined with weak enforcement of protective policies—their likelihood of staying in school decreases significantly. Addressing these issues holistically could improve girls’ school retention and academic success.</w:t>
      </w:r>
    </w:p>
    <w:p w14:paraId="512AADD8">
      <w:pPr>
        <w:jc w:val="center"/>
        <w:rPr>
          <w:rFonts w:ascii="Times New Roman" w:hAnsi="Times New Roman" w:cs="Times New Roman"/>
          <w:sz w:val="24"/>
          <w:szCs w:val="24"/>
        </w:rPr>
      </w:pPr>
      <w:r>
        <w:rPr>
          <w:rFonts w:ascii="Times New Roman" w:hAnsi="Times New Roman" w:eastAsia="SimSun" w:cs="Times New Roman"/>
          <w:sz w:val="24"/>
          <w:szCs w:val="24"/>
        </w:rPr>
        <w:drawing>
          <wp:inline distT="0" distB="0" distL="114300" distR="114300">
            <wp:extent cx="2516505" cy="2093595"/>
            <wp:effectExtent l="0" t="0" r="17145" b="190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2516505" cy="2093595"/>
                    </a:xfrm>
                    <a:prstGeom prst="rect">
                      <a:avLst/>
                    </a:prstGeom>
                    <a:noFill/>
                    <a:ln w="9525">
                      <a:noFill/>
                    </a:ln>
                  </pic:spPr>
                </pic:pic>
              </a:graphicData>
            </a:graphic>
          </wp:inline>
        </w:drawing>
      </w:r>
    </w:p>
    <w:p w14:paraId="791718A3">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i/>
          <w:iCs/>
          <w:color w:val="282425"/>
          <w:spacing w:val="2"/>
          <w:sz w:val="24"/>
          <w:szCs w:val="24"/>
        </w:rPr>
        <w:t>F</w:t>
      </w:r>
      <w:r>
        <w:rPr>
          <w:rFonts w:ascii="Times New Roman" w:hAnsi="Times New Roman" w:eastAsia="Times New Roman" w:cs="Times New Roman"/>
          <w:i/>
          <w:iCs/>
          <w:color w:val="282425"/>
          <w:sz w:val="24"/>
          <w:szCs w:val="24"/>
        </w:rPr>
        <w:t>igu</w:t>
      </w:r>
      <w:r>
        <w:rPr>
          <w:rFonts w:ascii="Times New Roman" w:hAnsi="Times New Roman" w:eastAsia="Times New Roman" w:cs="Times New Roman"/>
          <w:i/>
          <w:iCs/>
          <w:color w:val="282425"/>
          <w:spacing w:val="-1"/>
          <w:sz w:val="24"/>
          <w:szCs w:val="24"/>
        </w:rPr>
        <w:t>r</w:t>
      </w:r>
      <w:r>
        <w:rPr>
          <w:rFonts w:ascii="Times New Roman" w:hAnsi="Times New Roman" w:eastAsia="Times New Roman" w:cs="Times New Roman"/>
          <w:i/>
          <w:iCs/>
          <w:color w:val="282425"/>
          <w:sz w:val="24"/>
          <w:szCs w:val="24"/>
        </w:rPr>
        <w:t>e</w:t>
      </w:r>
      <w:r>
        <w:rPr>
          <w:rFonts w:ascii="Times New Roman" w:hAnsi="Times New Roman" w:eastAsia="Times New Roman" w:cs="Times New Roman"/>
          <w:i/>
          <w:iCs/>
          <w:color w:val="282425"/>
          <w:spacing w:val="1"/>
          <w:sz w:val="24"/>
          <w:szCs w:val="24"/>
        </w:rPr>
        <w:t xml:space="preserve"> </w:t>
      </w:r>
      <w:r>
        <w:rPr>
          <w:rFonts w:ascii="Times New Roman" w:hAnsi="Times New Roman" w:eastAsia="Times New Roman" w:cs="Times New Roman"/>
          <w:i/>
          <w:iCs/>
          <w:color w:val="282425"/>
          <w:sz w:val="24"/>
          <w:szCs w:val="24"/>
        </w:rPr>
        <w:t>.</w:t>
      </w:r>
      <w:r>
        <w:rPr>
          <w:rFonts w:ascii="Times New Roman" w:hAnsi="Times New Roman" w:eastAsia="Times New Roman" w:cs="Times New Roman"/>
          <w:i/>
          <w:iCs/>
          <w:color w:val="282425"/>
          <w:spacing w:val="5"/>
          <w:sz w:val="24"/>
          <w:szCs w:val="24"/>
        </w:rPr>
        <w:t xml:space="preserve"> </w:t>
      </w:r>
      <w:r>
        <w:rPr>
          <w:rFonts w:ascii="Times New Roman" w:hAnsi="Times New Roman" w:eastAsia="Times New Roman" w:cs="Times New Roman"/>
          <w:color w:val="282425"/>
          <w:spacing w:val="-1"/>
          <w:sz w:val="24"/>
          <w:szCs w:val="24"/>
        </w:rPr>
        <w:t>C</w:t>
      </w:r>
      <w:r>
        <w:rPr>
          <w:rFonts w:ascii="Times New Roman" w:hAnsi="Times New Roman" w:eastAsia="Times New Roman" w:cs="Times New Roman"/>
          <w:color w:val="282425"/>
          <w:sz w:val="24"/>
          <w:szCs w:val="24"/>
        </w:rPr>
        <w:t>onc</w:t>
      </w:r>
      <w:r>
        <w:rPr>
          <w:rFonts w:ascii="Times New Roman" w:hAnsi="Times New Roman" w:eastAsia="Times New Roman" w:cs="Times New Roman"/>
          <w:color w:val="282425"/>
          <w:spacing w:val="-1"/>
          <w:sz w:val="24"/>
          <w:szCs w:val="24"/>
        </w:rPr>
        <w:t>e</w:t>
      </w:r>
      <w:r>
        <w:rPr>
          <w:rFonts w:ascii="Times New Roman" w:hAnsi="Times New Roman" w:eastAsia="Times New Roman" w:cs="Times New Roman"/>
          <w:color w:val="282425"/>
          <w:sz w:val="24"/>
          <w:szCs w:val="24"/>
        </w:rPr>
        <w:t>ptual</w:t>
      </w:r>
      <w:r>
        <w:rPr>
          <w:rFonts w:ascii="Times New Roman" w:hAnsi="Times New Roman" w:eastAsia="Times New Roman" w:cs="Times New Roman"/>
          <w:color w:val="282425"/>
          <w:spacing w:val="2"/>
          <w:sz w:val="24"/>
          <w:szCs w:val="24"/>
        </w:rPr>
        <w:t xml:space="preserve"> </w:t>
      </w:r>
      <w:r>
        <w:rPr>
          <w:rFonts w:ascii="Times New Roman" w:hAnsi="Times New Roman" w:eastAsia="Times New Roman" w:cs="Times New Roman"/>
          <w:color w:val="282425"/>
          <w:spacing w:val="-3"/>
          <w:sz w:val="24"/>
          <w:szCs w:val="24"/>
        </w:rPr>
        <w:t>F</w:t>
      </w:r>
      <w:r>
        <w:rPr>
          <w:rFonts w:ascii="Times New Roman" w:hAnsi="Times New Roman" w:eastAsia="Times New Roman" w:cs="Times New Roman"/>
          <w:color w:val="282425"/>
          <w:spacing w:val="1"/>
          <w:sz w:val="24"/>
          <w:szCs w:val="24"/>
        </w:rPr>
        <w:t>r</w:t>
      </w:r>
      <w:r>
        <w:rPr>
          <w:rFonts w:ascii="Times New Roman" w:hAnsi="Times New Roman" w:eastAsia="Times New Roman" w:cs="Times New Roman"/>
          <w:color w:val="282425"/>
          <w:sz w:val="24"/>
          <w:szCs w:val="24"/>
        </w:rPr>
        <w:t>amework</w:t>
      </w:r>
    </w:p>
    <w:p w14:paraId="5BAEEB18">
      <w:pPr>
        <w:widowControl w:val="0"/>
        <w:ind w:right="-20"/>
        <w:rPr>
          <w:rFonts w:ascii="Times New Roman" w:hAnsi="Times New Roman" w:eastAsia="Times New Roman" w:cs="Times New Roman"/>
          <w:color w:val="282425"/>
          <w:sz w:val="24"/>
          <w:szCs w:val="24"/>
        </w:rPr>
      </w:pPr>
    </w:p>
    <w:p w14:paraId="4A7B1C51">
      <w:pPr>
        <w:widowControl w:val="0"/>
        <w:ind w:right="-20"/>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i/>
          <w:iCs/>
          <w:color w:val="282425"/>
          <w:spacing w:val="2"/>
          <w:sz w:val="24"/>
          <w:szCs w:val="24"/>
        </w:rPr>
        <w:t>Intervening Variables (influencing the relationship):</w:t>
      </w:r>
    </w:p>
    <w:p w14:paraId="0DC5AEB3">
      <w:pPr>
        <w:widowControl w:val="0"/>
        <w:numPr>
          <w:ilvl w:val="0"/>
          <w:numId w:val="7"/>
        </w:numPr>
        <w:ind w:right="-20"/>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i/>
          <w:iCs/>
          <w:color w:val="282425"/>
          <w:spacing w:val="2"/>
          <w:sz w:val="24"/>
          <w:szCs w:val="24"/>
        </w:rPr>
        <w:t>Cultural and religious norms</w:t>
      </w:r>
    </w:p>
    <w:p w14:paraId="44DA23E4">
      <w:pPr>
        <w:widowControl w:val="0"/>
        <w:ind w:right="-20"/>
        <w:rPr>
          <w:rFonts w:ascii="Times New Roman" w:hAnsi="Times New Roman" w:eastAsia="Times New Roman" w:cs="Times New Roman"/>
          <w:i/>
          <w:iCs/>
          <w:color w:val="282425"/>
          <w:spacing w:val="2"/>
          <w:sz w:val="24"/>
          <w:szCs w:val="24"/>
        </w:rPr>
      </w:pPr>
    </w:p>
    <w:p w14:paraId="12AF6A24">
      <w:pPr>
        <w:widowControl w:val="0"/>
        <w:numPr>
          <w:ilvl w:val="0"/>
          <w:numId w:val="7"/>
        </w:numPr>
        <w:ind w:right="-20"/>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i/>
          <w:iCs/>
          <w:color w:val="282425"/>
          <w:spacing w:val="2"/>
          <w:sz w:val="24"/>
          <w:szCs w:val="24"/>
        </w:rPr>
        <w:t>Socio-economic status</w:t>
      </w:r>
    </w:p>
    <w:p w14:paraId="30101042">
      <w:pPr>
        <w:widowControl w:val="0"/>
        <w:ind w:right="-20"/>
        <w:rPr>
          <w:rFonts w:ascii="Times New Roman" w:hAnsi="Times New Roman" w:eastAsia="Times New Roman" w:cs="Times New Roman"/>
          <w:i/>
          <w:iCs/>
          <w:color w:val="282425"/>
          <w:spacing w:val="2"/>
          <w:sz w:val="24"/>
          <w:szCs w:val="24"/>
        </w:rPr>
      </w:pPr>
    </w:p>
    <w:p w14:paraId="3459930F">
      <w:pPr>
        <w:widowControl w:val="0"/>
        <w:numPr>
          <w:ilvl w:val="0"/>
          <w:numId w:val="7"/>
        </w:numPr>
        <w:ind w:right="-20"/>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i/>
          <w:iCs/>
          <w:color w:val="282425"/>
          <w:spacing w:val="2"/>
          <w:sz w:val="24"/>
          <w:szCs w:val="24"/>
        </w:rPr>
        <w:t>School and community support structures</w:t>
      </w:r>
    </w:p>
    <w:p w14:paraId="06FB2190">
      <w:pPr>
        <w:spacing w:after="10"/>
        <w:rPr>
          <w:rFonts w:ascii="Times New Roman" w:hAnsi="Times New Roman" w:eastAsia="Times New Roman" w:cs="Times New Roman"/>
          <w:sz w:val="24"/>
          <w:szCs w:val="24"/>
        </w:rPr>
      </w:pPr>
    </w:p>
    <w:p w14:paraId="2B25D88C">
      <w:pPr>
        <w:widowControl w:val="0"/>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15.</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ogy</w:t>
      </w:r>
    </w:p>
    <w:p w14:paraId="25716FD8">
      <w:pPr>
        <w:widowControl w:val="0"/>
        <w:ind w:left="360"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20"/>
          <w:sz w:val="24"/>
          <w:szCs w:val="24"/>
        </w:rPr>
        <w:t xml:space="preserve"> </w:t>
      </w:r>
      <w:r>
        <w:rPr>
          <w:rFonts w:ascii="Times New Roman" w:hAnsi="Times New Roman" w:eastAsia="Times New Roman" w:cs="Times New Roman"/>
          <w:b/>
          <w:bCs/>
          <w:color w:val="282425"/>
          <w:sz w:val="24"/>
          <w:szCs w:val="24"/>
        </w:rPr>
        <w:t>R</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od</w:t>
      </w:r>
    </w:p>
    <w:p w14:paraId="20B3D8A4">
      <w:pPr>
        <w:widowControl w:val="0"/>
        <w:ind w:right="532"/>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In this study, a mixed-methods research design will be adopted, specifically, descriptive survey design (quantitative) and qualitative research. Descriptive survey design is useful for gathering measurable data such as drop-out rates, kinds of domestic chores, or parental awareness, over a larger sample of respondents. Descriptive survey design will give the researcher the ability to quantify correlations and relationships between variables. </w:t>
      </w:r>
    </w:p>
    <w:p w14:paraId="798965ED">
      <w:pPr>
        <w:widowControl w:val="0"/>
        <w:ind w:right="532"/>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qualitative component will involve interviews and focus group discussions with students, parents, and teachers, in order to gather their perspectives on how domestic chores impede girls' education. This qualitative method of inquiry will help elicit varying norms, some of which may be cultural or emotional in context and will vary from student to student, as well as all the contextual factors which are less easy to quantify. Bringing these two approaches together (mixed-methods) will add value to the study and deliver a more comprehensive understanding of the precept.</w:t>
      </w:r>
    </w:p>
    <w:p w14:paraId="4C43A77B">
      <w:pPr>
        <w:widowControl w:val="0"/>
        <w:ind w:right="532"/>
        <w:rPr>
          <w:rFonts w:ascii="Times New Roman" w:hAnsi="Times New Roman" w:eastAsia="Times New Roman" w:cs="Times New Roman"/>
          <w:color w:val="282425"/>
          <w:spacing w:val="-2"/>
          <w:sz w:val="24"/>
          <w:szCs w:val="24"/>
        </w:rPr>
      </w:pPr>
    </w:p>
    <w:p w14:paraId="2BF43041">
      <w:pPr>
        <w:widowControl w:val="0"/>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b/>
          <w:bCs/>
          <w:color w:val="282425"/>
          <w:sz w:val="24"/>
          <w:szCs w:val="24"/>
        </w:rPr>
        <w:t>b.</w:t>
      </w:r>
      <w:r>
        <w:rPr>
          <w:rFonts w:ascii="Times New Roman" w:hAnsi="Times New Roman" w:eastAsia="Times New Roman" w:cs="Times New Roman"/>
          <w:b/>
          <w:bCs/>
          <w:color w:val="282425"/>
          <w:spacing w:val="106"/>
          <w:sz w:val="24"/>
          <w:szCs w:val="24"/>
        </w:rPr>
        <w:t xml:space="preserve"> </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rc</w:t>
      </w:r>
      <w:r>
        <w:rPr>
          <w:rFonts w:ascii="Times New Roman" w:hAnsi="Times New Roman" w:eastAsia="Times New Roman" w:cs="Times New Roman"/>
          <w:b/>
          <w:bCs/>
          <w:color w:val="282425"/>
          <w:sz w:val="24"/>
          <w:szCs w:val="24"/>
        </w:rPr>
        <w:t>h</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1"/>
          <w:sz w:val="24"/>
          <w:szCs w:val="24"/>
        </w:rPr>
        <w:t>es</w:t>
      </w:r>
      <w:r>
        <w:rPr>
          <w:rFonts w:ascii="Times New Roman" w:hAnsi="Times New Roman" w:eastAsia="Times New Roman" w:cs="Times New Roman"/>
          <w:b/>
          <w:bCs/>
          <w:color w:val="282425"/>
          <w:sz w:val="24"/>
          <w:szCs w:val="24"/>
        </w:rPr>
        <w:t>ign</w:t>
      </w:r>
    </w:p>
    <w:p w14:paraId="32DF3D64">
      <w:pPr>
        <w:widowControl w:val="0"/>
        <w:ind w:right="532"/>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will adopt a mixed-methods research approach, specifically combining descriptive survey design (quantitative) and qualitative inquiry. The descriptive survey method is suitable for collecting measurable data on dropout rates, types of domestic chores, and parental awareness across a broader sample. It allows the researcher to quantify trends and relationships among variables.</w:t>
      </w:r>
    </w:p>
    <w:p w14:paraId="08658955">
      <w:pPr>
        <w:widowControl w:val="0"/>
        <w:ind w:right="532"/>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qualitative component will involve interviews and focus group discussions to capture in-depth perspectives from students, parents, and teachers on how domestic chores affect girls’ education. This method will help uncover cultural norms, emotional experiences, and contextual factors that are not easily quantifiable. The integration of both methods will enrich the study by providing a comprehensive understanding of the issue.</w:t>
      </w:r>
    </w:p>
    <w:p w14:paraId="19A886F3">
      <w:pPr>
        <w:spacing w:after="34"/>
        <w:rPr>
          <w:rFonts w:ascii="Times New Roman" w:hAnsi="Times New Roman" w:eastAsia="Times New Roman" w:cs="Times New Roman"/>
          <w:sz w:val="24"/>
          <w:szCs w:val="24"/>
        </w:rPr>
      </w:pPr>
    </w:p>
    <w:p w14:paraId="2AB3E2DB">
      <w:pPr>
        <w:widowControl w:val="0"/>
        <w:tabs>
          <w:tab w:val="left" w:pos="782"/>
        </w:tabs>
        <w:ind w:left="360"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c.</w:t>
      </w:r>
      <w:r>
        <w:rPr>
          <w:rFonts w:ascii="Times New Roman" w:hAnsi="Times New Roman" w:eastAsia="Times New Roman" w:cs="Times New Roman"/>
          <w:color w:val="282425"/>
          <w:sz w:val="24"/>
          <w:szCs w:val="24"/>
        </w:rPr>
        <w:tab/>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3074ECBC">
      <w:pPr>
        <w:widowControl w:val="0"/>
        <w:ind w:right="967"/>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research will take place in Lagdera Sub-County which functions as one of the administrative  units within Garissa County, Kenya. The region of Lagdera exists in a semi-arid environment  and features substantial poverty alongside nomadic pastoralist communities and restricted basic service access including educational facilities. The  combination of social-economic conditions together with environmental aspects creates heightened susceptibility to educational gender inequalities in this particular  area.</w:t>
      </w:r>
    </w:p>
    <w:p w14:paraId="08991F3B">
      <w:pPr>
        <w:widowControl w:val="0"/>
        <w:ind w:right="967"/>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study chose Lagdera as its research area because educational institutions and local NGOs documented significant school  dropout statistics specifically affecting girls in this area. The sub-county presents an appropriate setting to study how  household work affects educational opportunities for girls because of the traditional family requirements and domestic tasks that students must  fulfill.</w:t>
      </w:r>
    </w:p>
    <w:p w14:paraId="5ED4D1F4">
      <w:pPr>
        <w:widowControl w:val="0"/>
        <w:ind w:right="967"/>
        <w:jc w:val="both"/>
        <w:rPr>
          <w:rFonts w:ascii="Times New Roman" w:hAnsi="Times New Roman" w:eastAsia="Times New Roman" w:cs="Times New Roman"/>
          <w:color w:val="282425"/>
          <w:spacing w:val="2"/>
          <w:sz w:val="24"/>
          <w:szCs w:val="24"/>
        </w:rPr>
      </w:pPr>
    </w:p>
    <w:p w14:paraId="00CDAD27">
      <w:pPr>
        <w:widowControl w:val="0"/>
        <w:spacing w:before="5"/>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106"/>
          <w:sz w:val="24"/>
          <w:szCs w:val="24"/>
        </w:rPr>
        <w:t xml:space="preserve"> </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pul</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get</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ula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w:t>
      </w:r>
    </w:p>
    <w:p w14:paraId="5EE0F8A0">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sample will include students and teachers together with parents and education officers who operate within junior secondary  schools of Lagdera Sub-County. The study will center on female junior secondary students who face  the possibility of school dropout or have already left because of domestic work.</w:t>
      </w:r>
    </w:p>
    <w:p w14:paraId="260FAFB3">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incorporate the following  participants:</w:t>
      </w:r>
    </w:p>
    <w:p w14:paraId="5E99D171">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Students who attend junior secondary schools as members of Grades 7 to 9</w:t>
      </w:r>
    </w:p>
    <w:p w14:paraId="58817466">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Teachers along  with guidance counsellors who provide direct support to these students</w:t>
      </w:r>
    </w:p>
    <w:p w14:paraId="3BC55EDF">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Guardians or parents of specific girls who  were chosen for the study</w:t>
      </w:r>
    </w:p>
    <w:p w14:paraId="6369D9CE">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Child Protection Officers together with Sub-county Education Officers</w:t>
      </w:r>
    </w:p>
    <w:p w14:paraId="134647D8">
      <w:pPr>
        <w:widowControl w:val="0"/>
        <w:spacing w:before="5"/>
        <w:ind w:left="360"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selected population  contains individuals who directly experience and observe as well as make decisions about domestic chores affecting education.</w:t>
      </w:r>
      <w:bookmarkStart w:id="4" w:name="_page_29_0"/>
    </w:p>
    <w:p w14:paraId="7DDB6C53">
      <w:pPr>
        <w:widowControl w:val="0"/>
        <w:spacing w:before="5"/>
        <w:ind w:left="360" w:right="-20"/>
        <w:rPr>
          <w:rFonts w:ascii="Times New Roman" w:hAnsi="Times New Roman" w:eastAsia="Times New Roman" w:cs="Times New Roman"/>
          <w:color w:val="282425"/>
          <w:sz w:val="24"/>
          <w:szCs w:val="24"/>
        </w:rPr>
      </w:pPr>
    </w:p>
    <w:p w14:paraId="35DA7071">
      <w:pPr>
        <w:widowControl w:val="0"/>
        <w:ind w:left="360"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33"/>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1"/>
          <w:sz w:val="24"/>
          <w:szCs w:val="24"/>
        </w:rPr>
        <w:t>in</w:t>
      </w:r>
      <w:r>
        <w:rPr>
          <w:rFonts w:ascii="Times New Roman" w:hAnsi="Times New Roman" w:eastAsia="Times New Roman" w:cs="Times New Roman"/>
          <w:b/>
          <w:bCs/>
          <w:color w:val="282425"/>
          <w:sz w:val="24"/>
          <w:szCs w:val="24"/>
        </w:rPr>
        <w:t>g</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63F1F5B4">
      <w:pPr>
        <w:widowControl w:val="0"/>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use purposive and stratified random sampling methods that target only rural locations of  Lagdera Sub-County.</w:t>
      </w:r>
    </w:p>
    <w:p w14:paraId="567D9FDA">
      <w:pPr>
        <w:widowControl w:val="0"/>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use purposive sampling to choose specific people who include headteachers  and class teachers together with education officers and parents of girls who dropped out or face dropping out because  of domestic work. These people get chosen through their understanding and direct involvement with the problem.</w:t>
      </w:r>
    </w:p>
    <w:p w14:paraId="602D2152">
      <w:pPr>
        <w:widowControl w:val="0"/>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implement stratified random sampling to select schools along with students who reside in the rural areas.  The schools will be divided according to administrative zones that exist in Lagdera Sub-County. A  random selection of rural schools will be taken from each administrative zone during the sampling process. The selected  schools will randomly select girls from Grades 7 to 9 to take part in the research.</w:t>
      </w:r>
    </w:p>
    <w:p w14:paraId="14AE99C8">
      <w:pPr>
        <w:widowControl w:val="0"/>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methodology provides a complete understanding regarding why girls in rural areas drop out of school.</w:t>
      </w:r>
    </w:p>
    <w:p w14:paraId="6DB8E468">
      <w:pPr>
        <w:widowControl w:val="0"/>
        <w:ind w:right="564"/>
        <w:jc w:val="both"/>
        <w:rPr>
          <w:rFonts w:ascii="Times New Roman" w:hAnsi="Times New Roman" w:eastAsia="Times New Roman" w:cs="Times New Roman"/>
          <w:color w:val="282425"/>
          <w:sz w:val="24"/>
          <w:szCs w:val="24"/>
        </w:rPr>
      </w:pPr>
    </w:p>
    <w:p w14:paraId="558C5AB7">
      <w:pPr>
        <w:widowControl w:val="0"/>
        <w:ind w:left="360" w:right="-20"/>
        <w:rPr>
          <w:rFonts w:ascii="Times New Roman" w:hAnsi="Times New Roman" w:eastAsia="Times New Roman" w:cs="Times New Roman"/>
          <w:sz w:val="24"/>
          <w:szCs w:val="24"/>
        </w:rPr>
      </w:pPr>
      <w:r>
        <w:rPr>
          <w:rFonts w:ascii="Times New Roman" w:hAnsi="Times New Roman" w:eastAsia="Times New Roman" w:cs="Times New Roman"/>
          <w:b/>
          <w:bCs/>
          <w:color w:val="282425"/>
          <w:spacing w:val="1"/>
          <w:sz w:val="24"/>
          <w:szCs w:val="24"/>
        </w:rPr>
        <w:t>f</w:t>
      </w:r>
      <w:r>
        <w:rPr>
          <w:rFonts w:ascii="Times New Roman" w:hAnsi="Times New Roman" w:eastAsia="Times New Roman" w:cs="Times New Roman"/>
          <w:b/>
          <w:bCs/>
          <w:color w:val="282425"/>
          <w:sz w:val="24"/>
          <w:szCs w:val="24"/>
        </w:rPr>
        <w:t>.</w:t>
      </w:r>
      <w:r>
        <w:rPr>
          <w:rFonts w:ascii="Times New Roman" w:hAnsi="Times New Roman" w:eastAsia="Times New Roman" w:cs="Times New Roman"/>
          <w:b/>
          <w:bCs/>
          <w:color w:val="282425"/>
          <w:spacing w:val="159"/>
          <w:sz w:val="24"/>
          <w:szCs w:val="24"/>
        </w:rPr>
        <w:t xml:space="preserve"> </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mpl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Size</w:t>
      </w:r>
    </w:p>
    <w:p w14:paraId="64C7D6B1">
      <w:pPr>
        <w:pStyle w:val="10"/>
      </w:pPr>
      <w:r>
        <w:t xml:space="preserve">The sample size will be determined using </w:t>
      </w:r>
      <w:r>
        <w:rPr>
          <w:rStyle w:val="11"/>
        </w:rPr>
        <w:t>Yamane’s formula (1967)</w:t>
      </w:r>
      <w:r>
        <w:t xml:space="preserve"> for finite populations:e</w:t>
      </w:r>
      <w:r>
        <w:rPr>
          <w:vertAlign w:val="superscript"/>
        </w:rPr>
        <w:t>2</w:t>
      </w:r>
    </w:p>
    <w:p w14:paraId="36C6C20A">
      <w:pPr>
        <w:rPr>
          <w:rFonts w:ascii="Times New Roman" w:hAnsi="Times New Roman" w:cs="Times New Roman"/>
          <w:sz w:val="24"/>
          <w:szCs w:val="24"/>
        </w:rPr>
      </w:pPr>
      <m:oMathPara>
        <m:oMath>
          <m:r>
            <m:rPr>
              <m:nor/>
            </m:rPr>
            <w:rPr>
              <w:rFonts w:ascii="Cambria Math" w:hAnsi="Cambria Math" w:cs="Times New Roman"/>
              <w:i/>
              <w:sz w:val="24"/>
              <w:szCs w:val="24"/>
            </w:rPr>
            <m:t>n</m:t>
          </m:r>
          <m:r>
            <m:rPr>
              <m:nor/>
              <m:sty m:val="p"/>
            </m:rPr>
            <w:rPr>
              <w:rFonts w:ascii="Cambria Math" w:hAnsi="Cambria Math" w:cs="Times New Roman"/>
              <w:b w:val="0"/>
              <w:i w:val="0"/>
              <w:sz w:val="24"/>
              <w:szCs w:val="24"/>
            </w:rPr>
            <m:t>=</m:t>
          </m:r>
          <m:f>
            <m:fPr>
              <m:ctrlPr>
                <w:rPr>
                  <w:rFonts w:ascii="Cambria Math" w:hAnsi="Cambria Math" w:cs="Times New Roman"/>
                  <w:i/>
                  <w:sz w:val="24"/>
                  <w:szCs w:val="24"/>
                </w:rPr>
              </m:ctrlPr>
            </m:fPr>
            <m:num>
              <m:r>
                <m:rPr>
                  <m:nor/>
                </m:rPr>
                <w:rPr>
                  <w:rFonts w:ascii="Cambria Math" w:hAnsi="Cambria Math" w:cs="Times New Roman"/>
                  <w:i/>
                  <w:sz w:val="24"/>
                  <w:szCs w:val="24"/>
                </w:rPr>
                <m:t>N</m:t>
              </m:r>
              <m:ctrlPr>
                <w:rPr>
                  <w:rFonts w:ascii="Cambria Math" w:hAnsi="Cambria Math" w:cs="Times New Roman"/>
                  <w:i/>
                  <w:sz w:val="24"/>
                  <w:szCs w:val="24"/>
                </w:rPr>
              </m:ctrlPr>
            </m:num>
            <m:den>
              <m:r>
                <m:rPr>
                  <m:nor/>
                  <m:sty m:val="p"/>
                </m:rPr>
                <w:rPr>
                  <w:rFonts w:ascii="Cambria Math" w:hAnsi="Cambria Math" w:cs="Times New Roman"/>
                  <w:b w:val="0"/>
                  <w:i w:val="0"/>
                  <w:sz w:val="24"/>
                  <w:szCs w:val="24"/>
                </w:rPr>
                <m:t xml:space="preserve">1 + </m:t>
              </m:r>
              <m:r>
                <m:rPr>
                  <m:nor/>
                </m:rPr>
                <w:rPr>
                  <w:rFonts w:ascii="Cambria Math" w:hAnsi="Cambria Math" w:cs="Times New Roman"/>
                  <w:i/>
                  <w:sz w:val="24"/>
                  <w:szCs w:val="24"/>
                </w:rPr>
                <m:t>N</m:t>
              </m:r>
              <m:r>
                <m:rPr>
                  <m:nor/>
                  <m:sty m:val="p"/>
                </m:rPr>
                <w:rPr>
                  <w:rFonts w:ascii="Cambria Math" w:hAnsi="Cambria Math" w:cs="Times New Roman"/>
                  <w:b w:val="0"/>
                  <w:i w:val="0"/>
                  <w:sz w:val="24"/>
                  <w:szCs w:val="24"/>
                </w:rPr>
                <m:t>(</m:t>
              </m:r>
              <m:r>
                <m:rPr>
                  <m:nor/>
                  <m:sty m:val="p"/>
                </m:rPr>
                <w:rPr>
                  <w:rFonts w:ascii="Times New Roman" w:hAnsi="Times New Roman" w:cs="Times New Roman"/>
                  <w:b w:val="0"/>
                  <w:i w:val="0"/>
                  <w:sz w:val="24"/>
                  <w:szCs w:val="24"/>
                </w:rPr>
                <m:t>e</m:t>
              </m:r>
              <m:r>
                <m:rPr>
                  <m:nor/>
                  <m:sty m:val="p"/>
                </m:rPr>
                <w:rPr>
                  <w:rFonts w:ascii="Cambria Math" w:hAnsi="Cambria Math" w:cs="Times New Roman"/>
                  <w:b w:val="0"/>
                  <w:i w:val="0"/>
                  <w:sz w:val="24"/>
                  <w:szCs w:val="24"/>
                </w:rPr>
                <m:t>)</m:t>
              </m:r>
              <m:r>
                <m:rPr>
                  <m:nor/>
                  <m:sty m:val="p"/>
                </m:rPr>
                <w:rPr>
                  <w:rFonts w:ascii="Times New Roman" w:hAnsi="Times New Roman" w:cs="Times New Roman"/>
                  <w:b w:val="0"/>
                  <w:i w:val="0"/>
                  <w:sz w:val="24"/>
                  <w:szCs w:val="24"/>
                  <w:vertAlign w:val="superscript"/>
                </w:rPr>
                <m:t>2</m:t>
              </m:r>
              <m:ctrlPr>
                <w:rPr>
                  <w:rFonts w:ascii="Cambria Math" w:hAnsi="Cambria Math" w:cs="Times New Roman"/>
                  <w:i/>
                  <w:sz w:val="24"/>
                  <w:szCs w:val="24"/>
                </w:rPr>
              </m:ctrlPr>
            </m:den>
          </m:f>
        </m:oMath>
      </m:oMathPara>
    </w:p>
    <w:p w14:paraId="330DC400">
      <w:pPr>
        <w:pStyle w:val="10"/>
      </w:pPr>
      <w:r>
        <w:t xml:space="preserve">Where: </w:t>
      </w:r>
      <w:r>
        <w:rPr>
          <w:rStyle w:val="7"/>
        </w:rPr>
        <w:t>n</w:t>
      </w:r>
      <w:r>
        <w:t xml:space="preserve"> = desired sample size, </w:t>
      </w:r>
      <w:r>
        <w:rPr>
          <w:rStyle w:val="7"/>
        </w:rPr>
        <w:t>N</w:t>
      </w:r>
      <w:r>
        <w:t xml:space="preserve"> = estimated population size, </w:t>
      </w:r>
      <w:r>
        <w:rPr>
          <w:rStyle w:val="7"/>
        </w:rPr>
        <w:t>e</w:t>
      </w:r>
      <w:r>
        <w:t xml:space="preserve"> = level of precision (usually set at 0.05 for 95% confidence)</w:t>
      </w:r>
    </w:p>
    <w:p w14:paraId="690D3E49">
      <w:pPr>
        <w:pStyle w:val="10"/>
      </w:pPr>
      <w:r>
        <w:t xml:space="preserve">Assuming the total target population (students, teachers, and parents in rural Lagdera Sub-County schools) is approximately </w:t>
      </w:r>
      <w:r>
        <w:rPr>
          <w:rStyle w:val="11"/>
        </w:rPr>
        <w:t>800</w:t>
      </w:r>
      <w:r>
        <w:t>, and using a 95% confidence level:</w:t>
      </w:r>
    </w:p>
    <w:p w14:paraId="66854ACF">
      <w:pPr>
        <w:rPr>
          <w:rFonts w:ascii="Times New Roman" w:hAnsi="Times New Roman" w:cs="Times New Roman"/>
          <w:sz w:val="24"/>
          <w:szCs w:val="24"/>
        </w:rPr>
      </w:pPr>
      <m:oMath>
        <m:r>
          <m:rPr>
            <m:nor/>
          </m:rPr>
          <w:rPr>
            <w:rFonts w:ascii="Cambria Math" w:hAnsi="Cambria Math" w:cs="Times New Roman"/>
            <w:i/>
            <w:sz w:val="24"/>
            <w:szCs w:val="24"/>
          </w:rPr>
          <m:t xml:space="preserve">n </m:t>
        </m:r>
        <m:r>
          <m:rPr>
            <m:nor/>
            <m:sty m:val="p"/>
          </m:rPr>
          <w:rPr>
            <w:rFonts w:ascii="Cambria Math" w:hAnsi="Cambria Math" w:cs="Times New Roman"/>
            <w:b w:val="0"/>
            <w:i w:val="0"/>
            <w:sz w:val="24"/>
            <w:szCs w:val="24"/>
          </w:rPr>
          <m:t xml:space="preserve">= </m:t>
        </m:r>
        <m:f>
          <m:fPr>
            <m:ctrlPr>
              <w:rPr>
                <w:rFonts w:ascii="Cambria Math" w:hAnsi="Cambria Math" w:cs="Times New Roman"/>
                <w:i/>
                <w:sz w:val="24"/>
                <w:szCs w:val="24"/>
              </w:rPr>
            </m:ctrlPr>
          </m:fPr>
          <m:num>
            <m:r>
              <m:rPr>
                <m:nor/>
                <m:sty m:val="p"/>
              </m:rPr>
              <w:rPr>
                <w:rFonts w:ascii="Cambria Math" w:hAnsi="Cambria Math" w:cs="Times New Roman"/>
                <w:b w:val="0"/>
                <w:i w:val="0"/>
                <w:sz w:val="24"/>
                <w:szCs w:val="24"/>
              </w:rPr>
              <m:t>800</m:t>
            </m:r>
            <m:ctrlPr>
              <w:rPr>
                <w:rFonts w:ascii="Cambria Math" w:hAnsi="Cambria Math" w:cs="Times New Roman"/>
                <w:i/>
                <w:sz w:val="24"/>
                <w:szCs w:val="24"/>
              </w:rPr>
            </m:ctrlPr>
          </m:num>
          <m:den>
            <m:r>
              <m:rPr>
                <m:nor/>
                <m:sty m:val="p"/>
              </m:rPr>
              <w:rPr>
                <w:rFonts w:ascii="Cambria Math" w:hAnsi="Cambria Math" w:cs="Times New Roman"/>
                <w:b w:val="0"/>
                <w:i w:val="0"/>
                <w:sz w:val="24"/>
                <w:szCs w:val="24"/>
              </w:rPr>
              <m:t>1 + 800(0.05*0.05)</m:t>
            </m:r>
            <m:ctrlPr>
              <w:rPr>
                <w:rFonts w:ascii="Cambria Math" w:hAnsi="Cambria Math" w:cs="Times New Roman"/>
                <w:i/>
                <w:sz w:val="24"/>
                <w:szCs w:val="24"/>
              </w:rPr>
            </m:ctrlPr>
          </m:den>
        </m:f>
      </m:oMath>
      <w:r>
        <w:rPr>
          <w:rFonts w:ascii="Times New Roman" w:hAnsi="Times New Roman" w:cs="Times New Roman"/>
          <w:sz w:val="24"/>
          <w:szCs w:val="24"/>
        </w:rPr>
        <w:t xml:space="preserve">  = 267</w:t>
      </w:r>
    </w:p>
    <w:p w14:paraId="53C6AFFA">
      <w:pPr>
        <w:pStyle w:val="10"/>
      </w:pPr>
      <w:r>
        <w:t xml:space="preserve">Thus, a sample size of approximately </w:t>
      </w:r>
      <w:r>
        <w:rPr>
          <w:rStyle w:val="11"/>
        </w:rPr>
        <w:t>267 respondents</w:t>
      </w:r>
      <w:r>
        <w:t xml:space="preserve"> will be selected, distributed as follows:</w:t>
      </w:r>
    </w:p>
    <w:p w14:paraId="05B63D6B">
      <w:pPr>
        <w:pStyle w:val="10"/>
        <w:ind w:left="720"/>
      </w:pPr>
      <w:r>
        <w:rPr>
          <w:rStyle w:val="11"/>
        </w:rPr>
        <w:t>180 students</w:t>
      </w:r>
      <w:r>
        <w:t xml:space="preserve"> (girls in junior secondary)</w:t>
      </w:r>
    </w:p>
    <w:p w14:paraId="09083184">
      <w:pPr>
        <w:pStyle w:val="10"/>
        <w:ind w:left="720"/>
      </w:pPr>
      <w:r>
        <w:rPr>
          <w:rStyle w:val="11"/>
        </w:rPr>
        <w:t>50 parents</w:t>
      </w:r>
    </w:p>
    <w:p w14:paraId="70809712">
      <w:pPr>
        <w:pStyle w:val="10"/>
        <w:ind w:left="720"/>
      </w:pPr>
      <w:r>
        <w:rPr>
          <w:rStyle w:val="11"/>
        </w:rPr>
        <w:t>37 teachers and key informants</w:t>
      </w:r>
    </w:p>
    <w:p w14:paraId="73745D80">
      <w:pPr>
        <w:pStyle w:val="10"/>
        <w:rPr>
          <w:rFonts w:eastAsia="Times New Roman"/>
          <w:b/>
          <w:bCs/>
          <w:color w:val="282425"/>
        </w:rPr>
      </w:pPr>
      <w:r>
        <w:t>This stratified distribution ensures representation across key stakeholders while maintaining statistical reliability.</w:t>
      </w:r>
    </w:p>
    <w:p w14:paraId="406E499C">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b/>
          <w:bCs/>
          <w:color w:val="282425"/>
          <w:sz w:val="24"/>
          <w:szCs w:val="24"/>
        </w:rPr>
        <w:t>g.</w:t>
      </w:r>
      <w:r>
        <w:rPr>
          <w:rFonts w:ascii="Times New Roman" w:hAnsi="Times New Roman" w:eastAsia="Times New Roman" w:cs="Times New Roman"/>
          <w:b/>
          <w:bCs/>
          <w:color w:val="282425"/>
          <w:spacing w:val="120"/>
          <w:sz w:val="24"/>
          <w:szCs w:val="24"/>
        </w:rPr>
        <w:t xml:space="preserve"> </w:t>
      </w:r>
      <w:r>
        <w:rPr>
          <w:rFonts w:ascii="Times New Roman" w:hAnsi="Times New Roman" w:eastAsia="Times New Roman" w:cs="Times New Roman"/>
          <w:b/>
          <w:bCs/>
          <w:color w:val="282425"/>
          <w:spacing w:val="-2"/>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ru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z w:val="24"/>
          <w:szCs w:val="24"/>
        </w:rPr>
        <w:t>en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p>
    <w:p w14:paraId="66A3D6D2">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approach will employ both quantitative and qualitative instruments to obtain complete data:</w:t>
      </w:r>
    </w:p>
    <w:p w14:paraId="3028A954">
      <w:pPr>
        <w:widowControl w:val="0"/>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Questionnaires:</w:t>
      </w:r>
    </w:p>
    <w:p w14:paraId="445E5852">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distribute structured questionnaires to students and their parents. The questionnaires will use both closed-ended questions  and Likert-scale items to gather data about:</w:t>
      </w:r>
    </w:p>
    <w:p w14:paraId="1C07E194">
      <w:pPr>
        <w:widowControl w:val="0"/>
        <w:numPr>
          <w:ilvl w:val="0"/>
          <w:numId w:val="8"/>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Types of domestic chores performed by girls</w:t>
      </w:r>
    </w:p>
    <w:p w14:paraId="2A309546">
      <w:pPr>
        <w:widowControl w:val="0"/>
        <w:numPr>
          <w:ilvl w:val="0"/>
          <w:numId w:val="8"/>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Frequency and duration of chores</w:t>
      </w:r>
    </w:p>
    <w:p w14:paraId="4131A3A5">
      <w:pPr>
        <w:widowControl w:val="0"/>
        <w:numPr>
          <w:ilvl w:val="0"/>
          <w:numId w:val="8"/>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measure how domestic responsibilities affect school attendance as well as homework completion and academic results.</w:t>
      </w:r>
    </w:p>
    <w:p w14:paraId="098949A4">
      <w:pPr>
        <w:widowControl w:val="0"/>
        <w:ind w:right="-20"/>
        <w:rPr>
          <w:rFonts w:ascii="Times New Roman" w:hAnsi="Times New Roman" w:eastAsia="Times New Roman" w:cs="Times New Roman"/>
          <w:b/>
          <w:bCs/>
          <w:color w:val="282425"/>
          <w:sz w:val="24"/>
          <w:szCs w:val="24"/>
        </w:rPr>
      </w:pPr>
    </w:p>
    <w:p w14:paraId="1C94CBC5">
      <w:pPr>
        <w:widowControl w:val="0"/>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Interview Schedules:</w:t>
      </w:r>
    </w:p>
    <w:p w14:paraId="17064CCE">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implement semi-structured interview guides for both teachers and key informants which include  education officers and community leaders. These interviews will gather profound understanding about:</w:t>
      </w:r>
    </w:p>
    <w:p w14:paraId="2908AAE6">
      <w:pPr>
        <w:widowControl w:val="0"/>
        <w:numPr>
          <w:ilvl w:val="0"/>
          <w:numId w:val="9"/>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participants' beliefs about  household tasks alongside dropout patterns</w:t>
      </w:r>
    </w:p>
    <w:p w14:paraId="375C1AD1">
      <w:pPr>
        <w:widowControl w:val="0"/>
        <w:numPr>
          <w:ilvl w:val="0"/>
          <w:numId w:val="9"/>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participants' observations regarding community standards and parental understanding</w:t>
      </w:r>
    </w:p>
    <w:p w14:paraId="160577CF">
      <w:pPr>
        <w:widowControl w:val="0"/>
        <w:ind w:right="-20"/>
        <w:rPr>
          <w:rFonts w:ascii="Times New Roman" w:hAnsi="Times New Roman" w:eastAsia="Times New Roman" w:cs="Times New Roman"/>
          <w:color w:val="282425"/>
          <w:sz w:val="24"/>
          <w:szCs w:val="24"/>
        </w:rPr>
      </w:pPr>
    </w:p>
    <w:p w14:paraId="1F6D6755">
      <w:pPr>
        <w:widowControl w:val="0"/>
        <w:numPr>
          <w:ilvl w:val="0"/>
          <w:numId w:val="10"/>
        </w:numPr>
        <w:ind w:right="-20"/>
        <w:rPr>
          <w:rFonts w:ascii="Times New Roman" w:hAnsi="Times New Roman" w:eastAsia="Times New Roman" w:cs="Times New Roman"/>
          <w:color w:val="282425"/>
          <w:sz w:val="24"/>
          <w:szCs w:val="24"/>
        </w:rPr>
      </w:pPr>
      <w:r>
        <w:rPr>
          <w:rStyle w:val="11"/>
          <w:rFonts w:ascii="Times New Roman" w:hAnsi="Times New Roman" w:eastAsia="SimSun" w:cs="Times New Roman"/>
          <w:sz w:val="24"/>
          <w:szCs w:val="24"/>
        </w:rPr>
        <w:t>Document Analysis Guide</w:t>
      </w:r>
      <w:r>
        <w:rPr>
          <w:rFonts w:ascii="Times New Roman" w:hAnsi="Times New Roman" w:eastAsia="SimSun" w:cs="Times New Roman"/>
          <w:sz w:val="24"/>
          <w:szCs w:val="24"/>
        </w:rPr>
        <w:t>:</w:t>
      </w:r>
    </w:p>
    <w:p w14:paraId="15F613F0">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analyze school records through a checklist to evaluate the following:</w:t>
      </w:r>
    </w:p>
    <w:p w14:paraId="4934880A">
      <w:pPr>
        <w:widowControl w:val="0"/>
        <w:numPr>
          <w:ilvl w:val="0"/>
          <w:numId w:val="11"/>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Grade 6 girls enrollment, junior school enrollment and attendance registers.</w:t>
      </w:r>
    </w:p>
    <w:p w14:paraId="1618C606">
      <w:pPr>
        <w:widowControl w:val="0"/>
        <w:numPr>
          <w:ilvl w:val="0"/>
          <w:numId w:val="11"/>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Assessment and Performance reports</w:t>
      </w:r>
    </w:p>
    <w:p w14:paraId="50941DEA">
      <w:pPr>
        <w:widowControl w:val="0"/>
        <w:numPr>
          <w:ilvl w:val="0"/>
          <w:numId w:val="11"/>
        </w:numPr>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Analyze grade 6 girls enrollment and dropouts during the previous 2–3 years at junior school level.</w:t>
      </w:r>
    </w:p>
    <w:p w14:paraId="1753DE58">
      <w:pPr>
        <w:widowControl w:val="0"/>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implementation of these three  research instruments enables data triangulation which strengthens both the reliability and validity of the research results.</w:t>
      </w:r>
    </w:p>
    <w:p w14:paraId="6F9DEDB6">
      <w:pPr>
        <w:widowControl w:val="0"/>
        <w:ind w:right="-20"/>
        <w:rPr>
          <w:rFonts w:ascii="Times New Roman" w:hAnsi="Times New Roman" w:eastAsia="Times New Roman" w:cs="Times New Roman"/>
          <w:color w:val="282425"/>
          <w:sz w:val="24"/>
          <w:szCs w:val="24"/>
        </w:rPr>
      </w:pPr>
    </w:p>
    <w:p w14:paraId="55DA67EB">
      <w:pPr>
        <w:widowControl w:val="0"/>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h.</w:t>
      </w:r>
      <w:r>
        <w:rPr>
          <w:rFonts w:ascii="Times New Roman" w:hAnsi="Times New Roman" w:eastAsia="Times New Roman" w:cs="Times New Roman"/>
          <w:b/>
          <w:bCs/>
          <w:color w:val="282425"/>
          <w:spacing w:val="106"/>
          <w:sz w:val="24"/>
          <w:szCs w:val="24"/>
        </w:rPr>
        <w:t xml:space="preserve"> </w:t>
      </w:r>
      <w:r>
        <w:rPr>
          <w:rFonts w:ascii="Times New Roman" w:hAnsi="Times New Roman" w:eastAsia="Times New Roman" w:cs="Times New Roman"/>
          <w:b/>
          <w:bCs/>
          <w:color w:val="282425"/>
          <w:sz w:val="24"/>
          <w:szCs w:val="24"/>
        </w:rPr>
        <w:t>Val</w:t>
      </w:r>
      <w:r>
        <w:rPr>
          <w:rFonts w:ascii="Times New Roman" w:hAnsi="Times New Roman" w:eastAsia="Times New Roman" w:cs="Times New Roman"/>
          <w:b/>
          <w:bCs/>
          <w:color w:val="282425"/>
          <w:spacing w:val="1"/>
          <w:sz w:val="24"/>
          <w:szCs w:val="24"/>
        </w:rPr>
        <w:t>id</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relia</w:t>
      </w:r>
      <w:r>
        <w:rPr>
          <w:rFonts w:ascii="Times New Roman" w:hAnsi="Times New Roman" w:eastAsia="Times New Roman" w:cs="Times New Roman"/>
          <w:b/>
          <w:bCs/>
          <w:color w:val="282425"/>
          <w:spacing w:val="1"/>
          <w:sz w:val="24"/>
          <w:szCs w:val="24"/>
        </w:rPr>
        <w:t>bi</w:t>
      </w:r>
      <w:r>
        <w:rPr>
          <w:rFonts w:ascii="Times New Roman" w:hAnsi="Times New Roman" w:eastAsia="Times New Roman" w:cs="Times New Roman"/>
          <w:b/>
          <w:bCs/>
          <w:color w:val="282425"/>
          <w:spacing w:val="-3"/>
          <w:sz w:val="24"/>
          <w:szCs w:val="24"/>
        </w:rPr>
        <w:t>l</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tr</w:t>
      </w:r>
      <w:r>
        <w:rPr>
          <w:rFonts w:ascii="Times New Roman" w:hAnsi="Times New Roman" w:eastAsia="Times New Roman" w:cs="Times New Roman"/>
          <w:b/>
          <w:bCs/>
          <w:color w:val="282425"/>
          <w:spacing w:val="1"/>
          <w:sz w:val="24"/>
          <w:szCs w:val="24"/>
        </w:rPr>
        <w:t>um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ts</w:t>
      </w:r>
    </w:p>
    <w:p w14:paraId="5EBFA663">
      <w:pPr>
        <w:widowControl w:val="0"/>
        <w:spacing w:before="3"/>
        <w:ind w:right="-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Validity refers to the extent to which the research instruments measure what they are intended to measure. To ensure content validity, the instruments (questionnaires, interview schedules, and document analysis guide) will be developed under the guidance of education experts and research supervisors. The tools will be carefully reviewed to ensure they align with the research objectives and adequately capture information on domestic chores, school attendance, and dropout rates. A pilot study will be conducted in a neighboring sub-county with similar characteristics to test clarity, appropriateness, and comprehensiveness of the questions.</w:t>
      </w:r>
    </w:p>
    <w:p w14:paraId="23EE8E70">
      <w:pPr>
        <w:widowControl w:val="0"/>
        <w:spacing w:before="3"/>
        <w:ind w:right="-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Reliability refers to the consistency of the research instruments. To ensure reliability, the instruments will be administered during the pilot study and tested using the test-retest method. This involves giving the same instrument to the same group twice within a short period and correlating the results. A reliability coefficient (e.g., Cronbach's Alpha for Likert-scale items) of 0.7 or higher will be considered acceptable, indicating that the instrument consistently measures the intended constructs.</w:t>
      </w:r>
    </w:p>
    <w:p w14:paraId="02117E63">
      <w:pPr>
        <w:widowControl w:val="0"/>
        <w:spacing w:before="3"/>
        <w:ind w:right="-20"/>
        <w:rPr>
          <w:rFonts w:ascii="Times New Roman" w:hAnsi="Times New Roman" w:eastAsia="Times New Roman" w:cs="Times New Roman"/>
          <w:color w:val="000000"/>
          <w:sz w:val="24"/>
          <w:szCs w:val="24"/>
        </w:rPr>
      </w:pPr>
    </w:p>
    <w:p w14:paraId="467769F8">
      <w:pPr>
        <w:spacing w:after="12"/>
        <w:rPr>
          <w:rFonts w:ascii="Times New Roman" w:hAnsi="Times New Roman" w:eastAsia="Times New Roman" w:cs="Times New Roman"/>
          <w:sz w:val="24"/>
          <w:szCs w:val="24"/>
        </w:rPr>
      </w:pPr>
    </w:p>
    <w:p w14:paraId="0E3978C6">
      <w:pPr>
        <w:widowControl w:val="0"/>
        <w:tabs>
          <w:tab w:val="left" w:pos="782"/>
        </w:tabs>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i.</w:t>
      </w:r>
      <w:r>
        <w:rPr>
          <w:rFonts w:ascii="Times New Roman" w:hAnsi="Times New Roman" w:eastAsia="Times New Roman" w:cs="Times New Roman"/>
          <w:color w:val="282425"/>
          <w:sz w:val="24"/>
          <w:szCs w:val="24"/>
        </w:rPr>
        <w:tab/>
      </w:r>
      <w:r>
        <w:rPr>
          <w:rFonts w:ascii="Times New Roman" w:hAnsi="Times New Roman" w:eastAsia="Times New Roman" w:cs="Times New Roman"/>
          <w:b/>
          <w:bCs/>
          <w:color w:val="282425"/>
          <w:sz w:val="24"/>
          <w:szCs w:val="24"/>
        </w:rPr>
        <w:t>Da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Col</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32539D6F">
      <w:pPr>
        <w:widowControl w:val="0"/>
        <w:spacing w:before="7"/>
        <w:ind w:right="964"/>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Data collection will follow a structured and ethical process. First, the researcher will obtain the necessary approvals from relevant authorities, including the university ethics committee and the Ministry of Education in Garissa County. Upon receiving consent, the researcher will engage school heads to coordinate the study schedule and gain access to participants.</w:t>
      </w:r>
    </w:p>
    <w:p w14:paraId="5B4D7BDD">
      <w:pPr>
        <w:widowControl w:val="0"/>
        <w:spacing w:before="7"/>
        <w:ind w:right="964"/>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researcher will then visit selected rural junior secondary schools in Lagdera Sub-County to administer questionnaires to students and teachers. Interviews will be conducted with parents and key informants such as headteachers and local education officers. Data collection tools will be administered in-person to ensure high response rates and to provide clarification where needed. Trained research assistants fluent in the local language may be used to support respondents during data collection, particularly for interviews. All participants will be assured of confidentiality, and informed consent will be obtained prior to participation.</w:t>
      </w:r>
    </w:p>
    <w:p w14:paraId="63294CBF">
      <w:pPr>
        <w:widowControl w:val="0"/>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color w:val="282425"/>
          <w:sz w:val="24"/>
          <w:szCs w:val="24"/>
        </w:rPr>
        <w:t>j.</w:t>
      </w:r>
      <w:r>
        <w:rPr>
          <w:rFonts w:ascii="Times New Roman" w:hAnsi="Times New Roman" w:eastAsia="Times New Roman" w:cs="Times New Roman"/>
          <w:color w:val="282425"/>
          <w:spacing w:val="173"/>
          <w:sz w:val="24"/>
          <w:szCs w:val="24"/>
        </w:rPr>
        <w:t xml:space="preserve"> </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idera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50DE3054">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will uphold strict ethical standards to protect the rights and welfare of all participants. Ethical clearance will be obtained from the relevant university ethics committee before the commencement of data collection. Informed consent will be sought from all participants, including assent from minors and consent from their parents or guardians.</w:t>
      </w:r>
    </w:p>
    <w:p w14:paraId="5B4F0D3F">
      <w:pPr>
        <w:rPr>
          <w:rFonts w:ascii="Times New Roman" w:hAnsi="Times New Roman" w:eastAsia="Times New Roman" w:cs="Times New Roman"/>
          <w:sz w:val="24"/>
          <w:szCs w:val="24"/>
        </w:rPr>
      </w:pPr>
    </w:p>
    <w:p w14:paraId="792239D8">
      <w:pPr>
        <w:rPr>
          <w:rFonts w:ascii="Times New Roman" w:hAnsi="Times New Roman" w:eastAsia="Times New Roman" w:cs="Times New Roman"/>
          <w:sz w:val="24"/>
          <w:szCs w:val="24"/>
        </w:rPr>
      </w:pPr>
    </w:p>
    <w:p w14:paraId="2E35F86A">
      <w:pPr>
        <w:rPr>
          <w:rFonts w:ascii="Times New Roman" w:hAnsi="Times New Roman" w:eastAsia="Times New Roman" w:cs="Times New Roman"/>
          <w:sz w:val="24"/>
          <w:szCs w:val="24"/>
        </w:rPr>
      </w:pPr>
      <w:r>
        <w:rPr>
          <w:rFonts w:ascii="Times New Roman" w:hAnsi="Times New Roman" w:eastAsia="Times New Roman" w:cs="Times New Roman"/>
          <w:sz w:val="24"/>
          <w:szCs w:val="24"/>
        </w:rPr>
        <w:t>Every participant will learn about the study purpose together with their ability to leave at any moment while the collected information will remain confidential for academic use. All personal identifying details will be kept private to protect participant anonymity. The researcher will handle gender role and school dropout topics with care to maintain participant safety and respect during all stages of the study.</w:t>
      </w:r>
    </w:p>
    <w:p w14:paraId="5F1C75FD">
      <w:pPr>
        <w:rPr>
          <w:rFonts w:ascii="Times New Roman" w:hAnsi="Times New Roman" w:eastAsia="Times New Roman" w:cs="Times New Roman"/>
          <w:sz w:val="24"/>
          <w:szCs w:val="24"/>
        </w:rPr>
      </w:pPr>
    </w:p>
    <w:bookmarkEnd w:id="4"/>
    <w:p w14:paraId="14A1E44E">
      <w:pPr>
        <w:widowControl w:val="0"/>
        <w:ind w:left="360" w:right="2553" w:hanging="360"/>
        <w:rPr>
          <w:rFonts w:ascii="Times New Roman" w:hAnsi="Times New Roman" w:eastAsia="Times New Roman" w:cs="Times New Roman"/>
          <w:b/>
          <w:bCs/>
          <w:color w:val="000000"/>
          <w:sz w:val="24"/>
          <w:szCs w:val="24"/>
        </w:rPr>
      </w:pPr>
      <w:r>
        <w:rPr>
          <w:rFonts w:ascii="Times New Roman" w:hAnsi="Times New Roman" w:eastAsia="Times New Roman" w:cs="Times New Roman"/>
          <w:color w:val="282425"/>
          <w:sz w:val="24"/>
          <w:szCs w:val="24"/>
        </w:rPr>
        <w:t xml:space="preserve">. </w:t>
      </w:r>
      <w:r>
        <w:rPr>
          <w:rFonts w:ascii="Times New Roman" w:hAnsi="Times New Roman" w:eastAsia="Times New Roman" w:cs="Times New Roman"/>
          <w:b/>
          <w:bCs/>
          <w:color w:val="000000"/>
          <w:sz w:val="24"/>
          <w:szCs w:val="24"/>
        </w:rPr>
        <w:t>k.</w:t>
      </w:r>
      <w:r>
        <w:rPr>
          <w:rFonts w:ascii="Times New Roman" w:hAnsi="Times New Roman" w:eastAsia="Times New Roman" w:cs="Times New Roman"/>
          <w:b/>
          <w:bCs/>
          <w:color w:val="000000"/>
          <w:spacing w:val="106"/>
          <w:sz w:val="24"/>
          <w:szCs w:val="24"/>
        </w:rPr>
        <w:t xml:space="preserve"> </w:t>
      </w:r>
      <w:r>
        <w:rPr>
          <w:rFonts w:ascii="Times New Roman" w:hAnsi="Times New Roman" w:eastAsia="Times New Roman" w:cs="Times New Roman"/>
          <w:b/>
          <w:bCs/>
          <w:color w:val="000000"/>
          <w:sz w:val="24"/>
          <w:szCs w:val="24"/>
        </w:rPr>
        <w:t>Da</w:t>
      </w:r>
      <w:r>
        <w:rPr>
          <w:rFonts w:ascii="Times New Roman" w:hAnsi="Times New Roman" w:eastAsia="Times New Roman" w:cs="Times New Roman"/>
          <w:b/>
          <w:bCs/>
          <w:color w:val="000000"/>
          <w:spacing w:val="1"/>
          <w:sz w:val="24"/>
          <w:szCs w:val="24"/>
        </w:rPr>
        <w:t>t</w:t>
      </w:r>
      <w:r>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spacing w:val="3"/>
          <w:sz w:val="24"/>
          <w:szCs w:val="24"/>
        </w:rPr>
        <w:t xml:space="preserve"> </w:t>
      </w:r>
      <w:r>
        <w:rPr>
          <w:rFonts w:ascii="Times New Roman" w:hAnsi="Times New Roman" w:eastAsia="Times New Roman" w:cs="Times New Roman"/>
          <w:b/>
          <w:bCs/>
          <w:color w:val="000000"/>
          <w:sz w:val="24"/>
          <w:szCs w:val="24"/>
        </w:rPr>
        <w:t>Ana</w:t>
      </w:r>
      <w:r>
        <w:rPr>
          <w:rFonts w:ascii="Times New Roman" w:hAnsi="Times New Roman" w:eastAsia="Times New Roman" w:cs="Times New Roman"/>
          <w:b/>
          <w:bCs/>
          <w:color w:val="000000"/>
          <w:spacing w:val="1"/>
          <w:sz w:val="24"/>
          <w:szCs w:val="24"/>
        </w:rPr>
        <w:t>l</w:t>
      </w:r>
      <w:r>
        <w:rPr>
          <w:rFonts w:ascii="Times New Roman" w:hAnsi="Times New Roman" w:eastAsia="Times New Roman" w:cs="Times New Roman"/>
          <w:b/>
          <w:bCs/>
          <w:color w:val="000000"/>
          <w:sz w:val="24"/>
          <w:szCs w:val="24"/>
        </w:rPr>
        <w:t>y</w:t>
      </w:r>
      <w:r>
        <w:rPr>
          <w:rFonts w:ascii="Times New Roman" w:hAnsi="Times New Roman" w:eastAsia="Times New Roman" w:cs="Times New Roman"/>
          <w:b/>
          <w:bCs/>
          <w:color w:val="000000"/>
          <w:spacing w:val="-1"/>
          <w:sz w:val="24"/>
          <w:szCs w:val="24"/>
        </w:rPr>
        <w:t>s</w:t>
      </w:r>
      <w:r>
        <w:rPr>
          <w:rFonts w:ascii="Times New Roman" w:hAnsi="Times New Roman" w:eastAsia="Times New Roman" w:cs="Times New Roman"/>
          <w:b/>
          <w:bCs/>
          <w:color w:val="000000"/>
          <w:sz w:val="24"/>
          <w:szCs w:val="24"/>
        </w:rPr>
        <w:t>is M</w:t>
      </w:r>
      <w:r>
        <w:rPr>
          <w:rFonts w:ascii="Times New Roman" w:hAnsi="Times New Roman" w:eastAsia="Times New Roman" w:cs="Times New Roman"/>
          <w:b/>
          <w:bCs/>
          <w:color w:val="000000"/>
          <w:spacing w:val="-1"/>
          <w:sz w:val="24"/>
          <w:szCs w:val="24"/>
        </w:rPr>
        <w:t>e</w:t>
      </w:r>
      <w:r>
        <w:rPr>
          <w:rFonts w:ascii="Times New Roman" w:hAnsi="Times New Roman" w:eastAsia="Times New Roman" w:cs="Times New Roman"/>
          <w:b/>
          <w:bCs/>
          <w:color w:val="000000"/>
          <w:spacing w:val="1"/>
          <w:sz w:val="24"/>
          <w:szCs w:val="24"/>
        </w:rPr>
        <w:t>th</w:t>
      </w:r>
      <w:r>
        <w:rPr>
          <w:rFonts w:ascii="Times New Roman" w:hAnsi="Times New Roman" w:eastAsia="Times New Roman" w:cs="Times New Roman"/>
          <w:b/>
          <w:bCs/>
          <w:color w:val="000000"/>
          <w:sz w:val="24"/>
          <w:szCs w:val="24"/>
        </w:rPr>
        <w:t>o</w:t>
      </w:r>
      <w:r>
        <w:rPr>
          <w:rFonts w:ascii="Times New Roman" w:hAnsi="Times New Roman" w:eastAsia="Times New Roman" w:cs="Times New Roman"/>
          <w:b/>
          <w:bCs/>
          <w:color w:val="000000"/>
          <w:spacing w:val="1"/>
          <w:sz w:val="24"/>
          <w:szCs w:val="24"/>
        </w:rPr>
        <w:t>d</w:t>
      </w:r>
      <w:r>
        <w:rPr>
          <w:rFonts w:ascii="Times New Roman" w:hAnsi="Times New Roman" w:eastAsia="Times New Roman" w:cs="Times New Roman"/>
          <w:b/>
          <w:bCs/>
          <w:color w:val="000000"/>
          <w:sz w:val="24"/>
          <w:szCs w:val="24"/>
        </w:rPr>
        <w:t>s</w:t>
      </w:r>
    </w:p>
    <w:p w14:paraId="44CCF068">
      <w:pPr>
        <w:spacing w:after="9"/>
        <w:rPr>
          <w:rFonts w:ascii="Times New Roman" w:hAnsi="Times New Roman" w:eastAsia="Times New Roman" w:cs="Times New Roman"/>
          <w:sz w:val="24"/>
          <w:szCs w:val="24"/>
        </w:rPr>
      </w:pPr>
    </w:p>
    <w:p w14:paraId="493BE590">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data collected will be analyzed using both quantitative and qualitative techniques. Quantitative data from structured questionnaires will be coded and entered into the Statistical Package for the Social Sciences (SPSS) software. Descriptive statistics such as frequencies, percentages, means, and standard deviations will be used to summarize data. Inferential statistics such as chi-square tests and correlation analysis will be used to test relationships between domestic chores and girls’ dropout rates.</w:t>
      </w:r>
    </w:p>
    <w:p w14:paraId="71BBA017">
      <w:pPr>
        <w:rPr>
          <w:rFonts w:ascii="Times New Roman" w:hAnsi="Times New Roman" w:eastAsia="Times New Roman" w:cs="Times New Roman"/>
          <w:sz w:val="24"/>
          <w:szCs w:val="24"/>
        </w:rPr>
      </w:pPr>
      <w:bookmarkStart w:id="5" w:name="_GoBack"/>
      <w:bookmarkEnd w:id="5"/>
    </w:p>
    <w:p w14:paraId="7942688E">
      <w:pPr>
        <w:rPr>
          <w:rFonts w:hint="default" w:ascii="Times New Roman" w:hAnsi="Times New Roman" w:eastAsia="Times New Roman" w:cs="Times New Roman"/>
          <w:sz w:val="24"/>
          <w:szCs w:val="24"/>
          <w:lang w:val="en-US"/>
        </w:rPr>
        <w:sectPr>
          <w:footerReference r:id="rId3" w:type="default"/>
          <w:pgSz w:w="12240" w:h="15840"/>
          <w:pgMar w:top="1134" w:right="850" w:bottom="0" w:left="1440" w:header="0" w:footer="0" w:gutter="0"/>
          <w:pgNumType w:start="0"/>
          <w:cols w:space="708" w:num="1"/>
          <w:titlePg/>
          <w:docGrid w:linePitch="299" w:charSpace="0"/>
        </w:sectPr>
      </w:pPr>
      <w:r>
        <w:rPr>
          <w:rFonts w:ascii="Times New Roman" w:hAnsi="Times New Roman" w:eastAsia="Times New Roman" w:cs="Times New Roman"/>
          <w:sz w:val="24"/>
          <w:szCs w:val="24"/>
        </w:rPr>
        <w:t>Qualitative data from interviews and open-ended questions will be analyzed thematically. Responses will be transcribed, categorized, and coded to identify recurring themes and patterns relevant to the research objectives. This mixed-methods approach will help in validating the findings and providing a more comprehensive understanding of the research proble</w:t>
      </w:r>
      <w:r>
        <w:rPr>
          <w:rFonts w:hint="default" w:ascii="Times New Roman" w:hAnsi="Times New Roman" w:eastAsia="Times New Roman" w:cs="Times New Roman"/>
          <w:sz w:val="24"/>
          <w:szCs w:val="24"/>
          <w:lang w:val="en-US"/>
        </w:rPr>
        <w:t>m</w:t>
      </w:r>
    </w:p>
    <w:p w14:paraId="37A1B469">
      <w:pPr>
        <w:widowControl w:val="0"/>
        <w:ind w:right="-20"/>
        <w:rPr>
          <w:rFonts w:ascii="Times New Roman" w:hAnsi="Times New Roman" w:cs="Times New Roman"/>
          <w:color w:val="000000"/>
          <w:sz w:val="24"/>
          <w:szCs w:val="24"/>
        </w:rPr>
      </w:pPr>
    </w:p>
    <w:sectPr>
      <w:pgSz w:w="12240" w:h="15840"/>
      <w:pgMar w:top="1134" w:right="850" w:bottom="0" w:left="1440" w:header="0" w:footer="0"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3096189"/>
      <w:docPartObj>
        <w:docPartGallery w:val="autotext"/>
      </w:docPartObj>
    </w:sdtPr>
    <w:sdtEndPr>
      <w:rPr>
        <w:color w:val="808080" w:themeColor="background1" w:themeShade="80"/>
        <w:spacing w:val="60"/>
      </w:rPr>
    </w:sdtEndPr>
    <w:sdtContent>
      <w:p w14:paraId="3E77D857">
        <w:pPr>
          <w:pStyle w:val="8"/>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2E21EF72">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6F7B4"/>
    <w:multiLevelType w:val="singleLevel"/>
    <w:tmpl w:val="8C16F7B4"/>
    <w:lvl w:ilvl="0" w:tentative="0">
      <w:start w:val="1"/>
      <w:numFmt w:val="lowerRoman"/>
      <w:lvlText w:val="%1."/>
      <w:lvlJc w:val="left"/>
      <w:pPr>
        <w:tabs>
          <w:tab w:val="left" w:pos="425"/>
        </w:tabs>
        <w:ind w:left="425" w:hanging="425"/>
      </w:pPr>
      <w:rPr>
        <w:rFonts w:hint="default"/>
      </w:rPr>
    </w:lvl>
  </w:abstractNum>
  <w:abstractNum w:abstractNumId="1">
    <w:nsid w:val="8E2401E3"/>
    <w:multiLevelType w:val="singleLevel"/>
    <w:tmpl w:val="8E2401E3"/>
    <w:lvl w:ilvl="0" w:tentative="0">
      <w:start w:val="1"/>
      <w:numFmt w:val="decimal"/>
      <w:lvlText w:val="%1."/>
      <w:lvlJc w:val="left"/>
      <w:pPr>
        <w:tabs>
          <w:tab w:val="left" w:pos="425"/>
        </w:tabs>
        <w:ind w:left="425" w:hanging="425"/>
      </w:pPr>
      <w:rPr>
        <w:rFonts w:hint="default"/>
      </w:rPr>
    </w:lvl>
  </w:abstractNum>
  <w:abstractNum w:abstractNumId="2">
    <w:nsid w:val="9A137B06"/>
    <w:multiLevelType w:val="singleLevel"/>
    <w:tmpl w:val="9A137B06"/>
    <w:lvl w:ilvl="0" w:tentative="0">
      <w:start w:val="1"/>
      <w:numFmt w:val="lowerRoman"/>
      <w:lvlText w:val="%1."/>
      <w:lvlJc w:val="left"/>
      <w:pPr>
        <w:tabs>
          <w:tab w:val="left" w:pos="425"/>
        </w:tabs>
        <w:ind w:left="425" w:hanging="425"/>
      </w:pPr>
      <w:rPr>
        <w:rFonts w:hint="default"/>
      </w:rPr>
    </w:lvl>
  </w:abstractNum>
  <w:abstractNum w:abstractNumId="3">
    <w:nsid w:val="CB4DB88A"/>
    <w:multiLevelType w:val="singleLevel"/>
    <w:tmpl w:val="CB4DB88A"/>
    <w:lvl w:ilvl="0" w:tentative="0">
      <w:start w:val="1"/>
      <w:numFmt w:val="lowerRoman"/>
      <w:lvlText w:val="%1."/>
      <w:lvlJc w:val="left"/>
      <w:pPr>
        <w:tabs>
          <w:tab w:val="left" w:pos="425"/>
        </w:tabs>
        <w:ind w:left="425" w:hanging="425"/>
      </w:pPr>
      <w:rPr>
        <w:rFonts w:hint="default"/>
      </w:rPr>
    </w:lvl>
  </w:abstractNum>
  <w:abstractNum w:abstractNumId="4">
    <w:nsid w:val="E3CD9B3D"/>
    <w:multiLevelType w:val="singleLevel"/>
    <w:tmpl w:val="E3CD9B3D"/>
    <w:lvl w:ilvl="0" w:tentative="0">
      <w:start w:val="1"/>
      <w:numFmt w:val="lowerRoman"/>
      <w:lvlText w:val="%1."/>
      <w:lvlJc w:val="left"/>
      <w:pPr>
        <w:tabs>
          <w:tab w:val="left" w:pos="425"/>
        </w:tabs>
        <w:ind w:left="425" w:hanging="425"/>
      </w:pPr>
      <w:rPr>
        <w:rFonts w:hint="default"/>
      </w:rPr>
    </w:lvl>
  </w:abstractNum>
  <w:abstractNum w:abstractNumId="5">
    <w:nsid w:val="E74CDE1B"/>
    <w:multiLevelType w:val="singleLevel"/>
    <w:tmpl w:val="E74CDE1B"/>
    <w:lvl w:ilvl="0" w:tentative="0">
      <w:start w:val="1"/>
      <w:numFmt w:val="lowerRoman"/>
      <w:lvlText w:val="%1."/>
      <w:lvlJc w:val="left"/>
      <w:pPr>
        <w:tabs>
          <w:tab w:val="left" w:pos="425"/>
        </w:tabs>
        <w:ind w:left="425" w:hanging="425"/>
      </w:pPr>
      <w:rPr>
        <w:rFonts w:hint="default"/>
      </w:rPr>
    </w:lvl>
  </w:abstractNum>
  <w:abstractNum w:abstractNumId="6">
    <w:nsid w:val="0659948D"/>
    <w:multiLevelType w:val="singleLevel"/>
    <w:tmpl w:val="0659948D"/>
    <w:lvl w:ilvl="0" w:tentative="0">
      <w:start w:val="1"/>
      <w:numFmt w:val="lowerRoman"/>
      <w:lvlText w:val="%1."/>
      <w:lvlJc w:val="left"/>
      <w:pPr>
        <w:tabs>
          <w:tab w:val="left" w:pos="425"/>
        </w:tabs>
        <w:ind w:left="425" w:hanging="425"/>
      </w:pPr>
      <w:rPr>
        <w:rFonts w:hint="default"/>
      </w:rPr>
    </w:lvl>
  </w:abstractNum>
  <w:abstractNum w:abstractNumId="7">
    <w:nsid w:val="1AB9ECE0"/>
    <w:multiLevelType w:val="singleLevel"/>
    <w:tmpl w:val="1AB9ECE0"/>
    <w:lvl w:ilvl="0" w:tentative="0">
      <w:start w:val="3"/>
      <w:numFmt w:val="decimal"/>
      <w:suff w:val="space"/>
      <w:lvlText w:val="%1."/>
      <w:lvlJc w:val="left"/>
    </w:lvl>
  </w:abstractNum>
  <w:abstractNum w:abstractNumId="8">
    <w:nsid w:val="221501A4"/>
    <w:multiLevelType w:val="singleLevel"/>
    <w:tmpl w:val="221501A4"/>
    <w:lvl w:ilvl="0" w:tentative="0">
      <w:start w:val="1"/>
      <w:numFmt w:val="lowerLetter"/>
      <w:lvlText w:val="%1)"/>
      <w:lvlJc w:val="left"/>
      <w:pPr>
        <w:tabs>
          <w:tab w:val="left" w:pos="425"/>
        </w:tabs>
        <w:ind w:left="425" w:hanging="425"/>
      </w:pPr>
      <w:rPr>
        <w:rFonts w:hint="default"/>
      </w:rPr>
    </w:lvl>
  </w:abstractNum>
  <w:abstractNum w:abstractNumId="9">
    <w:nsid w:val="2AA171B6"/>
    <w:multiLevelType w:val="singleLevel"/>
    <w:tmpl w:val="2AA171B6"/>
    <w:lvl w:ilvl="0" w:tentative="0">
      <w:start w:val="2"/>
      <w:numFmt w:val="decimal"/>
      <w:suff w:val="space"/>
      <w:lvlText w:val="%1."/>
      <w:lvlJc w:val="left"/>
    </w:lvl>
  </w:abstractNum>
  <w:abstractNum w:abstractNumId="10">
    <w:nsid w:val="2B520C72"/>
    <w:multiLevelType w:val="singleLevel"/>
    <w:tmpl w:val="2B520C72"/>
    <w:lvl w:ilvl="0" w:tentative="0">
      <w:start w:val="14"/>
      <w:numFmt w:val="decimal"/>
      <w:suff w:val="space"/>
      <w:lvlText w:val="%1."/>
      <w:lvlJc w:val="left"/>
    </w:lvl>
  </w:abstractNum>
  <w:num w:numId="1">
    <w:abstractNumId w:val="9"/>
  </w:num>
  <w:num w:numId="2">
    <w:abstractNumId w:val="8"/>
  </w:num>
  <w:num w:numId="3">
    <w:abstractNumId w:val="1"/>
  </w:num>
  <w:num w:numId="4">
    <w:abstractNumId w:val="4"/>
  </w:num>
  <w:num w:numId="5">
    <w:abstractNumId w:val="5"/>
  </w:num>
  <w:num w:numId="6">
    <w:abstractNumId w:val="10"/>
  </w:num>
  <w:num w:numId="7">
    <w:abstractNumId w:val="6"/>
  </w:num>
  <w:num w:numId="8">
    <w:abstractNumId w:val="0"/>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
  <w:rsids>
    <w:rsidRoot w:val="00EE61ED"/>
    <w:rsid w:val="00131575"/>
    <w:rsid w:val="00143940"/>
    <w:rsid w:val="00792C5B"/>
    <w:rsid w:val="00940FA5"/>
    <w:rsid w:val="00B229F5"/>
    <w:rsid w:val="00DC5036"/>
    <w:rsid w:val="00EE61ED"/>
    <w:rsid w:val="019D6695"/>
    <w:rsid w:val="02915890"/>
    <w:rsid w:val="05E07B33"/>
    <w:rsid w:val="082E771A"/>
    <w:rsid w:val="0BA86F0E"/>
    <w:rsid w:val="18CE21A3"/>
    <w:rsid w:val="19676394"/>
    <w:rsid w:val="25373A99"/>
    <w:rsid w:val="358E4D76"/>
    <w:rsid w:val="3A172E43"/>
    <w:rsid w:val="408E2B77"/>
    <w:rsid w:val="52DF2202"/>
    <w:rsid w:val="59E67680"/>
    <w:rsid w:val="5A4E74D7"/>
    <w:rsid w:val="5B456F23"/>
    <w:rsid w:val="5EC01B29"/>
    <w:rsid w:val="6253185F"/>
    <w:rsid w:val="66D16968"/>
    <w:rsid w:val="68880E8B"/>
    <w:rsid w:val="688B2B38"/>
    <w:rsid w:val="6BB37BD0"/>
    <w:rsid w:val="6CA0675C"/>
    <w:rsid w:val="6DAE7F97"/>
    <w:rsid w:val="78240343"/>
    <w:rsid w:val="79173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2"/>
    <w:basedOn w:val="1"/>
    <w:next w:val="1"/>
    <w:unhideWhenUsed/>
    <w:qFormat/>
    <w:uiPriority w:val="0"/>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3">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2"/>
    <w:qFormat/>
    <w:uiPriority w:val="0"/>
    <w:rPr>
      <w:rFonts w:ascii="Tahoma" w:hAnsi="Tahoma" w:cs="Tahoma"/>
      <w:sz w:val="16"/>
      <w:szCs w:val="16"/>
    </w:rPr>
  </w:style>
  <w:style w:type="character" w:styleId="7">
    <w:name w:val="Emphasis"/>
    <w:basedOn w:val="4"/>
    <w:qFormat/>
    <w:uiPriority w:val="0"/>
    <w:rPr>
      <w:i/>
      <w:iCs/>
    </w:rPr>
  </w:style>
  <w:style w:type="paragraph" w:styleId="8">
    <w:name w:val="footer"/>
    <w:basedOn w:val="1"/>
    <w:link w:val="14"/>
    <w:qFormat/>
    <w:uiPriority w:val="99"/>
    <w:pPr>
      <w:tabs>
        <w:tab w:val="center" w:pos="4680"/>
        <w:tab w:val="right" w:pos="9360"/>
      </w:tabs>
    </w:pPr>
  </w:style>
  <w:style w:type="paragraph" w:styleId="9">
    <w:name w:val="header"/>
    <w:basedOn w:val="1"/>
    <w:link w:val="13"/>
    <w:qFormat/>
    <w:uiPriority w:val="0"/>
    <w:pPr>
      <w:tabs>
        <w:tab w:val="center" w:pos="4680"/>
        <w:tab w:val="right" w:pos="9360"/>
      </w:tabs>
    </w:pPr>
  </w:style>
  <w:style w:type="paragraph" w:styleId="1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4"/>
    <w:qFormat/>
    <w:uiPriority w:val="0"/>
    <w:rPr>
      <w:b/>
      <w:bCs/>
    </w:rPr>
  </w:style>
  <w:style w:type="character" w:customStyle="1" w:styleId="12">
    <w:name w:val="Balloon Text Char"/>
    <w:basedOn w:val="4"/>
    <w:link w:val="6"/>
    <w:qFormat/>
    <w:uiPriority w:val="0"/>
    <w:rPr>
      <w:rFonts w:ascii="Tahoma" w:hAnsi="Tahoma" w:eastAsia="Calibri" w:cs="Tahoma"/>
      <w:sz w:val="16"/>
      <w:szCs w:val="16"/>
    </w:rPr>
  </w:style>
  <w:style w:type="character" w:customStyle="1" w:styleId="13">
    <w:name w:val="Header Char"/>
    <w:basedOn w:val="4"/>
    <w:link w:val="9"/>
    <w:qFormat/>
    <w:uiPriority w:val="0"/>
    <w:rPr>
      <w:rFonts w:ascii="Calibri" w:hAnsi="Calibri" w:eastAsia="Calibri" w:cs="Calibri"/>
      <w:sz w:val="22"/>
      <w:szCs w:val="22"/>
    </w:rPr>
  </w:style>
  <w:style w:type="character" w:customStyle="1" w:styleId="14">
    <w:name w:val="Footer Char"/>
    <w:basedOn w:val="4"/>
    <w:link w:val="8"/>
    <w:qFormat/>
    <w:uiPriority w:val="99"/>
    <w:rPr>
      <w:rFonts w:ascii="Calibri" w:hAnsi="Calibri" w:eastAsia="Calibri" w:cs="Calibri"/>
      <w:sz w:val="22"/>
      <w:szCs w:val="22"/>
    </w:rPr>
  </w:style>
  <w:style w:type="paragraph" w:styleId="15">
    <w:name w:val="No Spacing"/>
    <w:link w:val="16"/>
    <w:qFormat/>
    <w:uiPriority w:val="1"/>
    <w:rPr>
      <w:rFonts w:asciiTheme="minorHAnsi" w:hAnsiTheme="minorHAnsi" w:eastAsiaTheme="minorEastAsia" w:cstheme="minorBidi"/>
      <w:sz w:val="22"/>
      <w:szCs w:val="22"/>
      <w:lang w:val="en-US" w:eastAsia="ja-JP" w:bidi="ar-SA"/>
    </w:rPr>
  </w:style>
  <w:style w:type="character" w:customStyle="1" w:styleId="16">
    <w:name w:val="No Spacing Char"/>
    <w:basedOn w:val="4"/>
    <w:link w:val="15"/>
    <w:qFormat/>
    <w:uiPriority w:val="1"/>
    <w:rPr>
      <w:rFonts w:asciiTheme="minorHAnsi" w:hAnsiTheme="minorHAnsi" w:eastAsiaTheme="minorEastAsia" w:cstheme="minorBidi"/>
      <w:sz w:val="22"/>
      <w:szCs w:val="22"/>
      <w:lang w:eastAsia="ja-JP"/>
    </w:rPr>
  </w:style>
  <w:style w:type="paragraph" w:styleId="1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3965</Words>
  <Characters>22606</Characters>
  <Lines>188</Lines>
  <Paragraphs>53</Paragraphs>
  <TotalTime>81</TotalTime>
  <ScaleCrop>false</ScaleCrop>
  <LinksUpToDate>false</LinksUpToDate>
  <CharactersWithSpaces>26518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2025-07-26T19:46:00Z</dcterms:created>
  <dc:creator>user</dc:creator>
  <cp:lastModifiedBy>user</cp:lastModifiedBy>
  <dcterms:modified xsi:type="dcterms:W3CDTF">2025-09-27T12:55:49Z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7CFBBD411A3E40CB8559D8E039593E83_13</vt:lpwstr>
  </property>
</Properties>
</file>