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rPr>
        <w:id w:val="-226236356"/>
        <w:docPartObj>
          <w:docPartGallery w:val="AutoText"/>
        </w:docPartObj>
      </w:sdtPr>
      <w:sdtEndPr>
        <w:rPr>
          <w:rFonts w:ascii="Times New Roman" w:hAnsi="Times New Roman" w:cs="Times New Roman"/>
        </w:rPr>
      </w:sdtEndPr>
      <w:sdtContent>
        <w:p w14:paraId="210CE5C6">
          <w:pPr>
            <w:rPr>
              <w:rFonts w:ascii="Times New Roman" w:hAnsi="Times New Roman" w:cs="Times New Roman"/>
            </w:rPr>
          </w:pPr>
        </w:p>
        <w:p w14:paraId="43CE8E46">
          <w:pPr>
            <w:spacing w:after="0" w:line="240" w:lineRule="auto"/>
            <w:rPr>
              <w:rFonts w:ascii="Times New Roman" w:hAnsi="Times New Roman" w:eastAsia="Calibri" w:cs="Times New Roman"/>
            </w:rPr>
          </w:pPr>
        </w:p>
        <w:tbl>
          <w:tblPr>
            <w:tblStyle w:val="3"/>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9576"/>
          </w:tblGrid>
          <w:tr w14:paraId="3FF85810">
            <w:tblPrEx>
              <w:tblCellMar>
                <w:top w:w="0" w:type="dxa"/>
                <w:left w:w="108" w:type="dxa"/>
                <w:bottom w:w="0" w:type="dxa"/>
                <w:right w:w="108" w:type="dxa"/>
              </w:tblCellMar>
            </w:tblPrEx>
            <w:tc>
              <w:tcPr>
                <w:tcW w:w="5000" w:type="pct"/>
              </w:tcPr>
              <w:p w14:paraId="3E031E09">
                <w:pPr>
                  <w:spacing w:after="0" w:line="240" w:lineRule="auto"/>
                  <w:rPr>
                    <w:rFonts w:ascii="Times New Roman" w:hAnsi="Times New Roman" w:eastAsia="SimSun" w:cs="Times New Roman"/>
                    <w:lang w:eastAsia="ja-JP"/>
                  </w:rPr>
                </w:pPr>
              </w:p>
            </w:tc>
          </w:tr>
        </w:tbl>
        <w:p w14:paraId="3F7D0254">
          <w:pPr>
            <w:keepNext/>
            <w:keepLines/>
            <w:spacing w:before="200" w:after="0" w:line="240" w:lineRule="auto"/>
            <w:jc w:val="center"/>
            <w:outlineLvl w:val="1"/>
            <w:rPr>
              <w:rFonts w:ascii="Times New Roman" w:hAnsi="Times New Roman" w:eastAsia="SimSun" w:cs="Times New Roman"/>
              <w:b/>
              <w:bCs/>
              <w:sz w:val="32"/>
              <w:szCs w:val="40"/>
            </w:rPr>
          </w:pPr>
          <w:r>
            <w:rPr>
              <w:rFonts w:ascii="Times New Roman" w:hAnsi="Times New Roman" w:eastAsia="SimSun" w:cs="Times New Roman"/>
              <w:b/>
              <w:bCs/>
              <w:sz w:val="32"/>
              <w:szCs w:val="40"/>
            </w:rPr>
            <w:t>DOMESTIC CHORES AND GIRLS’ DROPOUT RATE IN</w:t>
          </w:r>
          <w:r>
            <w:rPr>
              <w:rFonts w:hint="default" w:ascii="Times New Roman" w:hAnsi="Times New Roman" w:eastAsia="SimSun" w:cs="Times New Roman"/>
              <w:b/>
              <w:bCs/>
              <w:sz w:val="32"/>
              <w:szCs w:val="40"/>
              <w:lang w:val="en-US"/>
            </w:rPr>
            <w:t xml:space="preserve"> </w:t>
          </w:r>
          <w:r>
            <w:rPr>
              <w:rFonts w:ascii="Times New Roman" w:hAnsi="Times New Roman" w:eastAsia="SimSun" w:cs="Times New Roman"/>
              <w:b/>
              <w:bCs/>
              <w:sz w:val="32"/>
              <w:szCs w:val="40"/>
            </w:rPr>
            <w:t>PUBLIC JUNIOR SCHOOLS IN</w:t>
          </w:r>
          <w:r>
            <w:rPr>
              <w:rFonts w:hint="default" w:ascii="Times New Roman" w:hAnsi="Times New Roman" w:eastAsia="SimSun" w:cs="Times New Roman"/>
              <w:b/>
              <w:bCs/>
              <w:sz w:val="32"/>
              <w:szCs w:val="40"/>
              <w:lang w:val="en-US"/>
            </w:rPr>
            <w:t xml:space="preserve"> </w:t>
          </w:r>
          <w:r>
            <w:rPr>
              <w:rFonts w:ascii="Times New Roman" w:hAnsi="Times New Roman" w:eastAsia="SimSun" w:cs="Times New Roman"/>
              <w:b/>
              <w:bCs/>
              <w:sz w:val="32"/>
              <w:szCs w:val="40"/>
            </w:rPr>
            <w:t>LAGDERA SUB</w:t>
          </w:r>
          <w:r>
            <w:rPr>
              <w:rFonts w:hint="default" w:ascii="Times New Roman" w:hAnsi="Times New Roman" w:eastAsia="SimSun" w:cs="Times New Roman"/>
              <w:b/>
              <w:bCs/>
              <w:sz w:val="32"/>
              <w:szCs w:val="40"/>
              <w:lang w:val="en-US"/>
            </w:rPr>
            <w:t xml:space="preserve"> </w:t>
          </w:r>
          <w:r>
            <w:rPr>
              <w:rFonts w:ascii="Times New Roman" w:hAnsi="Times New Roman" w:eastAsia="SimSun" w:cs="Times New Roman"/>
              <w:b/>
              <w:bCs/>
              <w:sz w:val="32"/>
              <w:szCs w:val="40"/>
            </w:rPr>
            <w:t>COUNTY,</w:t>
          </w:r>
          <w:r>
            <w:rPr>
              <w:rFonts w:hint="default" w:ascii="Times New Roman" w:hAnsi="Times New Roman" w:eastAsia="SimSun" w:cs="Times New Roman"/>
              <w:b/>
              <w:bCs/>
              <w:sz w:val="32"/>
              <w:szCs w:val="40"/>
              <w:lang w:val="en-US"/>
            </w:rPr>
            <w:t xml:space="preserve"> </w:t>
          </w:r>
          <w:r>
            <w:rPr>
              <w:rFonts w:ascii="Times New Roman" w:hAnsi="Times New Roman" w:eastAsia="SimSun" w:cs="Times New Roman"/>
              <w:b/>
              <w:bCs/>
              <w:sz w:val="32"/>
              <w:szCs w:val="40"/>
            </w:rPr>
            <w:t>KENYA</w:t>
          </w:r>
        </w:p>
        <w:p w14:paraId="3DCDF264">
          <w:pPr>
            <w:keepNext/>
            <w:keepLines/>
            <w:spacing w:after="0" w:line="240" w:lineRule="auto"/>
            <w:ind w:left="180" w:hanging="360"/>
            <w:jc w:val="center"/>
            <w:outlineLvl w:val="0"/>
            <w:rPr>
              <w:rFonts w:ascii="Times New Roman" w:hAnsi="Times New Roman" w:eastAsia="Calibri" w:cs="Times New Roman"/>
              <w:b/>
              <w:bCs/>
              <w:sz w:val="32"/>
              <w:szCs w:val="40"/>
              <w:lang w:val="zh-CN" w:eastAsia="zh-CN"/>
            </w:rPr>
          </w:pPr>
        </w:p>
        <w:p w14:paraId="36FB0960">
          <w:pPr>
            <w:spacing w:after="0" w:line="240" w:lineRule="auto"/>
            <w:jc w:val="center"/>
            <w:rPr>
              <w:rFonts w:ascii="Times New Roman" w:hAnsi="Times New Roman" w:eastAsia="Calibri" w:cs="Times New Roman"/>
              <w:b/>
              <w:bCs/>
              <w:sz w:val="32"/>
              <w:szCs w:val="40"/>
            </w:rPr>
          </w:pPr>
        </w:p>
        <w:p w14:paraId="1F523DEF">
          <w:pPr>
            <w:spacing w:after="0" w:line="240" w:lineRule="auto"/>
            <w:jc w:val="center"/>
            <w:rPr>
              <w:rFonts w:ascii="Times New Roman" w:hAnsi="Times New Roman" w:eastAsia="Calibri" w:cs="Times New Roman"/>
              <w:b/>
              <w:bCs/>
              <w:sz w:val="32"/>
              <w:szCs w:val="40"/>
            </w:rPr>
          </w:pPr>
          <w:r>
            <w:rPr>
              <w:rFonts w:ascii="Times New Roman" w:hAnsi="Times New Roman" w:eastAsia="Calibri" w:cs="Times New Roman"/>
              <w:b/>
              <w:bCs/>
              <w:sz w:val="32"/>
              <w:szCs w:val="40"/>
            </w:rPr>
            <w:t>PATRICK SAITOTI NYAKORA</w:t>
          </w:r>
        </w:p>
        <w:p w14:paraId="421CCBC0">
          <w:pPr>
            <w:shd w:val="clear" w:color="auto" w:fill="FFFFFF"/>
            <w:spacing w:after="0" w:line="240" w:lineRule="auto"/>
            <w:jc w:val="center"/>
            <w:rPr>
              <w:rFonts w:ascii="Times New Roman" w:hAnsi="Times New Roman" w:eastAsia="Times New Roman" w:cs="Times New Roman"/>
              <w:b/>
              <w:bCs/>
              <w:sz w:val="32"/>
              <w:szCs w:val="40"/>
            </w:rPr>
          </w:pPr>
          <w:r>
            <w:rPr>
              <w:rFonts w:ascii="Times New Roman" w:hAnsi="Times New Roman" w:eastAsia="Times New Roman" w:cs="Times New Roman"/>
              <w:b/>
              <w:bCs/>
              <w:sz w:val="32"/>
              <w:szCs w:val="40"/>
            </w:rPr>
            <w:t>E301/P2783/24</w:t>
          </w:r>
        </w:p>
        <w:p w14:paraId="4232309D">
          <w:pPr>
            <w:spacing w:after="0" w:line="240" w:lineRule="auto"/>
            <w:jc w:val="both"/>
            <w:rPr>
              <w:rFonts w:ascii="Times New Roman" w:hAnsi="Times New Roman" w:eastAsia="Calibri" w:cs="Times New Roman"/>
              <w:b/>
              <w:bCs/>
              <w:sz w:val="32"/>
              <w:szCs w:val="40"/>
            </w:rPr>
          </w:pPr>
        </w:p>
        <w:p w14:paraId="1DE90895">
          <w:pPr>
            <w:spacing w:after="0" w:line="240" w:lineRule="auto"/>
            <w:jc w:val="center"/>
            <w:rPr>
              <w:rFonts w:ascii="Times New Roman" w:hAnsi="Times New Roman" w:eastAsia="Segoe UI" w:cs="Times New Roman"/>
              <w:b/>
              <w:bCs/>
              <w:sz w:val="32"/>
              <w:szCs w:val="40"/>
              <w:lang w:eastAsia="zh-CN"/>
            </w:rPr>
          </w:pPr>
        </w:p>
        <w:p w14:paraId="01565BD3">
          <w:pPr>
            <w:spacing w:after="0" w:line="240" w:lineRule="auto"/>
            <w:jc w:val="center"/>
            <w:rPr>
              <w:rFonts w:ascii="Times New Roman" w:hAnsi="Times New Roman" w:eastAsia="Segoe UI" w:cs="Times New Roman"/>
              <w:b/>
              <w:bCs/>
              <w:sz w:val="32"/>
              <w:szCs w:val="40"/>
              <w:lang w:eastAsia="zh-CN"/>
            </w:rPr>
          </w:pPr>
          <w:r>
            <w:rPr>
              <w:rFonts w:ascii="Times New Roman" w:hAnsi="Times New Roman" w:eastAsia="Segoe UI" w:cs="Times New Roman"/>
              <w:b/>
              <w:bCs/>
              <w:sz w:val="32"/>
              <w:szCs w:val="40"/>
              <w:lang w:eastAsia="zh-CN"/>
            </w:rPr>
            <w:t xml:space="preserve">A CONCEPT PAPER SUBMITTED TO THE SCHOOL OF EDUCATON, ARTS AND SOCIAL SCIENCES AS PART OF THE REQUIREMENTS FOR THE CONFERMENT OF DEGREE OF MASTER OF EDUCATION IN CURRICULUM STUDIES, </w:t>
          </w:r>
        </w:p>
        <w:p w14:paraId="5546FF55">
          <w:pPr>
            <w:spacing w:after="0" w:line="240" w:lineRule="auto"/>
            <w:jc w:val="center"/>
            <w:rPr>
              <w:rFonts w:ascii="Times New Roman" w:hAnsi="Times New Roman" w:eastAsia="Segoe UI" w:cs="Times New Roman"/>
              <w:b/>
              <w:bCs/>
              <w:sz w:val="32"/>
              <w:szCs w:val="40"/>
              <w:lang w:eastAsia="zh-CN"/>
            </w:rPr>
          </w:pPr>
          <w:r>
            <w:rPr>
              <w:rFonts w:ascii="Times New Roman" w:hAnsi="Times New Roman" w:eastAsia="Segoe UI" w:cs="Times New Roman"/>
              <w:b/>
              <w:bCs/>
              <w:sz w:val="32"/>
              <w:szCs w:val="40"/>
              <w:lang w:eastAsia="zh-CN"/>
            </w:rPr>
            <w:t>GARISSA UNIVERSITY</w:t>
          </w:r>
        </w:p>
        <w:p w14:paraId="720D2C35">
          <w:pPr>
            <w:spacing w:after="0" w:line="240" w:lineRule="auto"/>
            <w:jc w:val="center"/>
            <w:rPr>
              <w:rFonts w:hint="default" w:ascii="Times New Roman" w:hAnsi="Times New Roman" w:eastAsia="Segoe UI" w:cs="Times New Roman"/>
              <w:b/>
              <w:bCs/>
              <w:sz w:val="32"/>
              <w:szCs w:val="40"/>
              <w:lang w:val="en-US" w:eastAsia="zh-CN"/>
            </w:rPr>
          </w:pPr>
          <w:r>
            <w:rPr>
              <w:rFonts w:ascii="Times New Roman" w:hAnsi="Times New Roman" w:eastAsia="Segoe UI" w:cs="Times New Roman"/>
              <w:b/>
              <w:bCs/>
              <w:sz w:val="32"/>
              <w:szCs w:val="40"/>
              <w:lang w:eastAsia="zh-CN"/>
            </w:rPr>
            <w:t xml:space="preserve">    </w:t>
          </w:r>
          <w:r>
            <w:rPr>
              <w:rFonts w:hint="default" w:ascii="Times New Roman" w:hAnsi="Times New Roman" w:eastAsia="Segoe UI" w:cs="Times New Roman"/>
              <w:b/>
              <w:bCs/>
              <w:sz w:val="32"/>
              <w:szCs w:val="40"/>
              <w:lang w:val="en-US" w:eastAsia="zh-CN"/>
            </w:rPr>
            <w:t>FEBRUARY</w:t>
          </w:r>
          <w:r>
            <w:rPr>
              <w:rFonts w:ascii="Times New Roman" w:hAnsi="Times New Roman" w:eastAsia="Segoe UI" w:cs="Times New Roman"/>
              <w:b/>
              <w:bCs/>
              <w:sz w:val="32"/>
              <w:szCs w:val="40"/>
              <w:lang w:eastAsia="zh-CN"/>
            </w:rPr>
            <w:t xml:space="preserve">, </w:t>
          </w:r>
          <w:r>
            <w:rPr>
              <w:rFonts w:ascii="Times New Roman" w:hAnsi="Times New Roman" w:eastAsia="Calibri" w:cs="Times New Roman"/>
              <w:b/>
              <w:bCs/>
              <w:sz w:val="32"/>
              <w:szCs w:val="40"/>
            </w:rPr>
            <w:t>202</w:t>
          </w:r>
          <w:r>
            <w:rPr>
              <w:rFonts w:hint="default" w:ascii="Times New Roman" w:hAnsi="Times New Roman" w:eastAsia="Calibri" w:cs="Times New Roman"/>
              <w:b/>
              <w:bCs/>
              <w:sz w:val="32"/>
              <w:szCs w:val="40"/>
              <w:lang w:val="en-US"/>
            </w:rPr>
            <w:t>6</w:t>
          </w:r>
        </w:p>
        <w:p w14:paraId="1D973DD7">
          <w:pPr>
            <w:rPr>
              <w:rFonts w:ascii="Times New Roman" w:hAnsi="Times New Roman" w:cs="Times New Roman"/>
            </w:rPr>
          </w:pPr>
        </w:p>
        <w:tbl>
          <w:tblPr>
            <w:tblStyle w:val="3"/>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9576"/>
          </w:tblGrid>
          <w:tr w14:paraId="4E8AF898">
            <w:tc>
              <w:tcPr>
                <w:tcW w:w="5000" w:type="pct"/>
              </w:tcPr>
              <w:p w14:paraId="2AA11DAD">
                <w:pPr>
                  <w:pStyle w:val="9"/>
                  <w:rPr>
                    <w:rFonts w:ascii="Times New Roman" w:hAnsi="Times New Roman" w:cs="Times New Roman"/>
                  </w:rPr>
                </w:pPr>
              </w:p>
            </w:tc>
          </w:tr>
        </w:tbl>
        <w:p w14:paraId="570CEC33">
          <w:pPr>
            <w:widowControl w:val="0"/>
            <w:spacing w:after="0" w:line="240" w:lineRule="auto"/>
            <w:ind w:right="-20"/>
            <w:rPr>
              <w:rFonts w:ascii="Times New Roman" w:hAnsi="Times New Roman" w:cs="Times New Roman"/>
            </w:rPr>
          </w:pPr>
        </w:p>
      </w:sdtContent>
    </w:sdt>
    <w:p w14:paraId="5D049FFD">
      <w:pPr>
        <w:widowControl w:val="0"/>
        <w:spacing w:after="0" w:line="240" w:lineRule="auto"/>
        <w:ind w:right="-20"/>
        <w:rPr>
          <w:rFonts w:ascii="Times New Roman" w:hAnsi="Times New Roman" w:cs="Times New Roman"/>
        </w:rPr>
      </w:pPr>
    </w:p>
    <w:p w14:paraId="53E800FE">
      <w:pPr>
        <w:widowControl w:val="0"/>
        <w:spacing w:after="0" w:line="240" w:lineRule="auto"/>
        <w:ind w:right="-20"/>
        <w:rPr>
          <w:rFonts w:ascii="Times New Roman" w:hAnsi="Times New Roman" w:cs="Times New Roman"/>
        </w:rPr>
      </w:pPr>
    </w:p>
    <w:p w14:paraId="23688880">
      <w:pPr>
        <w:widowControl w:val="0"/>
        <w:spacing w:after="0" w:line="240" w:lineRule="auto"/>
        <w:ind w:right="-20"/>
        <w:rPr>
          <w:rFonts w:ascii="Times New Roman" w:hAnsi="Times New Roman" w:cs="Times New Roman"/>
        </w:rPr>
      </w:pPr>
    </w:p>
    <w:p w14:paraId="086A9C82">
      <w:pPr>
        <w:widowControl w:val="0"/>
        <w:spacing w:after="0" w:line="240" w:lineRule="auto"/>
        <w:ind w:right="-20"/>
        <w:rPr>
          <w:rFonts w:ascii="Times New Roman" w:hAnsi="Times New Roman" w:cs="Times New Roman"/>
        </w:rPr>
      </w:pPr>
    </w:p>
    <w:p w14:paraId="009E08F8">
      <w:pPr>
        <w:widowControl w:val="0"/>
        <w:spacing w:after="0" w:line="240" w:lineRule="auto"/>
        <w:ind w:right="-20"/>
        <w:rPr>
          <w:rFonts w:ascii="Times New Roman" w:hAnsi="Times New Roman" w:cs="Times New Roman"/>
        </w:rPr>
      </w:pPr>
    </w:p>
    <w:p w14:paraId="2607A9AB">
      <w:pPr>
        <w:widowControl w:val="0"/>
        <w:spacing w:after="0" w:line="240" w:lineRule="auto"/>
        <w:ind w:right="-20"/>
        <w:rPr>
          <w:rFonts w:ascii="Times New Roman" w:hAnsi="Times New Roman" w:cs="Times New Roman"/>
        </w:rPr>
      </w:pPr>
    </w:p>
    <w:p w14:paraId="2E968EA2">
      <w:pPr>
        <w:widowControl w:val="0"/>
        <w:spacing w:after="0" w:line="240" w:lineRule="auto"/>
        <w:ind w:right="-20"/>
        <w:rPr>
          <w:rFonts w:ascii="Times New Roman" w:hAnsi="Times New Roman" w:cs="Times New Roman"/>
        </w:rPr>
      </w:pPr>
    </w:p>
    <w:p w14:paraId="124E6FF1">
      <w:pPr>
        <w:widowControl w:val="0"/>
        <w:spacing w:after="0" w:line="240" w:lineRule="auto"/>
        <w:ind w:right="-20"/>
        <w:rPr>
          <w:rFonts w:ascii="Times New Roman" w:hAnsi="Times New Roman" w:cs="Times New Roman"/>
        </w:rPr>
      </w:pPr>
    </w:p>
    <w:p w14:paraId="3347C472">
      <w:pPr>
        <w:widowControl w:val="0"/>
        <w:spacing w:after="0" w:line="240" w:lineRule="auto"/>
        <w:ind w:right="-20"/>
        <w:rPr>
          <w:rFonts w:ascii="Times New Roman" w:hAnsi="Times New Roman" w:cs="Times New Roman"/>
        </w:rPr>
      </w:pPr>
    </w:p>
    <w:p w14:paraId="5B385121">
      <w:pPr>
        <w:widowControl w:val="0"/>
        <w:spacing w:after="0" w:line="240" w:lineRule="auto"/>
        <w:ind w:right="-20"/>
        <w:rPr>
          <w:rFonts w:ascii="Times New Roman" w:hAnsi="Times New Roman" w:cs="Times New Roman"/>
        </w:rPr>
      </w:pPr>
    </w:p>
    <w:p w14:paraId="4A9015C7">
      <w:pPr>
        <w:widowControl w:val="0"/>
        <w:spacing w:after="0" w:line="240" w:lineRule="auto"/>
        <w:ind w:right="-20"/>
        <w:rPr>
          <w:rFonts w:ascii="Times New Roman" w:hAnsi="Times New Roman" w:cs="Times New Roman"/>
        </w:rPr>
      </w:pPr>
    </w:p>
    <w:p w14:paraId="28F9B797">
      <w:pPr>
        <w:widowControl w:val="0"/>
        <w:spacing w:after="0" w:line="240" w:lineRule="auto"/>
        <w:ind w:right="-20"/>
        <w:rPr>
          <w:rFonts w:ascii="Times New Roman" w:hAnsi="Times New Roman" w:cs="Times New Roman"/>
        </w:rPr>
      </w:pPr>
    </w:p>
    <w:p w14:paraId="379A6710">
      <w:pPr>
        <w:widowControl w:val="0"/>
        <w:spacing w:after="0" w:line="240" w:lineRule="auto"/>
        <w:ind w:right="-20"/>
        <w:rPr>
          <w:rFonts w:ascii="Times New Roman" w:hAnsi="Times New Roman" w:cs="Times New Roman"/>
        </w:rPr>
      </w:pPr>
    </w:p>
    <w:p w14:paraId="498384EC">
      <w:pPr>
        <w:widowControl w:val="0"/>
        <w:tabs>
          <w:tab w:val="left" w:pos="1576"/>
        </w:tabs>
        <w:spacing w:after="0" w:line="240" w:lineRule="auto"/>
        <w:ind w:right="-20"/>
        <w:rPr>
          <w:rFonts w:ascii="Times New Roman" w:hAnsi="Times New Roman" w:cs="Times New Roman"/>
        </w:rPr>
      </w:pPr>
      <w:r>
        <w:rPr>
          <w:rFonts w:ascii="Times New Roman" w:hAnsi="Times New Roman" w:cs="Times New Roman"/>
        </w:rPr>
        <w:tab/>
      </w:r>
    </w:p>
    <w:p w14:paraId="760042C2">
      <w:pPr>
        <w:widowControl w:val="0"/>
        <w:tabs>
          <w:tab w:val="left" w:pos="1576"/>
        </w:tabs>
        <w:spacing w:after="0" w:line="240" w:lineRule="auto"/>
        <w:ind w:right="-20"/>
        <w:rPr>
          <w:rFonts w:ascii="Times New Roman" w:hAnsi="Times New Roman" w:cs="Times New Roman"/>
        </w:rPr>
      </w:pPr>
    </w:p>
    <w:p w14:paraId="7A21F388">
      <w:pPr>
        <w:widowControl w:val="0"/>
        <w:spacing w:after="0" w:line="240" w:lineRule="auto"/>
        <w:ind w:right="-20"/>
        <w:rPr>
          <w:rFonts w:ascii="Times New Roman" w:hAnsi="Times New Roman" w:cs="Times New Roman"/>
        </w:rPr>
      </w:pPr>
    </w:p>
    <w:p w14:paraId="4E03FC12">
      <w:pPr>
        <w:widowControl w:val="0"/>
        <w:spacing w:after="0" w:line="240" w:lineRule="auto"/>
        <w:ind w:right="-20"/>
        <w:rPr>
          <w:rFonts w:ascii="Times New Roman" w:hAnsi="Times New Roman" w:cs="Times New Roman"/>
        </w:rPr>
      </w:pPr>
    </w:p>
    <w:p w14:paraId="3F479E31">
      <w:pPr>
        <w:widowControl w:val="0"/>
        <w:spacing w:after="0" w:line="240" w:lineRule="auto"/>
        <w:ind w:right="-20"/>
        <w:rPr>
          <w:rFonts w:ascii="Times New Roman" w:hAnsi="Times New Roman" w:cs="Times New Roman"/>
        </w:rPr>
      </w:pPr>
    </w:p>
    <w:p w14:paraId="0B53BFCF">
      <w:pPr>
        <w:widowControl w:val="0"/>
        <w:spacing w:after="0" w:line="240" w:lineRule="auto"/>
        <w:ind w:right="-20"/>
        <w:rPr>
          <w:rFonts w:ascii="Times New Roman" w:hAnsi="Times New Roman" w:cs="Times New Roman"/>
        </w:rPr>
      </w:pPr>
    </w:p>
    <w:p w14:paraId="38F910DF">
      <w:pPr>
        <w:widowControl w:val="0"/>
        <w:spacing w:after="0" w:line="240" w:lineRule="auto"/>
        <w:ind w:right="-20"/>
        <w:rPr>
          <w:rFonts w:ascii="Times New Roman" w:hAnsi="Times New Roman" w:cs="Times New Roman"/>
        </w:rPr>
      </w:pPr>
    </w:p>
    <w:p w14:paraId="306D10C6">
      <w:pPr>
        <w:widowControl w:val="0"/>
        <w:spacing w:after="0" w:line="240" w:lineRule="auto"/>
        <w:ind w:right="-20"/>
        <w:rPr>
          <w:rFonts w:ascii="Times New Roman" w:hAnsi="Times New Roman" w:cs="Times New Roman"/>
        </w:rPr>
      </w:pPr>
    </w:p>
    <w:p w14:paraId="006068A5">
      <w:pPr>
        <w:pStyle w:val="14"/>
        <w:numPr>
          <w:ilvl w:val="0"/>
          <w:numId w:val="1"/>
        </w:numPr>
        <w:spacing w:after="0" w:line="240" w:lineRule="auto"/>
        <w:rPr>
          <w:rFonts w:ascii="Times New Roman" w:hAnsi="Times New Roman" w:eastAsia="Segoe UI" w:cs="Times New Roman"/>
          <w:b/>
          <w:bCs/>
          <w:sz w:val="24"/>
          <w:szCs w:val="24"/>
          <w:lang w:eastAsia="zh-CN"/>
        </w:rPr>
      </w:pP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rod</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c</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ion</w:t>
      </w:r>
    </w:p>
    <w:p w14:paraId="2318AD1B">
      <w:pPr>
        <w:spacing w:after="2"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concept paper explores how domestic chores influence the dropout rate among girls in </w:t>
      </w:r>
      <w:r>
        <w:rPr>
          <w:rFonts w:ascii="Times New Roman" w:hAnsi="Times New Roman" w:eastAsia="Times New Roman" w:cs="Times New Roman"/>
          <w:sz w:val="24"/>
          <w:szCs w:val="24"/>
          <w:lang w:val="en-US"/>
        </w:rPr>
        <w:t>public junior schools</w:t>
      </w:r>
      <w:r>
        <w:rPr>
          <w:rFonts w:ascii="Times New Roman" w:hAnsi="Times New Roman" w:eastAsia="Times New Roman" w:cs="Times New Roman"/>
          <w:sz w:val="24"/>
          <w:szCs w:val="24"/>
        </w:rPr>
        <w:t xml:space="preserve"> in Lagdera Sub-County, Kenya. Despite education reforms such as the Competency-Based Curriculum (CBC) and increased access through Junior Schools, girls in marginalized, arid regions continue to face unique challenges. One key factor is the burden of household responsibilitie</w:t>
      </w:r>
      <w:r>
        <w:rPr>
          <w:rFonts w:hint="default" w:ascii="Times New Roman" w:hAnsi="Times New Roman" w:eastAsia="Times New Roman" w:cs="Times New Roman"/>
          <w:sz w:val="24"/>
          <w:szCs w:val="24"/>
          <w:lang w:val="en-US"/>
        </w:rPr>
        <w:t xml:space="preserve">s such as </w:t>
      </w:r>
      <w:r>
        <w:rPr>
          <w:rFonts w:ascii="Times New Roman" w:hAnsi="Times New Roman" w:eastAsia="Times New Roman" w:cs="Times New Roman"/>
          <w:sz w:val="24"/>
          <w:szCs w:val="24"/>
        </w:rPr>
        <w:t>cooking, cleaning, fetching water, and caring for siblings</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which are disproportionately assigned to girls. These tasks compete with school time and lead to absenteeism, low academic performance, </w:t>
      </w:r>
      <w:r>
        <w:rPr>
          <w:rFonts w:hint="default" w:ascii="Times New Roman" w:hAnsi="Times New Roman" w:eastAsia="Times New Roman" w:cs="Times New Roman"/>
          <w:sz w:val="24"/>
          <w:szCs w:val="24"/>
          <w:lang w:val="en-US"/>
        </w:rPr>
        <w:t>which may lead to school</w:t>
      </w:r>
      <w:r>
        <w:rPr>
          <w:rFonts w:ascii="Times New Roman" w:hAnsi="Times New Roman" w:eastAsia="Times New Roman" w:cs="Times New Roman"/>
          <w:sz w:val="24"/>
          <w:szCs w:val="24"/>
        </w:rPr>
        <w:t xml:space="preserve"> dropout. Lagdera’s pastoralist culture, gender norms, and economic hardships intensify the issue, yet there is limited localized research to address it. This study aims to generate evidence that informs context</w:t>
      </w:r>
      <w:r>
        <w:rPr>
          <w:rFonts w:hint="default" w:ascii="Times New Roman" w:hAnsi="Times New Roman" w:eastAsia="Times New Roman" w:cs="Times New Roman"/>
          <w:sz w:val="24"/>
          <w:szCs w:val="24"/>
          <w:lang w:val="en-US"/>
        </w:rPr>
        <w:t xml:space="preserve"> </w:t>
      </w:r>
      <w:bookmarkStart w:id="0" w:name="_GoBack"/>
      <w:bookmarkEnd w:id="0"/>
      <w:r>
        <w:rPr>
          <w:rFonts w:ascii="Times New Roman" w:hAnsi="Times New Roman" w:eastAsia="Times New Roman" w:cs="Times New Roman"/>
          <w:sz w:val="24"/>
          <w:szCs w:val="24"/>
        </w:rPr>
        <w:t>specific interventions to improve girls’ educational retention and success.</w:t>
      </w:r>
    </w:p>
    <w:p w14:paraId="23910B54">
      <w:pPr>
        <w:widowControl w:val="0"/>
        <w:spacing w:after="0" w:line="240" w:lineRule="auto"/>
        <w:ind w:right="-20"/>
        <w:rPr>
          <w:rFonts w:ascii="Times New Roman" w:hAnsi="Times New Roman" w:eastAsia="Calibri" w:cs="Times New Roman"/>
          <w:color w:val="000000"/>
          <w:sz w:val="24"/>
          <w:szCs w:val="24"/>
        </w:rPr>
      </w:pPr>
    </w:p>
    <w:p w14:paraId="1B8B2573">
      <w:pPr>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z w:val="24"/>
          <w:szCs w:val="24"/>
        </w:rPr>
        <w:t>Ba</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kgrou</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 xml:space="preserve">d </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S</w:t>
      </w:r>
      <w:r>
        <w:rPr>
          <w:rFonts w:ascii="Times New Roman" w:hAnsi="Times New Roman" w:eastAsia="Times New Roman" w:cs="Times New Roman"/>
          <w:b/>
          <w:bCs/>
          <w:color w:val="282425"/>
          <w:spacing w:val="1"/>
          <w:sz w:val="24"/>
          <w:szCs w:val="24"/>
        </w:rPr>
        <w:t>tud</w:t>
      </w:r>
      <w:r>
        <w:rPr>
          <w:rFonts w:ascii="Times New Roman" w:hAnsi="Times New Roman" w:eastAsia="Times New Roman" w:cs="Times New Roman"/>
          <w:b/>
          <w:bCs/>
          <w:color w:val="282425"/>
          <w:sz w:val="24"/>
          <w:szCs w:val="24"/>
        </w:rPr>
        <w:t>y</w:t>
      </w:r>
    </w:p>
    <w:p w14:paraId="04993C56">
      <w:pPr>
        <w:rPr>
          <w:rFonts w:ascii="Times New Roman" w:hAnsi="Times New Roman" w:eastAsia="Times New Roman" w:cs="Times New Roman"/>
          <w:sz w:val="24"/>
          <w:szCs w:val="24"/>
        </w:rPr>
      </w:pPr>
      <w:r>
        <w:rPr>
          <w:rFonts w:ascii="Times New Roman" w:hAnsi="Times New Roman" w:eastAsia="Times New Roman" w:cs="Times New Roman"/>
          <w:sz w:val="24"/>
          <w:szCs w:val="24"/>
        </w:rPr>
        <w:t>Global studies reveal that domestic chores such as cooking, cleaning, childcare, and water collection significantly limit girls’ school participation by consuming time needed for attendance and homework, with each extra hour of household work lowering school engagement. In sub-Saharan Africa, seasonal farming, livestock care, and water-fetching burdens—especially in rural areas—worsen the problem. In Kenya, household labour, parental attitudes, and early marriage contribute to low school retention among rural girls. However, in Lagdera Sub-County, there is no clear data on the exact types and intensity of chores, their effects on attendance and performance, parental sensitization levels, or policy enforcement. Globally, heavy domestic burdens increase dropout risk by 20–30%, while rural sub-Saharan regions report incomplete lower-secondary education rates above 40%. In Lagdera, anecdotal reports indicate irregular attendance, declining grades, and premature school exit among girls, but no disaggregated statistics exist. Without localized data, it remains unclear how cultural norms, pastoral duties, or weak policy enforcement shape dropout patterns, making targeted interventions challenging and current solutions generic.</w:t>
      </w:r>
    </w:p>
    <w:p w14:paraId="1616A009">
      <w:pPr>
        <w:pStyle w:val="14"/>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pacing w:val="-5"/>
          <w:sz w:val="24"/>
          <w:szCs w:val="24"/>
        </w:rPr>
        <w:t>e</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t</w:t>
      </w:r>
      <w:r>
        <w:rPr>
          <w:rFonts w:ascii="Times New Roman" w:hAnsi="Times New Roman" w:eastAsia="Times New Roman" w:cs="Times New Roman"/>
          <w:b/>
          <w:bCs/>
          <w:color w:val="282425"/>
          <w:spacing w:val="4"/>
          <w:sz w:val="24"/>
          <w:szCs w:val="24"/>
        </w:rPr>
        <w:t xml:space="preserve"> </w:t>
      </w:r>
      <w:r>
        <w:rPr>
          <w:rFonts w:ascii="Times New Roman" w:hAnsi="Times New Roman" w:eastAsia="Times New Roman" w:cs="Times New Roman"/>
          <w:b/>
          <w:bCs/>
          <w:color w:val="282425"/>
          <w:spacing w:val="-4"/>
          <w:sz w:val="24"/>
          <w:szCs w:val="24"/>
        </w:rPr>
        <w:t>o</w:t>
      </w:r>
      <w:r>
        <w:rPr>
          <w:rFonts w:ascii="Times New Roman" w:hAnsi="Times New Roman" w:eastAsia="Times New Roman" w:cs="Times New Roman"/>
          <w:b/>
          <w:bCs/>
          <w:color w:val="282425"/>
          <w:sz w:val="24"/>
          <w:szCs w:val="24"/>
        </w:rPr>
        <w:t>f</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rob</w:t>
      </w: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em</w:t>
      </w:r>
    </w:p>
    <w:p w14:paraId="6741C8DC">
      <w:pPr>
        <w:widowControl w:val="0"/>
        <w:spacing w:after="0" w:line="240" w:lineRule="auto"/>
        <w:ind w:right="-20"/>
        <w:rPr>
          <w:rFonts w:ascii="Times New Roman" w:hAnsi="Times New Roman" w:eastAsia="Times New Roman" w:cs="Times New Roman"/>
          <w:color w:val="282425"/>
          <w:sz w:val="24"/>
          <w:szCs w:val="24"/>
        </w:rPr>
      </w:pPr>
    </w:p>
    <w:p w14:paraId="6A1D8610">
      <w:pPr>
        <w:widowControl w:val="0"/>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Dropout rates among girls in </w:t>
      </w:r>
      <w:r>
        <w:rPr>
          <w:rFonts w:ascii="Times New Roman" w:hAnsi="Times New Roman" w:eastAsia="Times New Roman" w:cs="Times New Roman"/>
          <w:color w:val="282425"/>
          <w:sz w:val="24"/>
          <w:szCs w:val="24"/>
          <w:lang w:val="en-US"/>
        </w:rPr>
        <w:t>public junior schools</w:t>
      </w:r>
      <w:r>
        <w:rPr>
          <w:rFonts w:ascii="Times New Roman" w:hAnsi="Times New Roman" w:eastAsia="Times New Roman" w:cs="Times New Roman"/>
          <w:color w:val="282425"/>
          <w:sz w:val="24"/>
          <w:szCs w:val="24"/>
        </w:rPr>
        <w:t xml:space="preserve"> in Lagdera Sub-County remain high, undermining both educational progress and community development. Premature school exit denies girls opportunities for academic success, vocational skills, and improved life outcomes, while families and society lose long-term social and economic benefits. Ideally, girls would complete the full school cycle, maintain steady attendance, and progress academically, but current realities show irregular attendance, declining performance, and many leaving before completion. This problem is linked to persistent knowledge gaps on domestic chores. The specific types and intensity of chores assigned to girls are undocumented, their direct effects on attendance and performance remain unquantified, parental awareness of the consequences is unknown, and the enforcement of child labour and education policies is unmeasured locally. These gaps persist despite broader studies, leaving causes inadequately addressed. This study will generate localized, girl-focused evidence linking chores, parental sensitization, and policy enforcement to attendance, performance, and dropout. Using both quantitative school data and qualitative community insights, it will guide targeted interventions tailored to Lagdera’s unique socio-cultural and economic realities.</w:t>
      </w:r>
    </w:p>
    <w:p w14:paraId="7A88893F">
      <w:pPr>
        <w:pStyle w:val="14"/>
        <w:widowControl w:val="0"/>
        <w:numPr>
          <w:ilvl w:val="0"/>
          <w:numId w:val="1"/>
        </w:numPr>
        <w:spacing w:after="0" w:line="240" w:lineRule="auto"/>
        <w:ind w:right="-20"/>
        <w:rPr>
          <w:rFonts w:ascii="Times New Roman" w:hAnsi="Times New Roman" w:eastAsia="Times New Roman" w:cs="Times New Roman"/>
          <w:b/>
          <w:color w:val="282425"/>
          <w:sz w:val="24"/>
          <w:szCs w:val="24"/>
        </w:rPr>
      </w:pP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urpo</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z w:val="24"/>
          <w:szCs w:val="24"/>
        </w:rPr>
        <w:t xml:space="preserve">of </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3"/>
          <w:sz w:val="24"/>
          <w:szCs w:val="24"/>
        </w:rPr>
        <w:t>S</w:t>
      </w:r>
      <w:r>
        <w:rPr>
          <w:rFonts w:ascii="Times New Roman" w:hAnsi="Times New Roman" w:eastAsia="Times New Roman" w:cs="Times New Roman"/>
          <w:b/>
          <w:bCs/>
          <w:color w:val="282425"/>
          <w:spacing w:val="1"/>
          <w:sz w:val="24"/>
          <w:szCs w:val="24"/>
        </w:rPr>
        <w:t>tud</w:t>
      </w:r>
      <w:r>
        <w:rPr>
          <w:rFonts w:ascii="Times New Roman" w:hAnsi="Times New Roman" w:eastAsia="Times New Roman" w:cs="Times New Roman"/>
          <w:b/>
          <w:bCs/>
          <w:color w:val="282425"/>
          <w:sz w:val="24"/>
          <w:szCs w:val="24"/>
        </w:rPr>
        <w:t>y</w:t>
      </w:r>
    </w:p>
    <w:p w14:paraId="6CAA5CAF">
      <w:pPr>
        <w:rPr>
          <w:rFonts w:ascii="Times New Roman" w:hAnsi="Times New Roman" w:eastAsia="Calibri" w:cs="Times New Roman"/>
          <w:color w:val="000000"/>
          <w:sz w:val="24"/>
          <w:szCs w:val="24"/>
        </w:rPr>
      </w:pPr>
      <w:r>
        <w:rPr>
          <w:rFonts w:ascii="Times New Roman" w:hAnsi="Times New Roman" w:eastAsia="Calibri" w:cs="Times New Roman"/>
          <w:color w:val="000000"/>
          <w:sz w:val="24"/>
          <w:szCs w:val="24"/>
        </w:rPr>
        <w:t xml:space="preserve">The purpose of this study is to examine how domestic chores influence the dropout rate among girls in </w:t>
      </w:r>
      <w:r>
        <w:rPr>
          <w:rFonts w:ascii="Times New Roman" w:hAnsi="Times New Roman" w:eastAsia="Calibri" w:cs="Times New Roman"/>
          <w:color w:val="000000"/>
          <w:sz w:val="24"/>
          <w:szCs w:val="24"/>
          <w:lang w:val="en-US"/>
        </w:rPr>
        <w:t>public junior schools</w:t>
      </w:r>
      <w:r>
        <w:rPr>
          <w:rFonts w:ascii="Times New Roman" w:hAnsi="Times New Roman" w:eastAsia="Calibri" w:cs="Times New Roman"/>
          <w:color w:val="000000"/>
          <w:sz w:val="24"/>
          <w:szCs w:val="24"/>
        </w:rPr>
        <w:t xml:space="preserve"> in Lagdera Sub-County, Garissa County. It seeks to identify the types and extent of household responsibilities assigned to girls, assess how these duties affect their school attendance and academic performance, and evaluate the role of parental awareness and policy enforcement. The goal is to generate practical insights that can inform targeted interventions and policy reforms aimed at improving girls’ retention and success in education within marginalized communities.</w:t>
      </w:r>
    </w:p>
    <w:p w14:paraId="7EF1BD78">
      <w:pPr>
        <w:pStyle w:val="14"/>
        <w:widowControl w:val="0"/>
        <w:numPr>
          <w:ilvl w:val="0"/>
          <w:numId w:val="1"/>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bj</w:t>
      </w:r>
      <w:r>
        <w:rPr>
          <w:rFonts w:ascii="Times New Roman" w:hAnsi="Times New Roman" w:eastAsia="Times New Roman" w:cs="Times New Roman"/>
          <w:b/>
          <w:bCs/>
          <w:color w:val="282425"/>
          <w:sz w:val="24"/>
          <w:szCs w:val="24"/>
        </w:rPr>
        <w:t>ect</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 xml:space="preserve">ves of </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p>
    <w:p w14:paraId="5DFB5B5C">
      <w:pPr>
        <w:tabs>
          <w:tab w:val="left" w:pos="425"/>
        </w:tabs>
        <w:spacing w:beforeAutospacing="1" w:after="0" w:afterAutospacing="1" w:line="240" w:lineRule="auto"/>
        <w:rPr>
          <w:rFonts w:ascii="Times New Roman" w:hAnsi="Times New Roman" w:eastAsia="Times New Roman" w:cs="Times New Roman"/>
          <w:bCs/>
          <w:color w:val="282425"/>
          <w:sz w:val="24"/>
          <w:szCs w:val="24"/>
        </w:rPr>
      </w:pPr>
      <w:r>
        <w:rPr>
          <w:rFonts w:ascii="Times New Roman" w:hAnsi="Times New Roman" w:eastAsia="Times New Roman" w:cs="Times New Roman"/>
          <w:bCs/>
          <w:color w:val="282425"/>
          <w:sz w:val="24"/>
          <w:szCs w:val="24"/>
        </w:rPr>
        <w:t>The study is guided by the following objectives:</w:t>
      </w:r>
    </w:p>
    <w:p w14:paraId="2124F45E">
      <w:pPr>
        <w:pStyle w:val="14"/>
        <w:numPr>
          <w:ilvl w:val="0"/>
          <w:numId w:val="2"/>
        </w:numPr>
        <w:tabs>
          <w:tab w:val="left" w:pos="425"/>
        </w:tabs>
        <w:spacing w:beforeAutospacing="1" w:after="0" w:afterAutospacing="1" w:line="240" w:lineRule="auto"/>
        <w:rPr>
          <w:rFonts w:ascii="Times New Roman" w:hAnsi="Times New Roman" w:eastAsia="Times New Roman" w:cs="Times New Roman"/>
          <w:bCs/>
          <w:color w:val="282425"/>
          <w:sz w:val="24"/>
          <w:szCs w:val="24"/>
        </w:rPr>
      </w:pPr>
      <w:r>
        <w:rPr>
          <w:rFonts w:ascii="Times New Roman" w:hAnsi="Times New Roman" w:eastAsia="Times New Roman" w:cs="Times New Roman"/>
          <w:bCs/>
          <w:color w:val="282425"/>
          <w:sz w:val="24"/>
          <w:szCs w:val="24"/>
        </w:rPr>
        <w:t xml:space="preserve">To examine the types of domestic chores assigned to girls and how they relate to dropout rates in </w:t>
      </w:r>
      <w:r>
        <w:rPr>
          <w:rFonts w:ascii="Times New Roman" w:hAnsi="Times New Roman" w:eastAsia="Times New Roman" w:cs="Times New Roman"/>
          <w:bCs/>
          <w:color w:val="282425"/>
          <w:sz w:val="24"/>
          <w:szCs w:val="24"/>
          <w:lang w:val="en-US"/>
        </w:rPr>
        <w:t>public junior schools</w:t>
      </w:r>
      <w:r>
        <w:rPr>
          <w:rFonts w:ascii="Times New Roman" w:hAnsi="Times New Roman" w:eastAsia="Times New Roman" w:cs="Times New Roman"/>
          <w:bCs/>
          <w:color w:val="282425"/>
          <w:sz w:val="24"/>
          <w:szCs w:val="24"/>
        </w:rPr>
        <w:t xml:space="preserve"> in Lagdera Sub-County.</w:t>
      </w:r>
    </w:p>
    <w:p w14:paraId="40A3C92F">
      <w:pPr>
        <w:pStyle w:val="14"/>
        <w:numPr>
          <w:ilvl w:val="0"/>
          <w:numId w:val="2"/>
        </w:numPr>
        <w:tabs>
          <w:tab w:val="left" w:pos="425"/>
        </w:tabs>
        <w:spacing w:beforeAutospacing="1" w:after="0" w:afterAutospacing="1" w:line="240" w:lineRule="auto"/>
        <w:rPr>
          <w:rFonts w:ascii="Times New Roman" w:hAnsi="Times New Roman" w:eastAsia="Times New Roman" w:cs="Times New Roman"/>
          <w:bCs/>
          <w:color w:val="282425"/>
          <w:sz w:val="24"/>
          <w:szCs w:val="24"/>
        </w:rPr>
      </w:pPr>
      <w:r>
        <w:rPr>
          <w:rFonts w:ascii="Times New Roman" w:hAnsi="Times New Roman" w:eastAsia="Times New Roman" w:cs="Times New Roman"/>
          <w:bCs/>
          <w:color w:val="282425"/>
          <w:sz w:val="24"/>
          <w:szCs w:val="24"/>
        </w:rPr>
        <w:t>To assess the effects of domestic chores on girls’ school attendance and academic performance.</w:t>
      </w:r>
    </w:p>
    <w:p w14:paraId="261B4129">
      <w:pPr>
        <w:pStyle w:val="14"/>
        <w:numPr>
          <w:ilvl w:val="0"/>
          <w:numId w:val="2"/>
        </w:numPr>
        <w:tabs>
          <w:tab w:val="left" w:pos="425"/>
        </w:tabs>
        <w:spacing w:beforeAutospacing="1" w:after="0" w:afterAutospacing="1" w:line="240" w:lineRule="auto"/>
        <w:rPr>
          <w:rFonts w:ascii="Times New Roman" w:hAnsi="Times New Roman" w:eastAsia="Times New Roman" w:cs="Times New Roman"/>
          <w:bCs/>
          <w:color w:val="282425"/>
          <w:sz w:val="24"/>
          <w:szCs w:val="24"/>
        </w:rPr>
      </w:pPr>
      <w:r>
        <w:rPr>
          <w:rFonts w:ascii="Times New Roman" w:hAnsi="Times New Roman" w:eastAsia="Times New Roman" w:cs="Times New Roman"/>
          <w:bCs/>
          <w:color w:val="282425"/>
          <w:sz w:val="24"/>
          <w:szCs w:val="24"/>
        </w:rPr>
        <w:t>To evaluate the influence of parental sensitization on girls’ dropout rates.</w:t>
      </w:r>
    </w:p>
    <w:p w14:paraId="0261D33A">
      <w:pPr>
        <w:pStyle w:val="14"/>
        <w:numPr>
          <w:ilvl w:val="0"/>
          <w:numId w:val="2"/>
        </w:numPr>
        <w:tabs>
          <w:tab w:val="left" w:pos="425"/>
        </w:tabs>
        <w:spacing w:beforeAutospacing="1" w:after="0" w:afterAutospacing="1" w:line="240" w:lineRule="auto"/>
        <w:rPr>
          <w:rFonts w:ascii="Times New Roman" w:hAnsi="Times New Roman" w:eastAsia="Times New Roman" w:cs="Times New Roman"/>
          <w:bCs/>
          <w:color w:val="282425"/>
          <w:sz w:val="24"/>
          <w:szCs w:val="24"/>
        </w:rPr>
      </w:pPr>
      <w:r>
        <w:rPr>
          <w:rFonts w:ascii="Times New Roman" w:hAnsi="Times New Roman" w:eastAsia="Times New Roman" w:cs="Times New Roman"/>
          <w:bCs/>
          <w:color w:val="282425"/>
          <w:sz w:val="24"/>
          <w:szCs w:val="24"/>
        </w:rPr>
        <w:t>To determine the effectiveness of child labor and education policy enforcement in reducing girls’ dropout rates.</w:t>
      </w:r>
    </w:p>
    <w:p w14:paraId="59284865">
      <w:pPr>
        <w:pStyle w:val="14"/>
        <w:tabs>
          <w:tab w:val="left" w:pos="425"/>
        </w:tabs>
        <w:spacing w:beforeAutospacing="1" w:after="0" w:afterAutospacing="1" w:line="240" w:lineRule="auto"/>
        <w:ind w:left="1145"/>
        <w:rPr>
          <w:rFonts w:ascii="Times New Roman" w:hAnsi="Times New Roman" w:eastAsia="Times New Roman" w:cs="Times New Roman"/>
          <w:bCs/>
          <w:color w:val="282425"/>
          <w:sz w:val="24"/>
          <w:szCs w:val="24"/>
        </w:rPr>
      </w:pPr>
    </w:p>
    <w:p w14:paraId="1ADAEEB4">
      <w:pPr>
        <w:pStyle w:val="14"/>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ch</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Qu</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io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p>
    <w:p w14:paraId="3AA0B030">
      <w:pPr>
        <w:spacing w:after="34" w:line="240" w:lineRule="auto"/>
        <w:ind w:left="360"/>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 xml:space="preserve">     The study will be guided by the following questions.</w:t>
      </w:r>
    </w:p>
    <w:p w14:paraId="113B4532">
      <w:pPr>
        <w:pStyle w:val="14"/>
        <w:numPr>
          <w:ilvl w:val="0"/>
          <w:numId w:val="3"/>
        </w:numPr>
        <w:spacing w:after="34" w:line="240" w:lineRule="auto"/>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 xml:space="preserve">What types of domestic chores are commonly assigned to girls in </w:t>
      </w:r>
      <w:r>
        <w:rPr>
          <w:rFonts w:ascii="Times New Roman" w:hAnsi="Times New Roman" w:eastAsia="Times New Roman" w:cs="Times New Roman"/>
          <w:color w:val="282425"/>
          <w:spacing w:val="2"/>
          <w:sz w:val="24"/>
          <w:szCs w:val="24"/>
          <w:lang w:val="en-US"/>
        </w:rPr>
        <w:t>public junior schools</w:t>
      </w:r>
      <w:r>
        <w:rPr>
          <w:rFonts w:ascii="Times New Roman" w:hAnsi="Times New Roman" w:eastAsia="Times New Roman" w:cs="Times New Roman"/>
          <w:color w:val="282425"/>
          <w:spacing w:val="2"/>
          <w:sz w:val="24"/>
          <w:szCs w:val="24"/>
        </w:rPr>
        <w:t xml:space="preserve"> in Lagdera Sub-County?</w:t>
      </w:r>
    </w:p>
    <w:p w14:paraId="3CB03114">
      <w:pPr>
        <w:pStyle w:val="14"/>
        <w:numPr>
          <w:ilvl w:val="0"/>
          <w:numId w:val="3"/>
        </w:numPr>
        <w:spacing w:after="34" w:line="240" w:lineRule="auto"/>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How do domestic chores affect girls’ school attendance, academic performance, and dropout rates in Lagdera Sub-County?</w:t>
      </w:r>
    </w:p>
    <w:p w14:paraId="10DE171B">
      <w:pPr>
        <w:pStyle w:val="14"/>
        <w:numPr>
          <w:ilvl w:val="0"/>
          <w:numId w:val="3"/>
        </w:numPr>
        <w:spacing w:after="34" w:line="240" w:lineRule="auto"/>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What is the level of parental awareness regarding the impact of domestic chores on girls’ education in Lagdera Sub-County?</w:t>
      </w:r>
    </w:p>
    <w:p w14:paraId="5930DB88">
      <w:pPr>
        <w:pStyle w:val="14"/>
        <w:numPr>
          <w:ilvl w:val="0"/>
          <w:numId w:val="3"/>
        </w:numPr>
        <w:spacing w:after="34" w:line="240" w:lineRule="auto"/>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 xml:space="preserve">How effectively are child protection and labor policies enforced in relation to girls’ dropout rates in </w:t>
      </w:r>
      <w:r>
        <w:rPr>
          <w:rFonts w:ascii="Times New Roman" w:hAnsi="Times New Roman" w:eastAsia="Times New Roman" w:cs="Times New Roman"/>
          <w:color w:val="282425"/>
          <w:spacing w:val="2"/>
          <w:sz w:val="24"/>
          <w:szCs w:val="24"/>
          <w:lang w:val="en-US"/>
        </w:rPr>
        <w:t>public junior schools</w:t>
      </w:r>
      <w:r>
        <w:rPr>
          <w:rFonts w:ascii="Times New Roman" w:hAnsi="Times New Roman" w:eastAsia="Times New Roman" w:cs="Times New Roman"/>
          <w:color w:val="282425"/>
          <w:spacing w:val="2"/>
          <w:sz w:val="24"/>
          <w:szCs w:val="24"/>
        </w:rPr>
        <w:t xml:space="preserve"> in Lagdera Sub-County?</w:t>
      </w:r>
    </w:p>
    <w:p w14:paraId="372F8C7D">
      <w:pPr>
        <w:spacing w:after="34" w:line="240" w:lineRule="auto"/>
        <w:rPr>
          <w:rFonts w:ascii="Times New Roman" w:hAnsi="Times New Roman" w:eastAsia="Times New Roman" w:cs="Times New Roman"/>
          <w:sz w:val="24"/>
          <w:szCs w:val="24"/>
        </w:rPr>
      </w:pPr>
    </w:p>
    <w:p w14:paraId="6FD0ED65">
      <w:pPr>
        <w:pStyle w:val="14"/>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pacing w:val="4"/>
          <w:sz w:val="24"/>
          <w:szCs w:val="24"/>
        </w:rPr>
        <w:t>Research</w:t>
      </w:r>
      <w:r>
        <w:rPr>
          <w:rFonts w:ascii="Times New Roman" w:hAnsi="Times New Roman" w:eastAsia="Times New Roman" w:cs="Times New Roman"/>
          <w:b/>
          <w:bCs/>
          <w:color w:val="282425"/>
          <w:sz w:val="24"/>
          <w:szCs w:val="24"/>
        </w:rPr>
        <w:t xml:space="preserve"> Hy</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 xml:space="preserve">s </w:t>
      </w:r>
      <w:r>
        <w:rPr>
          <w:rFonts w:ascii="Times New Roman" w:hAnsi="Times New Roman" w:eastAsia="Times New Roman" w:cs="Times New Roman"/>
          <w:b/>
          <w:bCs/>
          <w:color w:val="282425"/>
          <w:spacing w:val="1"/>
          <w:sz w:val="24"/>
          <w:szCs w:val="24"/>
        </w:rPr>
        <w:t xml:space="preserve">(Null </w:t>
      </w:r>
      <w:r>
        <w:rPr>
          <w:rFonts w:ascii="Times New Roman" w:hAnsi="Times New Roman" w:eastAsia="Times New Roman" w:cs="Times New Roman"/>
          <w:b/>
          <w:bCs/>
          <w:color w:val="282425"/>
          <w:sz w:val="24"/>
          <w:szCs w:val="24"/>
        </w:rPr>
        <w:t>Hy</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se</w:t>
      </w:r>
      <w:r>
        <w:rPr>
          <w:rFonts w:ascii="Times New Roman" w:hAnsi="Times New Roman" w:eastAsia="Times New Roman" w:cs="Times New Roman"/>
          <w:b/>
          <w:bCs/>
          <w:color w:val="282425"/>
          <w:sz w:val="24"/>
          <w:szCs w:val="24"/>
        </w:rPr>
        <w:t>s)</w:t>
      </w:r>
    </w:p>
    <w:p w14:paraId="545C45A8">
      <w:pPr>
        <w:tabs>
          <w:tab w:val="left" w:pos="3674"/>
        </w:tabs>
        <w:ind w:left="360"/>
        <w:rPr>
          <w:rFonts w:ascii="Times New Roman" w:hAnsi="Times New Roman" w:cs="Times New Roman"/>
          <w:sz w:val="24"/>
        </w:rPr>
      </w:pPr>
      <w:r>
        <w:rPr>
          <w:rFonts w:ascii="Times New Roman" w:hAnsi="Times New Roman" w:cs="Times New Roman"/>
          <w:sz w:val="24"/>
        </w:rPr>
        <w:t>The study will be guided by the following null hypotheses:</w:t>
      </w:r>
    </w:p>
    <w:p w14:paraId="17EF9189">
      <w:pPr>
        <w:pStyle w:val="14"/>
        <w:numPr>
          <w:ilvl w:val="0"/>
          <w:numId w:val="4"/>
        </w:numPr>
        <w:tabs>
          <w:tab w:val="left" w:pos="3674"/>
        </w:tabs>
        <w:rPr>
          <w:rFonts w:ascii="Times New Roman" w:hAnsi="Times New Roman" w:cs="Times New Roman"/>
          <w:sz w:val="24"/>
        </w:rPr>
      </w:pPr>
      <w:r>
        <w:rPr>
          <w:rFonts w:ascii="Times New Roman" w:hAnsi="Times New Roman" w:cs="Times New Roman"/>
          <w:b/>
          <w:sz w:val="24"/>
        </w:rPr>
        <w:t>H₀₁:</w:t>
      </w:r>
      <w:r>
        <w:rPr>
          <w:rFonts w:ascii="Times New Roman" w:hAnsi="Times New Roman" w:cs="Times New Roman"/>
          <w:sz w:val="24"/>
        </w:rPr>
        <w:t xml:space="preserve"> There is no significant relationship between the types of domestic chores assigned to girls and their dropout rate in </w:t>
      </w:r>
      <w:r>
        <w:rPr>
          <w:rFonts w:ascii="Times New Roman" w:hAnsi="Times New Roman" w:cs="Times New Roman"/>
          <w:sz w:val="24"/>
          <w:lang w:val="en-US"/>
        </w:rPr>
        <w:t>public junior schools</w:t>
      </w:r>
      <w:r>
        <w:rPr>
          <w:rFonts w:ascii="Times New Roman" w:hAnsi="Times New Roman" w:cs="Times New Roman"/>
          <w:sz w:val="24"/>
        </w:rPr>
        <w:t xml:space="preserve"> in Lagdera Sub-County.</w:t>
      </w:r>
    </w:p>
    <w:p w14:paraId="7D2D68BC">
      <w:pPr>
        <w:pStyle w:val="14"/>
        <w:numPr>
          <w:ilvl w:val="0"/>
          <w:numId w:val="4"/>
        </w:numPr>
        <w:tabs>
          <w:tab w:val="left" w:pos="3674"/>
        </w:tabs>
        <w:rPr>
          <w:rFonts w:ascii="Times New Roman" w:hAnsi="Times New Roman" w:cs="Times New Roman"/>
          <w:sz w:val="24"/>
        </w:rPr>
      </w:pPr>
      <w:r>
        <w:rPr>
          <w:rFonts w:ascii="Times New Roman" w:hAnsi="Times New Roman" w:cs="Times New Roman"/>
          <w:b/>
          <w:sz w:val="24"/>
        </w:rPr>
        <w:t>H₀₂:</w:t>
      </w:r>
      <w:r>
        <w:rPr>
          <w:rFonts w:ascii="Times New Roman" w:hAnsi="Times New Roman" w:cs="Times New Roman"/>
          <w:sz w:val="24"/>
        </w:rPr>
        <w:t xml:space="preserve"> Domestic chores have no significant effect on girls’ school attendance and academic performance in Lagdera Sub-County.</w:t>
      </w:r>
    </w:p>
    <w:p w14:paraId="3E29BC7A">
      <w:pPr>
        <w:pStyle w:val="14"/>
        <w:numPr>
          <w:ilvl w:val="0"/>
          <w:numId w:val="4"/>
        </w:numPr>
        <w:tabs>
          <w:tab w:val="left" w:pos="3674"/>
        </w:tabs>
        <w:rPr>
          <w:rFonts w:ascii="Times New Roman" w:hAnsi="Times New Roman" w:cs="Times New Roman"/>
          <w:sz w:val="24"/>
        </w:rPr>
      </w:pPr>
      <w:r>
        <w:rPr>
          <w:rFonts w:ascii="Times New Roman" w:hAnsi="Times New Roman" w:cs="Times New Roman"/>
          <w:b/>
          <w:sz w:val="24"/>
        </w:rPr>
        <w:t>H₀₃:</w:t>
      </w:r>
      <w:r>
        <w:rPr>
          <w:rFonts w:ascii="Times New Roman" w:hAnsi="Times New Roman" w:cs="Times New Roman"/>
          <w:sz w:val="24"/>
        </w:rPr>
        <w:t xml:space="preserve"> Parental sensitization has no significant influence on girls’ dropout rates in </w:t>
      </w:r>
      <w:r>
        <w:rPr>
          <w:rFonts w:ascii="Times New Roman" w:hAnsi="Times New Roman" w:cs="Times New Roman"/>
          <w:sz w:val="24"/>
          <w:lang w:val="en-US"/>
        </w:rPr>
        <w:t>public junior schools</w:t>
      </w:r>
      <w:r>
        <w:rPr>
          <w:rFonts w:ascii="Times New Roman" w:hAnsi="Times New Roman" w:cs="Times New Roman"/>
          <w:sz w:val="24"/>
        </w:rPr>
        <w:t xml:space="preserve"> in Lagdera Sub-County.</w:t>
      </w:r>
    </w:p>
    <w:p w14:paraId="5DC1BCC8">
      <w:pPr>
        <w:pStyle w:val="14"/>
        <w:numPr>
          <w:ilvl w:val="0"/>
          <w:numId w:val="4"/>
        </w:numPr>
        <w:tabs>
          <w:tab w:val="left" w:pos="3674"/>
        </w:tabs>
        <w:rPr>
          <w:rFonts w:ascii="Times New Roman" w:hAnsi="Times New Roman" w:cs="Times New Roman"/>
          <w:sz w:val="24"/>
        </w:rPr>
      </w:pPr>
      <w:r>
        <w:rPr>
          <w:rFonts w:ascii="Times New Roman" w:hAnsi="Times New Roman" w:cs="Times New Roman"/>
          <w:b/>
          <w:sz w:val="24"/>
        </w:rPr>
        <w:t>H₀₄:</w:t>
      </w:r>
      <w:r>
        <w:rPr>
          <w:rFonts w:ascii="Times New Roman" w:hAnsi="Times New Roman" w:cs="Times New Roman"/>
          <w:sz w:val="24"/>
        </w:rPr>
        <w:t xml:space="preserve"> Enforcement of child labor and education policies has no significant relationship with girls’ dropout rates in Lagdera Sub-County.</w:t>
      </w:r>
    </w:p>
    <w:p w14:paraId="1A841D93">
      <w:pPr>
        <w:pStyle w:val="14"/>
        <w:tabs>
          <w:tab w:val="left" w:pos="3674"/>
        </w:tabs>
        <w:ind w:left="1080"/>
        <w:rPr>
          <w:rFonts w:ascii="Times New Roman" w:hAnsi="Times New Roman" w:cs="Times New Roman"/>
          <w:sz w:val="24"/>
        </w:rPr>
      </w:pPr>
    </w:p>
    <w:p w14:paraId="22E0BFCD">
      <w:pPr>
        <w:pStyle w:val="14"/>
        <w:widowControl w:val="0"/>
        <w:numPr>
          <w:ilvl w:val="0"/>
          <w:numId w:val="1"/>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1"/>
          <w:sz w:val="24"/>
          <w:szCs w:val="24"/>
        </w:rPr>
        <w:t>Si</w:t>
      </w:r>
      <w:r>
        <w:rPr>
          <w:rFonts w:ascii="Times New Roman" w:hAnsi="Times New Roman" w:eastAsia="Times New Roman" w:cs="Times New Roman"/>
          <w:b/>
          <w:bCs/>
          <w:color w:val="282425"/>
          <w:spacing w:val="-4"/>
          <w:sz w:val="24"/>
          <w:szCs w:val="24"/>
        </w:rPr>
        <w:t>g</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pacing w:val="2"/>
          <w:sz w:val="24"/>
          <w:szCs w:val="24"/>
        </w:rPr>
        <w:t>f</w:t>
      </w:r>
      <w:r>
        <w:rPr>
          <w:rFonts w:ascii="Times New Roman" w:hAnsi="Times New Roman" w:eastAsia="Times New Roman" w:cs="Times New Roman"/>
          <w:b/>
          <w:bCs/>
          <w:color w:val="282425"/>
          <w:sz w:val="24"/>
          <w:szCs w:val="24"/>
        </w:rPr>
        <w:t>ica</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 xml:space="preserve">ce </w:t>
      </w:r>
      <w:r>
        <w:rPr>
          <w:rFonts w:ascii="Times New Roman" w:hAnsi="Times New Roman" w:eastAsia="Times New Roman" w:cs="Times New Roman"/>
          <w:b/>
          <w:bCs/>
          <w:color w:val="282425"/>
          <w:spacing w:val="-3"/>
          <w:sz w:val="24"/>
          <w:szCs w:val="24"/>
        </w:rPr>
        <w:t>o</w:t>
      </w:r>
      <w:r>
        <w:rPr>
          <w:rFonts w:ascii="Times New Roman" w:hAnsi="Times New Roman" w:eastAsia="Times New Roman" w:cs="Times New Roman"/>
          <w:b/>
          <w:bCs/>
          <w:color w:val="282425"/>
          <w:sz w:val="24"/>
          <w:szCs w:val="24"/>
        </w:rPr>
        <w:t>f</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1"/>
          <w:sz w:val="24"/>
          <w:szCs w:val="24"/>
        </w:rPr>
        <w:t xml:space="preserve"> 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p>
    <w:p w14:paraId="02E4FE95">
      <w:pPr>
        <w:widowControl w:val="0"/>
        <w:spacing w:after="0" w:line="240" w:lineRule="auto"/>
        <w:ind w:left="360" w:right="565"/>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This study is significant because it addresses a critical gap in understanding how domestic chores affect girls' education in marginalized regions like Lagdera Sub-County. Its findings will offer localized, evidence-based insights that can inform educators, policymakers, and community leaders on how to better support girls' school retention. The study will also help strengthen gender-sensitive policies, enhance parental and community awareness, and guide the development of targeted interventions to reduce dropout rates. Ultimately, it contributes to broader national and global goals of promoting gender equity and inclusive education.</w:t>
      </w:r>
    </w:p>
    <w:p w14:paraId="05D1FA1A">
      <w:pPr>
        <w:widowControl w:val="0"/>
        <w:spacing w:after="0" w:line="240" w:lineRule="auto"/>
        <w:ind w:right="565"/>
        <w:rPr>
          <w:rFonts w:ascii="Times New Roman" w:hAnsi="Times New Roman" w:eastAsia="Times New Roman" w:cs="Times New Roman"/>
          <w:color w:val="282425"/>
          <w:sz w:val="24"/>
          <w:szCs w:val="24"/>
        </w:rPr>
      </w:pPr>
    </w:p>
    <w:p w14:paraId="765168AA">
      <w:pPr>
        <w:pStyle w:val="14"/>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ss</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2"/>
          <w:sz w:val="24"/>
          <w:szCs w:val="24"/>
        </w:rPr>
        <w:t>m</w:t>
      </w:r>
      <w:r>
        <w:rPr>
          <w:rFonts w:ascii="Times New Roman" w:hAnsi="Times New Roman" w:eastAsia="Times New Roman" w:cs="Times New Roman"/>
          <w:b/>
          <w:bCs/>
          <w:color w:val="282425"/>
          <w:spacing w:val="1"/>
          <w:sz w:val="24"/>
          <w:szCs w:val="24"/>
        </w:rPr>
        <w:t>pti</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p>
    <w:p w14:paraId="36356ED8">
      <w:pPr>
        <w:spacing w:after="1" w:line="240" w:lineRule="auto"/>
        <w:ind w:left="36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This study is guided by the following assumptions that are considered to hold true for the purpose of achieving the research objectives. These assumptions provide a framework within which the research is conducted and interpreted:</w:t>
      </w:r>
    </w:p>
    <w:p w14:paraId="3ECB8D39">
      <w:pPr>
        <w:spacing w:after="1" w:line="240" w:lineRule="auto"/>
        <w:ind w:left="36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1.</w:t>
      </w:r>
      <w:r>
        <w:rPr>
          <w:rFonts w:ascii="Times New Roman" w:hAnsi="Times New Roman" w:eastAsia="Times New Roman" w:cs="Times New Roman"/>
          <w:color w:val="282425"/>
          <w:sz w:val="24"/>
          <w:szCs w:val="24"/>
        </w:rPr>
        <w:tab/>
      </w:r>
      <w:r>
        <w:rPr>
          <w:rFonts w:ascii="Times New Roman" w:hAnsi="Times New Roman" w:eastAsia="Times New Roman" w:cs="Times New Roman"/>
          <w:color w:val="282425"/>
          <w:sz w:val="24"/>
          <w:szCs w:val="24"/>
        </w:rPr>
        <w:t>Respondents Will Provide Honest and Accurate Information</w:t>
      </w:r>
    </w:p>
    <w:p w14:paraId="63DECCCC">
      <w:pPr>
        <w:spacing w:after="1" w:line="240" w:lineRule="auto"/>
        <w:ind w:left="36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It is assumed that all participants—students, teachers, and parents—will respond truthfully and thoughtfully to the research instruments.</w:t>
      </w:r>
    </w:p>
    <w:p w14:paraId="3AF5ECDC">
      <w:pPr>
        <w:spacing w:after="1" w:line="240" w:lineRule="auto"/>
        <w:ind w:left="36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2.</w:t>
      </w:r>
      <w:r>
        <w:rPr>
          <w:rFonts w:ascii="Times New Roman" w:hAnsi="Times New Roman" w:eastAsia="Times New Roman" w:cs="Times New Roman"/>
          <w:color w:val="282425"/>
          <w:sz w:val="24"/>
          <w:szCs w:val="24"/>
        </w:rPr>
        <w:tab/>
      </w:r>
      <w:r>
        <w:rPr>
          <w:rFonts w:ascii="Times New Roman" w:hAnsi="Times New Roman" w:eastAsia="Times New Roman" w:cs="Times New Roman"/>
          <w:color w:val="282425"/>
          <w:sz w:val="24"/>
          <w:szCs w:val="24"/>
        </w:rPr>
        <w:t>Domestic Chores Significantly Affect Girls’ School Attendance and Retention</w:t>
      </w:r>
    </w:p>
    <w:p w14:paraId="18211AC0">
      <w:pPr>
        <w:spacing w:after="1" w:line="240" w:lineRule="auto"/>
        <w:ind w:left="36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assumes that domestic responsibilities placed on girls have a direct or indirect impact on their ability to attend and remain in school.</w:t>
      </w:r>
    </w:p>
    <w:p w14:paraId="4E2F589C">
      <w:pPr>
        <w:spacing w:after="1" w:line="240" w:lineRule="auto"/>
        <w:ind w:left="36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3.</w:t>
      </w:r>
      <w:r>
        <w:rPr>
          <w:rFonts w:ascii="Times New Roman" w:hAnsi="Times New Roman" w:eastAsia="Times New Roman" w:cs="Times New Roman"/>
          <w:color w:val="282425"/>
          <w:sz w:val="24"/>
          <w:szCs w:val="24"/>
        </w:rPr>
        <w:tab/>
      </w:r>
      <w:r>
        <w:rPr>
          <w:rFonts w:ascii="Times New Roman" w:hAnsi="Times New Roman" w:eastAsia="Times New Roman" w:cs="Times New Roman"/>
          <w:color w:val="282425"/>
          <w:sz w:val="24"/>
          <w:szCs w:val="24"/>
        </w:rPr>
        <w:t>Cultural Norms Influence the Distribution of Domestic Chores</w:t>
      </w:r>
    </w:p>
    <w:p w14:paraId="05426F8F">
      <w:pPr>
        <w:spacing w:after="1" w:line="240" w:lineRule="auto"/>
        <w:ind w:left="36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It is assumed that traditional gender roles within the community contribute to the unequal distribution of domestic chores, disproportionately affecting girls.</w:t>
      </w:r>
    </w:p>
    <w:p w14:paraId="397E9401">
      <w:pPr>
        <w:spacing w:after="1" w:line="240" w:lineRule="auto"/>
        <w:ind w:left="36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4.</w:t>
      </w:r>
      <w:r>
        <w:rPr>
          <w:rFonts w:ascii="Times New Roman" w:hAnsi="Times New Roman" w:eastAsia="Times New Roman" w:cs="Times New Roman"/>
          <w:color w:val="282425"/>
          <w:sz w:val="24"/>
          <w:szCs w:val="24"/>
        </w:rPr>
        <w:tab/>
      </w:r>
      <w:r>
        <w:rPr>
          <w:rFonts w:ascii="Times New Roman" w:hAnsi="Times New Roman" w:eastAsia="Times New Roman" w:cs="Times New Roman"/>
          <w:color w:val="282425"/>
          <w:sz w:val="24"/>
          <w:szCs w:val="24"/>
        </w:rPr>
        <w:t>School Conditions Across the Sub-County Are Comparable</w:t>
      </w:r>
    </w:p>
    <w:p w14:paraId="26712C07">
      <w:pPr>
        <w:spacing w:after="1" w:line="240" w:lineRule="auto"/>
        <w:ind w:left="36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The study assumes that </w:t>
      </w:r>
      <w:r>
        <w:rPr>
          <w:rFonts w:ascii="Times New Roman" w:hAnsi="Times New Roman" w:eastAsia="Times New Roman" w:cs="Times New Roman"/>
          <w:color w:val="282425"/>
          <w:sz w:val="24"/>
          <w:szCs w:val="24"/>
          <w:lang w:val="en-US"/>
        </w:rPr>
        <w:t>public junior schools</w:t>
      </w:r>
      <w:r>
        <w:rPr>
          <w:rFonts w:ascii="Times New Roman" w:hAnsi="Times New Roman" w:eastAsia="Times New Roman" w:cs="Times New Roman"/>
          <w:color w:val="282425"/>
          <w:sz w:val="24"/>
          <w:szCs w:val="24"/>
        </w:rPr>
        <w:t xml:space="preserve"> in Lagdera Sub-County operate under similar conditions, making it possible to generalize findings across the region.</w:t>
      </w:r>
    </w:p>
    <w:p w14:paraId="77AA0C22">
      <w:pPr>
        <w:spacing w:after="1" w:line="240" w:lineRule="auto"/>
        <w:rPr>
          <w:rFonts w:ascii="Times New Roman" w:hAnsi="Times New Roman" w:eastAsia="Times New Roman" w:cs="Times New Roman"/>
          <w:sz w:val="24"/>
          <w:szCs w:val="24"/>
        </w:rPr>
      </w:pPr>
    </w:p>
    <w:p w14:paraId="289C588F">
      <w:pPr>
        <w:pStyle w:val="14"/>
        <w:widowControl w:val="0"/>
        <w:numPr>
          <w:ilvl w:val="0"/>
          <w:numId w:val="1"/>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Li</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pacing w:val="-3"/>
          <w:sz w:val="24"/>
          <w:szCs w:val="24"/>
        </w:rPr>
        <w:t>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io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p>
    <w:p w14:paraId="06850ED5">
      <w:pPr>
        <w:widowControl w:val="0"/>
        <w:spacing w:after="0" w:line="240" w:lineRule="auto"/>
        <w:ind w:left="360"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 xml:space="preserve">While this study aims to provide valuable insights into the relationship between domestic chores and girls’ dropout rates in </w:t>
      </w:r>
      <w:r>
        <w:rPr>
          <w:rFonts w:ascii="Times New Roman" w:hAnsi="Times New Roman" w:eastAsia="Times New Roman" w:cs="Times New Roman"/>
          <w:color w:val="282425"/>
          <w:spacing w:val="-1"/>
          <w:sz w:val="24"/>
          <w:szCs w:val="24"/>
          <w:lang w:val="en-US"/>
        </w:rPr>
        <w:t>public junior schools</w:t>
      </w:r>
      <w:r>
        <w:rPr>
          <w:rFonts w:ascii="Times New Roman" w:hAnsi="Times New Roman" w:eastAsia="Times New Roman" w:cs="Times New Roman"/>
          <w:color w:val="282425"/>
          <w:spacing w:val="-1"/>
          <w:sz w:val="24"/>
          <w:szCs w:val="24"/>
        </w:rPr>
        <w:t xml:space="preserve"> in Lagdera Sub-County, several limitations may affect the scope and generalizability of the findings:</w:t>
      </w:r>
    </w:p>
    <w:p w14:paraId="5547249D">
      <w:pPr>
        <w:widowControl w:val="0"/>
        <w:spacing w:after="0" w:line="240" w:lineRule="auto"/>
        <w:ind w:left="360"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1.</w:t>
      </w:r>
      <w:r>
        <w:rPr>
          <w:rFonts w:ascii="Times New Roman" w:hAnsi="Times New Roman" w:eastAsia="Times New Roman" w:cs="Times New Roman"/>
          <w:color w:val="282425"/>
          <w:spacing w:val="-1"/>
          <w:sz w:val="24"/>
          <w:szCs w:val="24"/>
        </w:rPr>
        <w:tab/>
      </w:r>
      <w:r>
        <w:rPr>
          <w:rFonts w:ascii="Times New Roman" w:hAnsi="Times New Roman" w:eastAsia="Times New Roman" w:cs="Times New Roman"/>
          <w:color w:val="282425"/>
          <w:spacing w:val="-1"/>
          <w:sz w:val="24"/>
          <w:szCs w:val="24"/>
        </w:rPr>
        <w:t>Geographical Scope</w:t>
      </w:r>
    </w:p>
    <w:p w14:paraId="09A912FC">
      <w:pPr>
        <w:widowControl w:val="0"/>
        <w:spacing w:after="0" w:line="240" w:lineRule="auto"/>
        <w:ind w:left="360"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The study is limited to Lagdera Sub-County in Garissa County. As such, the findings may not be generalizable to other regions with different socio-economic, cultural, or educational contexts.</w:t>
      </w:r>
    </w:p>
    <w:p w14:paraId="56DEF13C">
      <w:pPr>
        <w:widowControl w:val="0"/>
        <w:spacing w:after="0" w:line="240" w:lineRule="auto"/>
        <w:ind w:left="360"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2.</w:t>
      </w:r>
      <w:r>
        <w:rPr>
          <w:rFonts w:ascii="Times New Roman" w:hAnsi="Times New Roman" w:eastAsia="Times New Roman" w:cs="Times New Roman"/>
          <w:color w:val="282425"/>
          <w:spacing w:val="-1"/>
          <w:sz w:val="24"/>
          <w:szCs w:val="24"/>
        </w:rPr>
        <w:tab/>
      </w:r>
      <w:r>
        <w:rPr>
          <w:rFonts w:ascii="Times New Roman" w:hAnsi="Times New Roman" w:eastAsia="Times New Roman" w:cs="Times New Roman"/>
          <w:color w:val="282425"/>
          <w:spacing w:val="-1"/>
          <w:sz w:val="24"/>
          <w:szCs w:val="24"/>
        </w:rPr>
        <w:t>Reliance on Self-Reported Data</w:t>
      </w:r>
    </w:p>
    <w:p w14:paraId="655B6D9E">
      <w:pPr>
        <w:widowControl w:val="0"/>
        <w:spacing w:after="0" w:line="240" w:lineRule="auto"/>
        <w:ind w:left="360"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Much of the data collected relies on self-reports from students, parents, and teachers. This introduces the possibility of bias, including exaggeration, underreporting, or socially desirable responses.</w:t>
      </w:r>
    </w:p>
    <w:p w14:paraId="1D379EB0">
      <w:pPr>
        <w:widowControl w:val="0"/>
        <w:spacing w:after="0" w:line="240" w:lineRule="auto"/>
        <w:ind w:left="360"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3.</w:t>
      </w:r>
      <w:r>
        <w:rPr>
          <w:rFonts w:ascii="Times New Roman" w:hAnsi="Times New Roman" w:eastAsia="Times New Roman" w:cs="Times New Roman"/>
          <w:color w:val="282425"/>
          <w:spacing w:val="-1"/>
          <w:sz w:val="24"/>
          <w:szCs w:val="24"/>
        </w:rPr>
        <w:tab/>
      </w:r>
      <w:r>
        <w:rPr>
          <w:rFonts w:ascii="Times New Roman" w:hAnsi="Times New Roman" w:eastAsia="Times New Roman" w:cs="Times New Roman"/>
          <w:color w:val="282425"/>
          <w:spacing w:val="-1"/>
          <w:sz w:val="24"/>
          <w:szCs w:val="24"/>
        </w:rPr>
        <w:t>Cultural Sensitivity and Disclosure</w:t>
      </w:r>
    </w:p>
    <w:p w14:paraId="42CED482">
      <w:pPr>
        <w:widowControl w:val="0"/>
        <w:spacing w:after="0" w:line="240" w:lineRule="auto"/>
        <w:ind w:left="360"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Given the cultural context of the study area, some respondents may be reluctant to openly discuss issues related to gender roles, domestic responsibilities, or school dropout, which could limit the depth of information obtained.</w:t>
      </w:r>
    </w:p>
    <w:p w14:paraId="625E8666">
      <w:pPr>
        <w:widowControl w:val="0"/>
        <w:spacing w:after="0" w:line="240" w:lineRule="auto"/>
        <w:ind w:left="360"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4.</w:t>
      </w:r>
      <w:r>
        <w:rPr>
          <w:rFonts w:ascii="Times New Roman" w:hAnsi="Times New Roman" w:eastAsia="Times New Roman" w:cs="Times New Roman"/>
          <w:color w:val="282425"/>
          <w:spacing w:val="-1"/>
          <w:sz w:val="24"/>
          <w:szCs w:val="24"/>
        </w:rPr>
        <w:tab/>
      </w:r>
      <w:r>
        <w:rPr>
          <w:rFonts w:ascii="Times New Roman" w:hAnsi="Times New Roman" w:eastAsia="Times New Roman" w:cs="Times New Roman"/>
          <w:color w:val="282425"/>
          <w:spacing w:val="-1"/>
          <w:sz w:val="24"/>
          <w:szCs w:val="24"/>
        </w:rPr>
        <w:t>Time and Resource Constraints</w:t>
      </w:r>
    </w:p>
    <w:p w14:paraId="50903C79">
      <w:pPr>
        <w:widowControl w:val="0"/>
        <w:spacing w:after="0" w:line="240" w:lineRule="auto"/>
        <w:ind w:left="360"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The study is conducted within a limited timeframe and with constrained resources, which may affect the breadth of data collection, especially in remote or hard-to-reach areas of the sub-county.</w:t>
      </w:r>
    </w:p>
    <w:p w14:paraId="49BB10BE">
      <w:pPr>
        <w:widowControl w:val="0"/>
        <w:spacing w:after="0" w:line="240" w:lineRule="auto"/>
        <w:ind w:right="525"/>
        <w:rPr>
          <w:rFonts w:ascii="Times New Roman" w:hAnsi="Times New Roman" w:eastAsia="Times New Roman" w:cs="Times New Roman"/>
          <w:color w:val="282425"/>
          <w:spacing w:val="-1"/>
          <w:sz w:val="24"/>
          <w:szCs w:val="24"/>
        </w:rPr>
      </w:pPr>
    </w:p>
    <w:p w14:paraId="0F092EC3">
      <w:pPr>
        <w:pStyle w:val="14"/>
        <w:widowControl w:val="0"/>
        <w:numPr>
          <w:ilvl w:val="0"/>
          <w:numId w:val="1"/>
        </w:numPr>
        <w:spacing w:after="0" w:line="240" w:lineRule="auto"/>
        <w:ind w:right="-20"/>
        <w:rPr>
          <w:rFonts w:ascii="Times New Roman" w:hAnsi="Times New Roman" w:eastAsia="Times New Roman" w:cs="Times New Roman"/>
          <w:b/>
          <w:bCs/>
          <w:color w:val="282425"/>
          <w:spacing w:val="4"/>
          <w:sz w:val="24"/>
          <w:szCs w:val="24"/>
        </w:rPr>
      </w:pPr>
      <w:r>
        <w:rPr>
          <w:rFonts w:ascii="Times New Roman" w:hAnsi="Times New Roman" w:eastAsia="Times New Roman" w:cs="Times New Roman"/>
          <w:b/>
          <w:bCs/>
          <w:color w:val="282425"/>
          <w:spacing w:val="4"/>
          <w:sz w:val="24"/>
          <w:szCs w:val="24"/>
        </w:rPr>
        <w:t>Delimitation</w:t>
      </w:r>
    </w:p>
    <w:p w14:paraId="7D718E3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is intentionally scoped to focus on specific aspects of the research problem to ensure manageability and relevance. The following delimitations define the boundaries within which the study will be conducted:</w:t>
      </w:r>
    </w:p>
    <w:p w14:paraId="4356D804">
      <w:pPr>
        <w:spacing w:after="0"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 Geographical Focus</w:t>
      </w:r>
    </w:p>
    <w:p w14:paraId="60CD7A9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study is confined to </w:t>
      </w:r>
      <w:r>
        <w:rPr>
          <w:rFonts w:ascii="Times New Roman" w:hAnsi="Times New Roman" w:eastAsia="Times New Roman" w:cs="Times New Roman"/>
          <w:sz w:val="24"/>
          <w:szCs w:val="24"/>
          <w:lang w:val="en-US"/>
        </w:rPr>
        <w:t>public junior schools</w:t>
      </w:r>
      <w:r>
        <w:rPr>
          <w:rFonts w:ascii="Times New Roman" w:hAnsi="Times New Roman" w:eastAsia="Times New Roman" w:cs="Times New Roman"/>
          <w:sz w:val="24"/>
          <w:szCs w:val="24"/>
        </w:rPr>
        <w:t xml:space="preserve"> in Lagdera Sub-County, Garissa County. It does not include private schools or schools in other sub-counties.</w:t>
      </w:r>
    </w:p>
    <w:p w14:paraId="74948D1A">
      <w:pPr>
        <w:spacing w:after="0"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2.Target Population</w:t>
      </w:r>
    </w:p>
    <w:p w14:paraId="79696FC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research focuses specifically on girls enrolled in junior day secondary schools, along with their teachers and parents or guardians. Boys and other stakeholders are not included unless their input directly relates to the experiences of the girls.</w:t>
      </w:r>
    </w:p>
    <w:p w14:paraId="0E88295F">
      <w:pPr>
        <w:spacing w:after="0"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3.Thematic Scope</w:t>
      </w:r>
    </w:p>
    <w:p w14:paraId="3A5719D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study is limited to examining the relationship between domestic chores and girls’ dropout rates. Other factors influencing dropout, such as early marriage, poverty, or school infrastructure, are acknowledged but not explored in depth.</w:t>
      </w:r>
    </w:p>
    <w:p w14:paraId="0215A895">
      <w:pPr>
        <w:spacing w:after="0"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4.Time Frame</w:t>
      </w:r>
    </w:p>
    <w:p w14:paraId="7F089E2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study covers data collected within a specific academic year. Longitudinal trends or historical data beyond this period are not considered.</w:t>
      </w:r>
    </w:p>
    <w:p w14:paraId="60267317">
      <w:pPr>
        <w:spacing w:after="0" w:line="240" w:lineRule="auto"/>
        <w:ind w:left="720"/>
        <w:rPr>
          <w:rFonts w:ascii="Times New Roman" w:hAnsi="Times New Roman" w:eastAsia="Times New Roman" w:cs="Times New Roman"/>
          <w:sz w:val="24"/>
          <w:szCs w:val="24"/>
        </w:rPr>
      </w:pPr>
    </w:p>
    <w:p w14:paraId="765D9BD0">
      <w:pPr>
        <w:pStyle w:val="14"/>
        <w:widowControl w:val="0"/>
        <w:numPr>
          <w:ilvl w:val="0"/>
          <w:numId w:val="1"/>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Li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erat</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z w:val="24"/>
          <w:szCs w:val="24"/>
        </w:rPr>
        <w:t>Review</w:t>
      </w:r>
    </w:p>
    <w:p w14:paraId="44064D1C">
      <w:pPr>
        <w:widowControl w:val="0"/>
        <w:spacing w:after="0" w:line="240" w:lineRule="auto"/>
        <w:ind w:right="565"/>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Numerous studies have demonstrated a significant link between domestic chores and school dropout among girls, especially in marginalized and resource-poor settings. Research in Uganda and parts of Kenya, such as Kajiado and the Dadaab refugee camps, indicates that tasks like cooking, cleaning, water-fetching, and childcare are primarily assigned to girls, thereby reducing their time and energy for schoolwork (Ngaruiya, 2013; Muhanguzi, 2011). These gendered responsibilities often lead to chronic absenteeism, poor academic performance, and eventual dropout. Furthermore, global analyses by UNESCO (2015) emphasize how cultural norms and gender expectations continue to marginalize girls in education systems, particularly in sub-Saharan Africa. While this body of literature provides a foundation for understanding the problem, there remains a critical gap in localized studies specific to Lagdera Sub-County. This study addresses that gap by exploring how socio-cultural, economic, and policy factors uniquely influence girls' educational experiences in this arid region.</w:t>
      </w:r>
    </w:p>
    <w:p w14:paraId="2C7F2FEE">
      <w:pPr>
        <w:widowControl w:val="0"/>
        <w:spacing w:after="0" w:line="240" w:lineRule="auto"/>
        <w:ind w:right="565"/>
        <w:rPr>
          <w:rFonts w:ascii="Times New Roman" w:hAnsi="Times New Roman" w:eastAsia="Times New Roman" w:cs="Times New Roman"/>
          <w:color w:val="282425"/>
          <w:spacing w:val="2"/>
          <w:sz w:val="24"/>
          <w:szCs w:val="24"/>
        </w:rPr>
      </w:pPr>
    </w:p>
    <w:p w14:paraId="433CE042">
      <w:pPr>
        <w:pStyle w:val="14"/>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z w:val="24"/>
          <w:szCs w:val="24"/>
        </w:rPr>
        <w:t>Theo</w:t>
      </w:r>
      <w:r>
        <w:rPr>
          <w:rFonts w:ascii="Times New Roman" w:hAnsi="Times New Roman" w:eastAsia="Times New Roman" w:cs="Times New Roman"/>
          <w:b/>
          <w:bCs/>
          <w:color w:val="282425"/>
          <w:spacing w:val="-1"/>
          <w:sz w:val="24"/>
          <w:szCs w:val="24"/>
        </w:rPr>
        <w:t>re</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z w:val="24"/>
          <w:szCs w:val="24"/>
        </w:rPr>
        <w:t>cal</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F</w:t>
      </w:r>
      <w:r>
        <w:rPr>
          <w:rFonts w:ascii="Times New Roman" w:hAnsi="Times New Roman" w:eastAsia="Times New Roman" w:cs="Times New Roman"/>
          <w:b/>
          <w:bCs/>
          <w:color w:val="282425"/>
          <w:sz w:val="24"/>
          <w:szCs w:val="24"/>
        </w:rPr>
        <w:t>ra</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z w:val="24"/>
          <w:szCs w:val="24"/>
        </w:rPr>
        <w:t>ewo</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k</w:t>
      </w:r>
    </w:p>
    <w:p w14:paraId="2107E497">
      <w:pPr>
        <w:spacing w:after="19" w:line="240" w:lineRule="auto"/>
        <w:rPr>
          <w:rFonts w:ascii="Times New Roman" w:hAnsi="Times New Roman" w:eastAsia="Times New Roman" w:cs="Times New Roman"/>
          <w:sz w:val="24"/>
          <w:szCs w:val="24"/>
        </w:rPr>
      </w:pPr>
    </w:p>
    <w:p w14:paraId="75EE9356">
      <w:pPr>
        <w:spacing w:after="19"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is grounded in Systems Theory, Social Learning Theory, Feminist Theory, and Structural Functionalism to provide a comprehensive understanding of the factors influencing girls’ dropout rates in Lagdera Sub-County.</w:t>
      </w:r>
    </w:p>
    <w:p w14:paraId="36F10EB8">
      <w:pPr>
        <w:spacing w:after="19" w:line="240" w:lineRule="auto"/>
        <w:rPr>
          <w:rFonts w:ascii="Times New Roman" w:hAnsi="Times New Roman" w:eastAsia="Times New Roman" w:cs="Times New Roman"/>
          <w:sz w:val="24"/>
          <w:szCs w:val="24"/>
        </w:rPr>
      </w:pPr>
    </w:p>
    <w:p w14:paraId="46F7757C">
      <w:pPr>
        <w:spacing w:after="19"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Systems Theory (Lewin, 1947) views education as a system made up of interdependent parts—learners, families, schools, and communities. When one part, such as the home environment, imposes burdens like excessive domestic chores, it disrupts the learner’s educational outcomes.</w:t>
      </w:r>
    </w:p>
    <w:p w14:paraId="3EADED00">
      <w:pPr>
        <w:spacing w:after="19" w:line="240" w:lineRule="auto"/>
        <w:ind w:left="360"/>
        <w:rPr>
          <w:rFonts w:ascii="Times New Roman" w:hAnsi="Times New Roman" w:eastAsia="Times New Roman" w:cs="Times New Roman"/>
          <w:sz w:val="24"/>
          <w:szCs w:val="24"/>
        </w:rPr>
      </w:pPr>
    </w:p>
    <w:p w14:paraId="0E99CEBF">
      <w:pPr>
        <w:spacing w:after="19"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Social Learning Theory (Bandura, 1977) explains how girls learn to prioritize domestic work over schooling by observing family and community models. Reinforcement of these gendered roles discourages educational commitment and normalizes early dropout.</w:t>
      </w:r>
    </w:p>
    <w:p w14:paraId="472BB91A">
      <w:pPr>
        <w:spacing w:after="19" w:line="240" w:lineRule="auto"/>
        <w:rPr>
          <w:rFonts w:ascii="Times New Roman" w:hAnsi="Times New Roman" w:eastAsia="Times New Roman" w:cs="Times New Roman"/>
          <w:sz w:val="24"/>
          <w:szCs w:val="24"/>
        </w:rPr>
      </w:pPr>
    </w:p>
    <w:p w14:paraId="538F5C0C">
      <w:pPr>
        <w:spacing w:after="19"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Feminist Theory critiques how patriarchal norms assign domestic responsibilities to girls, limiting their educational opportunities and reinforcing inequality (Tong, 2009). It emphasizes the need to challenge gender-based expectations that hinder girls' academic progression.</w:t>
      </w:r>
    </w:p>
    <w:p w14:paraId="3A3738C7">
      <w:pPr>
        <w:spacing w:after="19" w:line="240" w:lineRule="auto"/>
        <w:rPr>
          <w:rFonts w:ascii="Times New Roman" w:hAnsi="Times New Roman" w:eastAsia="Times New Roman" w:cs="Times New Roman"/>
          <w:sz w:val="24"/>
          <w:szCs w:val="24"/>
        </w:rPr>
      </w:pPr>
    </w:p>
    <w:p w14:paraId="37FDF84D">
      <w:pPr>
        <w:spacing w:after="19"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Lastly, Structural Functionalism (Durkheim, 1933; Parsons, 1951) helps interpret how institutions like the family and school contribute to maintaining social roles. In Lagdera, when families emphasize traditional roles over education, and schools lack supportive structures, the system fails to retain girls, resulting in social dysfunction.</w:t>
      </w:r>
    </w:p>
    <w:p w14:paraId="3DE79CBA">
      <w:pPr>
        <w:spacing w:after="19" w:line="240" w:lineRule="auto"/>
        <w:rPr>
          <w:rFonts w:ascii="Times New Roman" w:hAnsi="Times New Roman" w:eastAsia="Times New Roman" w:cs="Times New Roman"/>
          <w:sz w:val="24"/>
          <w:szCs w:val="24"/>
        </w:rPr>
      </w:pPr>
    </w:p>
    <w:p w14:paraId="4726C8B3">
      <w:pPr>
        <w:spacing w:after="19"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Together, these theories offer a multi-dimensional lens for analyzing how cultural expectations, social modeling, and systemic structures interact to affect girls’ education in marginalized settings.</w:t>
      </w:r>
    </w:p>
    <w:p w14:paraId="5254EA46">
      <w:pPr>
        <w:spacing w:after="19" w:line="240" w:lineRule="auto"/>
        <w:rPr>
          <w:rFonts w:ascii="Times New Roman" w:hAnsi="Times New Roman" w:eastAsia="Times New Roman" w:cs="Times New Roman"/>
          <w:sz w:val="24"/>
          <w:szCs w:val="24"/>
        </w:rPr>
      </w:pPr>
    </w:p>
    <w:p w14:paraId="3096FEB7">
      <w:pPr>
        <w:widowControl w:val="0"/>
        <w:numPr>
          <w:ilvl w:val="0"/>
          <w:numId w:val="1"/>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Co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c</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p</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pacing w:val="-4"/>
          <w:sz w:val="24"/>
          <w:szCs w:val="24"/>
        </w:rPr>
        <w:t>a</w:t>
      </w:r>
      <w:r>
        <w:rPr>
          <w:rFonts w:ascii="Times New Roman" w:hAnsi="Times New Roman" w:eastAsia="Times New Roman" w:cs="Times New Roman"/>
          <w:b/>
          <w:bCs/>
          <w:color w:val="282425"/>
          <w:sz w:val="24"/>
          <w:szCs w:val="24"/>
        </w:rPr>
        <w:t>l</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2"/>
          <w:sz w:val="24"/>
          <w:szCs w:val="24"/>
        </w:rPr>
        <w:t>F</w:t>
      </w:r>
      <w:r>
        <w:rPr>
          <w:rFonts w:ascii="Times New Roman" w:hAnsi="Times New Roman" w:eastAsia="Times New Roman" w:cs="Times New Roman"/>
          <w:b/>
          <w:bCs/>
          <w:color w:val="282425"/>
          <w:sz w:val="24"/>
          <w:szCs w:val="24"/>
        </w:rPr>
        <w:t>ra</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z w:val="24"/>
          <w:szCs w:val="24"/>
        </w:rPr>
        <w:t>ewo</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k</w:t>
      </w:r>
    </w:p>
    <w:p w14:paraId="0EE7F0A7">
      <w:pPr>
        <w:spacing w:after="0" w:line="240" w:lineRule="auto"/>
        <w:rPr>
          <w:rFonts w:ascii="Times New Roman" w:hAnsi="Times New Roman" w:eastAsia="Times New Roman" w:cs="Times New Roman"/>
          <w:sz w:val="24"/>
          <w:szCs w:val="24"/>
        </w:rPr>
      </w:pPr>
    </w:p>
    <w:p w14:paraId="63F8E327">
      <w:pPr>
        <w:tabs>
          <w:tab w:val="left" w:pos="3674"/>
        </w:tabs>
        <w:rPr>
          <w:rFonts w:ascii="Times New Roman" w:hAnsi="Times New Roman" w:cs="Times New Roman"/>
          <w:sz w:val="24"/>
        </w:rPr>
      </w:pPr>
      <w:r>
        <w:rPr>
          <w:rFonts w:ascii="Times New Roman" w:hAnsi="Times New Roman" w:cs="Times New Roman"/>
          <w:sz w:val="24"/>
        </w:rPr>
        <w:t xml:space="preserve">The conceptual framework illustrates how domestic chores influence the dropout rate of girls in </w:t>
      </w:r>
      <w:r>
        <w:rPr>
          <w:rFonts w:ascii="Times New Roman" w:hAnsi="Times New Roman" w:cs="Times New Roman"/>
          <w:sz w:val="24"/>
          <w:lang w:val="en-US"/>
        </w:rPr>
        <w:t>public junior schools</w:t>
      </w:r>
      <w:r>
        <w:rPr>
          <w:rFonts w:ascii="Times New Roman" w:hAnsi="Times New Roman" w:cs="Times New Roman"/>
          <w:sz w:val="24"/>
        </w:rPr>
        <w:t xml:space="preserve"> in Lagdera Sub-County. The framework shows that the types and intensity of domestic chores affect school attendance and academic performance, which in turn impacts the dropout rate. Parental sensitization and policy enforcement serve as moderating variables.</w:t>
      </w:r>
    </w:p>
    <w:p w14:paraId="009E4E32">
      <w:pPr>
        <w:tabs>
          <w:tab w:val="left" w:pos="3674"/>
        </w:tabs>
        <w:rPr>
          <w:sz w:val="24"/>
        </w:rPr>
      </w:pPr>
      <w:r>
        <w:rPr>
          <w:rFonts w:ascii="Times New Roman" w:hAnsi="Times New Roman" w:cs="Times New Roman"/>
          <w:b/>
        </w:rPr>
        <mc:AlternateContent>
          <mc:Choice Requires="wps">
            <w:drawing>
              <wp:anchor distT="0" distB="0" distL="114300" distR="114300" simplePos="0" relativeHeight="251660288" behindDoc="0" locked="0" layoutInCell="1" allowOverlap="1">
                <wp:simplePos x="0" y="0"/>
                <wp:positionH relativeFrom="column">
                  <wp:posOffset>1858010</wp:posOffset>
                </wp:positionH>
                <wp:positionV relativeFrom="paragraph">
                  <wp:posOffset>191135</wp:posOffset>
                </wp:positionV>
                <wp:extent cx="2411730" cy="3131185"/>
                <wp:effectExtent l="0" t="0" r="26670" b="12065"/>
                <wp:wrapNone/>
                <wp:docPr id="6" name="Rectangle 6"/>
                <wp:cNvGraphicFramePr/>
                <a:graphic xmlns:a="http://schemas.openxmlformats.org/drawingml/2006/main">
                  <a:graphicData uri="http://schemas.microsoft.com/office/word/2010/wordprocessingShape">
                    <wps:wsp>
                      <wps:cNvSpPr/>
                      <wps:spPr>
                        <a:xfrm>
                          <a:off x="0" y="0"/>
                          <a:ext cx="2411730" cy="3131185"/>
                        </a:xfrm>
                        <a:prstGeom prst="rect">
                          <a:avLst/>
                        </a:prstGeom>
                        <a:solidFill>
                          <a:sysClr val="window" lastClr="FFFFFF"/>
                        </a:solidFill>
                        <a:ln w="3175" cap="flat" cmpd="sng" algn="ctr">
                          <a:solidFill>
                            <a:sysClr val="windowText" lastClr="000000"/>
                          </a:solidFill>
                          <a:prstDash val="solid"/>
                        </a:ln>
                        <a:effectLst/>
                      </wps:spPr>
                      <wps:txbx>
                        <w:txbxContent>
                          <w:p w14:paraId="3CEB4A42">
                            <w:pPr>
                              <w:pStyle w:val="14"/>
                              <w:numPr>
                                <w:ilvl w:val="0"/>
                                <w:numId w:val="5"/>
                              </w:numPr>
                              <w:jc w:val="center"/>
                              <w:rPr>
                                <w:sz w:val="24"/>
                              </w:rPr>
                            </w:pPr>
                            <w:r>
                              <w:rPr>
                                <w:sz w:val="24"/>
                              </w:rPr>
                              <w:t>Distance from home to school</w:t>
                            </w:r>
                          </w:p>
                          <w:p w14:paraId="79AE9093">
                            <w:pPr>
                              <w:pStyle w:val="14"/>
                              <w:numPr>
                                <w:ilvl w:val="0"/>
                                <w:numId w:val="5"/>
                              </w:numPr>
                              <w:jc w:val="center"/>
                              <w:rPr>
                                <w:sz w:val="24"/>
                              </w:rPr>
                            </w:pPr>
                            <w:r>
                              <w:rPr>
                                <w:sz w:val="24"/>
                              </w:rPr>
                              <w:t>Availability of school feeding programs</w:t>
                            </w:r>
                          </w:p>
                          <w:p w14:paraId="6C58F904">
                            <w:pPr>
                              <w:pStyle w:val="14"/>
                              <w:numPr>
                                <w:ilvl w:val="0"/>
                                <w:numId w:val="5"/>
                              </w:numPr>
                              <w:jc w:val="center"/>
                              <w:rPr>
                                <w:sz w:val="24"/>
                              </w:rPr>
                            </w:pPr>
                            <w:r>
                              <w:rPr>
                                <w:sz w:val="24"/>
                              </w:rPr>
                              <w:t>Socio-economic status of the family</w:t>
                            </w:r>
                          </w:p>
                          <w:p w14:paraId="75DA5F5C">
                            <w:pPr>
                              <w:pStyle w:val="14"/>
                              <w:numPr>
                                <w:ilvl w:val="0"/>
                                <w:numId w:val="5"/>
                              </w:numPr>
                              <w:jc w:val="center"/>
                              <w:rPr>
                                <w:sz w:val="24"/>
                              </w:rPr>
                            </w:pPr>
                            <w:r>
                              <w:rPr>
                                <w:sz w:val="24"/>
                              </w:rPr>
                              <w:t>Availability of household labor other than girls (e.g., siblings, hired help)</w:t>
                            </w:r>
                          </w:p>
                          <w:p w14:paraId="0332C6B5">
                            <w:pPr>
                              <w:pStyle w:val="14"/>
                              <w:numPr>
                                <w:ilvl w:val="0"/>
                                <w:numId w:val="5"/>
                              </w:numPr>
                              <w:jc w:val="center"/>
                              <w:rPr>
                                <w:sz w:val="24"/>
                              </w:rPr>
                            </w:pPr>
                            <w:r>
                              <w:rPr>
                                <w:sz w:val="24"/>
                              </w:rPr>
                              <w:t>Peer influence and support networks</w:t>
                            </w:r>
                          </w:p>
                          <w:p w14:paraId="54245316">
                            <w:pPr>
                              <w:pStyle w:val="14"/>
                              <w:numPr>
                                <w:ilvl w:val="0"/>
                                <w:numId w:val="5"/>
                              </w:numPr>
                              <w:jc w:val="center"/>
                              <w:rPr>
                                <w:sz w:val="24"/>
                              </w:rPr>
                            </w:pPr>
                            <w:r>
                              <w:rPr>
                                <w:sz w:val="24"/>
                              </w:rPr>
                              <w:t>Teacher attitudes and support towards girls</w:t>
                            </w:r>
                          </w:p>
                          <w:p w14:paraId="146CED8F">
                            <w:pPr>
                              <w:pStyle w:val="14"/>
                              <w:numPr>
                                <w:ilvl w:val="0"/>
                                <w:numId w:val="5"/>
                              </w:numPr>
                              <w:jc w:val="center"/>
                              <w:rPr>
                                <w:sz w:val="24"/>
                              </w:rPr>
                            </w:pPr>
                            <w:r>
                              <w:rPr>
                                <w:sz w:val="24"/>
                              </w:rPr>
                              <w:t>Community awareness and involvement in girls’ education</w:t>
                            </w:r>
                          </w:p>
                          <w:p w14:paraId="3516BAB2">
                            <w:pPr>
                              <w:pStyle w:val="14"/>
                              <w:ind w:left="360"/>
                              <w:rPr>
                                <w:sz w:val="24"/>
                              </w:rPr>
                            </w:pPr>
                          </w:p>
                          <w:p w14:paraId="2BAF10F2">
                            <w:pPr>
                              <w:jc w:val="center"/>
                              <w:rPr>
                                <w:sz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146.3pt;margin-top:15.05pt;height:246.55pt;width:189.9pt;z-index:251660288;v-text-anchor:middle;mso-width-relative:page;mso-height-relative:page;" fillcolor="#FFFFFF" filled="t" stroked="t" coordsize="21600,21600" o:gfxdata="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RtL0PNsAAAAKAQAADwAAAAAAAAABACAAAAAiAAAAZHJz&#10;L2Rvd25yZXYueG1sUEsBAhQAFAAAAAgAh07iQB1nLEFzAgAAHQUAAA4AAAAAAAAAAQAgAAAAKgEA&#10;AGRycy9lMm9Eb2MueG1sUEsFBgAAAAAGAAYAWQEAAA8GAAAAAA==&#10;">
                <v:fill on="t" focussize="0,0"/>
                <v:stroke weight="0.25pt" color="#000000" joinstyle="round"/>
                <v:imagedata o:title=""/>
                <o:lock v:ext="edit" aspectratio="f"/>
                <v:textbox>
                  <w:txbxContent>
                    <w:p w14:paraId="3CEB4A42">
                      <w:pPr>
                        <w:pStyle w:val="14"/>
                        <w:numPr>
                          <w:ilvl w:val="0"/>
                          <w:numId w:val="5"/>
                        </w:numPr>
                        <w:jc w:val="center"/>
                        <w:rPr>
                          <w:sz w:val="24"/>
                        </w:rPr>
                      </w:pPr>
                      <w:r>
                        <w:rPr>
                          <w:sz w:val="24"/>
                        </w:rPr>
                        <w:t>Distance from home to school</w:t>
                      </w:r>
                    </w:p>
                    <w:p w14:paraId="79AE9093">
                      <w:pPr>
                        <w:pStyle w:val="14"/>
                        <w:numPr>
                          <w:ilvl w:val="0"/>
                          <w:numId w:val="5"/>
                        </w:numPr>
                        <w:jc w:val="center"/>
                        <w:rPr>
                          <w:sz w:val="24"/>
                        </w:rPr>
                      </w:pPr>
                      <w:r>
                        <w:rPr>
                          <w:sz w:val="24"/>
                        </w:rPr>
                        <w:t>Availability of school feeding programs</w:t>
                      </w:r>
                    </w:p>
                    <w:p w14:paraId="6C58F904">
                      <w:pPr>
                        <w:pStyle w:val="14"/>
                        <w:numPr>
                          <w:ilvl w:val="0"/>
                          <w:numId w:val="5"/>
                        </w:numPr>
                        <w:jc w:val="center"/>
                        <w:rPr>
                          <w:sz w:val="24"/>
                        </w:rPr>
                      </w:pPr>
                      <w:r>
                        <w:rPr>
                          <w:sz w:val="24"/>
                        </w:rPr>
                        <w:t>Socio-economic status of the family</w:t>
                      </w:r>
                    </w:p>
                    <w:p w14:paraId="75DA5F5C">
                      <w:pPr>
                        <w:pStyle w:val="14"/>
                        <w:numPr>
                          <w:ilvl w:val="0"/>
                          <w:numId w:val="5"/>
                        </w:numPr>
                        <w:jc w:val="center"/>
                        <w:rPr>
                          <w:sz w:val="24"/>
                        </w:rPr>
                      </w:pPr>
                      <w:r>
                        <w:rPr>
                          <w:sz w:val="24"/>
                        </w:rPr>
                        <w:t>Availability of household labor other than girls (e.g., siblings, hired help)</w:t>
                      </w:r>
                    </w:p>
                    <w:p w14:paraId="0332C6B5">
                      <w:pPr>
                        <w:pStyle w:val="14"/>
                        <w:numPr>
                          <w:ilvl w:val="0"/>
                          <w:numId w:val="5"/>
                        </w:numPr>
                        <w:jc w:val="center"/>
                        <w:rPr>
                          <w:sz w:val="24"/>
                        </w:rPr>
                      </w:pPr>
                      <w:r>
                        <w:rPr>
                          <w:sz w:val="24"/>
                        </w:rPr>
                        <w:t>Peer influence and support networks</w:t>
                      </w:r>
                    </w:p>
                    <w:p w14:paraId="54245316">
                      <w:pPr>
                        <w:pStyle w:val="14"/>
                        <w:numPr>
                          <w:ilvl w:val="0"/>
                          <w:numId w:val="5"/>
                        </w:numPr>
                        <w:jc w:val="center"/>
                        <w:rPr>
                          <w:sz w:val="24"/>
                        </w:rPr>
                      </w:pPr>
                      <w:r>
                        <w:rPr>
                          <w:sz w:val="24"/>
                        </w:rPr>
                        <w:t>Teacher attitudes and support towards girls</w:t>
                      </w:r>
                    </w:p>
                    <w:p w14:paraId="146CED8F">
                      <w:pPr>
                        <w:pStyle w:val="14"/>
                        <w:numPr>
                          <w:ilvl w:val="0"/>
                          <w:numId w:val="5"/>
                        </w:numPr>
                        <w:jc w:val="center"/>
                        <w:rPr>
                          <w:sz w:val="24"/>
                        </w:rPr>
                      </w:pPr>
                      <w:r>
                        <w:rPr>
                          <w:sz w:val="24"/>
                        </w:rPr>
                        <w:t>Community awareness and involvement in girls’ education</w:t>
                      </w:r>
                    </w:p>
                    <w:p w14:paraId="3516BAB2">
                      <w:pPr>
                        <w:pStyle w:val="14"/>
                        <w:ind w:left="360"/>
                        <w:rPr>
                          <w:sz w:val="24"/>
                        </w:rPr>
                      </w:pPr>
                    </w:p>
                    <w:p w14:paraId="2BAF10F2">
                      <w:pPr>
                        <w:jc w:val="center"/>
                        <w:rPr>
                          <w:sz w:val="24"/>
                        </w:rPr>
                      </w:pPr>
                    </w:p>
                  </w:txbxContent>
                </v:textbox>
              </v:rect>
            </w:pict>
          </mc:Fallback>
        </mc:AlternateContent>
      </w:r>
      <w:r>
        <w:rPr>
          <w:rFonts w:ascii="Times New Roman" w:hAnsi="Times New Roman" w:cs="Times New Roman"/>
          <w:b/>
        </w:rPr>
        <mc:AlternateContent>
          <mc:Choice Requires="wps">
            <w:drawing>
              <wp:anchor distT="0" distB="0" distL="114300" distR="114300" simplePos="0" relativeHeight="251661312" behindDoc="0" locked="0" layoutInCell="1" allowOverlap="1">
                <wp:simplePos x="0" y="0"/>
                <wp:positionH relativeFrom="column">
                  <wp:posOffset>-706755</wp:posOffset>
                </wp:positionH>
                <wp:positionV relativeFrom="paragraph">
                  <wp:posOffset>191135</wp:posOffset>
                </wp:positionV>
                <wp:extent cx="2254250" cy="3096260"/>
                <wp:effectExtent l="0" t="0" r="12700" b="27940"/>
                <wp:wrapNone/>
                <wp:docPr id="7" name="Rectangle 7"/>
                <wp:cNvGraphicFramePr/>
                <a:graphic xmlns:a="http://schemas.openxmlformats.org/drawingml/2006/main">
                  <a:graphicData uri="http://schemas.microsoft.com/office/word/2010/wordprocessingShape">
                    <wps:wsp>
                      <wps:cNvSpPr/>
                      <wps:spPr>
                        <a:xfrm>
                          <a:off x="0" y="0"/>
                          <a:ext cx="2254250" cy="3096260"/>
                        </a:xfrm>
                        <a:prstGeom prst="rect">
                          <a:avLst/>
                        </a:prstGeom>
                        <a:solidFill>
                          <a:sysClr val="window" lastClr="FFFFFF"/>
                        </a:solidFill>
                        <a:ln w="3175" cap="flat" cmpd="sng" algn="ctr">
                          <a:solidFill>
                            <a:sysClr val="windowText" lastClr="000000"/>
                          </a:solidFill>
                          <a:prstDash val="solid"/>
                        </a:ln>
                        <a:effectLst/>
                      </wps:spPr>
                      <wps:txbx>
                        <w:txbxContent>
                          <w:p w14:paraId="65CFC4A3">
                            <w:pPr>
                              <w:pStyle w:val="14"/>
                              <w:numPr>
                                <w:ilvl w:val="0"/>
                                <w:numId w:val="5"/>
                              </w:numPr>
                              <w:jc w:val="center"/>
                              <w:rPr>
                                <w:sz w:val="24"/>
                              </w:rPr>
                            </w:pPr>
                            <w:r>
                              <w:rPr>
                                <w:sz w:val="24"/>
                              </w:rPr>
                              <w:t>Types of domestic chores</w:t>
                            </w:r>
                          </w:p>
                          <w:p w14:paraId="2707EC75">
                            <w:pPr>
                              <w:pStyle w:val="14"/>
                              <w:numPr>
                                <w:ilvl w:val="0"/>
                                <w:numId w:val="5"/>
                              </w:numPr>
                              <w:jc w:val="center"/>
                              <w:rPr>
                                <w:sz w:val="24"/>
                              </w:rPr>
                            </w:pPr>
                            <w:r>
                              <w:rPr>
                                <w:sz w:val="24"/>
                              </w:rPr>
                              <w:t>Time spent on domestic chores</w:t>
                            </w:r>
                          </w:p>
                          <w:p w14:paraId="4557742D">
                            <w:pPr>
                              <w:pStyle w:val="14"/>
                              <w:numPr>
                                <w:ilvl w:val="0"/>
                                <w:numId w:val="5"/>
                              </w:numPr>
                              <w:jc w:val="center"/>
                              <w:rPr>
                                <w:sz w:val="24"/>
                              </w:rPr>
                            </w:pPr>
                            <w:r>
                              <w:rPr>
                                <w:sz w:val="24"/>
                              </w:rPr>
                              <w:t>Frequency of domestic chores</w:t>
                            </w:r>
                          </w:p>
                          <w:p w14:paraId="1704FC60">
                            <w:pPr>
                              <w:pStyle w:val="14"/>
                              <w:numPr>
                                <w:ilvl w:val="0"/>
                                <w:numId w:val="5"/>
                              </w:numPr>
                              <w:jc w:val="center"/>
                              <w:rPr>
                                <w:sz w:val="24"/>
                              </w:rPr>
                            </w:pPr>
                            <w:r>
                              <w:rPr>
                                <w:sz w:val="24"/>
                              </w:rPr>
                              <w:t>Household size and composition</w:t>
                            </w:r>
                          </w:p>
                          <w:p w14:paraId="3FAF8A0E">
                            <w:pPr>
                              <w:pStyle w:val="14"/>
                              <w:numPr>
                                <w:ilvl w:val="0"/>
                                <w:numId w:val="5"/>
                              </w:numPr>
                              <w:jc w:val="center"/>
                              <w:rPr>
                                <w:sz w:val="24"/>
                              </w:rPr>
                            </w:pPr>
                            <w:r>
                              <w:rPr>
                                <w:sz w:val="24"/>
                              </w:rPr>
                              <w:t>Level of parental sensitization about girls’ education</w:t>
                            </w:r>
                          </w:p>
                          <w:p w14:paraId="1C132CE9">
                            <w:pPr>
                              <w:pStyle w:val="14"/>
                              <w:numPr>
                                <w:ilvl w:val="0"/>
                                <w:numId w:val="5"/>
                              </w:numPr>
                              <w:jc w:val="center"/>
                              <w:rPr>
                                <w:sz w:val="24"/>
                              </w:rPr>
                            </w:pPr>
                            <w:r>
                              <w:rPr>
                                <w:sz w:val="24"/>
                              </w:rPr>
                              <w:t>Cultural expectations regarding gender roles</w:t>
                            </w:r>
                          </w:p>
                          <w:p w14:paraId="15F3183A">
                            <w:pPr>
                              <w:pStyle w:val="14"/>
                              <w:numPr>
                                <w:ilvl w:val="0"/>
                                <w:numId w:val="5"/>
                              </w:numPr>
                              <w:jc w:val="center"/>
                              <w:rPr>
                                <w:sz w:val="24"/>
                              </w:rPr>
                            </w:pPr>
                            <w:r>
                              <w:rPr>
                                <w:sz w:val="24"/>
                              </w:rPr>
                              <w:t>Enforcement of child labor policies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style="position:absolute;left:0pt;margin-left:-55.65pt;margin-top:15.05pt;height:243.8pt;width:177.5pt;z-index:251661312;v-text-anchor:middle;mso-width-relative:page;mso-height-relative:page;" fillcolor="#FFFFFF" filled="t" stroked="t" coordsize="21600,21600" o:gfxdata="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DtWmDXcAAAACwEAAA8AAAAAAAAAAQAgAAAAIgAA&#10;AGRycy9kb3ducmV2LnhtbFBLAQIUABQAAAAIAIdO4kCzwSRxdgIAAB0FAAAOAAAAAAAAAAEAIAAA&#10;ACsBAABkcnMvZTJvRG9jLnhtbFBLBQYAAAAABgAGAFkBAAATBgAAAAA=&#10;">
                <v:fill on="t" focussize="0,0"/>
                <v:stroke weight="0.25pt" color="#000000" joinstyle="round"/>
                <v:imagedata o:title=""/>
                <o:lock v:ext="edit" aspectratio="f"/>
                <v:textbox>
                  <w:txbxContent>
                    <w:p w14:paraId="65CFC4A3">
                      <w:pPr>
                        <w:pStyle w:val="14"/>
                        <w:numPr>
                          <w:ilvl w:val="0"/>
                          <w:numId w:val="5"/>
                        </w:numPr>
                        <w:jc w:val="center"/>
                        <w:rPr>
                          <w:sz w:val="24"/>
                        </w:rPr>
                      </w:pPr>
                      <w:r>
                        <w:rPr>
                          <w:sz w:val="24"/>
                        </w:rPr>
                        <w:t>Types of domestic chores</w:t>
                      </w:r>
                    </w:p>
                    <w:p w14:paraId="2707EC75">
                      <w:pPr>
                        <w:pStyle w:val="14"/>
                        <w:numPr>
                          <w:ilvl w:val="0"/>
                          <w:numId w:val="5"/>
                        </w:numPr>
                        <w:jc w:val="center"/>
                        <w:rPr>
                          <w:sz w:val="24"/>
                        </w:rPr>
                      </w:pPr>
                      <w:r>
                        <w:rPr>
                          <w:sz w:val="24"/>
                        </w:rPr>
                        <w:t>Time spent on domestic chores</w:t>
                      </w:r>
                    </w:p>
                    <w:p w14:paraId="4557742D">
                      <w:pPr>
                        <w:pStyle w:val="14"/>
                        <w:numPr>
                          <w:ilvl w:val="0"/>
                          <w:numId w:val="5"/>
                        </w:numPr>
                        <w:jc w:val="center"/>
                        <w:rPr>
                          <w:sz w:val="24"/>
                        </w:rPr>
                      </w:pPr>
                      <w:r>
                        <w:rPr>
                          <w:sz w:val="24"/>
                        </w:rPr>
                        <w:t>Frequency of domestic chores</w:t>
                      </w:r>
                    </w:p>
                    <w:p w14:paraId="1704FC60">
                      <w:pPr>
                        <w:pStyle w:val="14"/>
                        <w:numPr>
                          <w:ilvl w:val="0"/>
                          <w:numId w:val="5"/>
                        </w:numPr>
                        <w:jc w:val="center"/>
                        <w:rPr>
                          <w:sz w:val="24"/>
                        </w:rPr>
                      </w:pPr>
                      <w:r>
                        <w:rPr>
                          <w:sz w:val="24"/>
                        </w:rPr>
                        <w:t>Household size and composition</w:t>
                      </w:r>
                    </w:p>
                    <w:p w14:paraId="3FAF8A0E">
                      <w:pPr>
                        <w:pStyle w:val="14"/>
                        <w:numPr>
                          <w:ilvl w:val="0"/>
                          <w:numId w:val="5"/>
                        </w:numPr>
                        <w:jc w:val="center"/>
                        <w:rPr>
                          <w:sz w:val="24"/>
                        </w:rPr>
                      </w:pPr>
                      <w:r>
                        <w:rPr>
                          <w:sz w:val="24"/>
                        </w:rPr>
                        <w:t>Level of parental sensitization about girls’ education</w:t>
                      </w:r>
                    </w:p>
                    <w:p w14:paraId="1C132CE9">
                      <w:pPr>
                        <w:pStyle w:val="14"/>
                        <w:numPr>
                          <w:ilvl w:val="0"/>
                          <w:numId w:val="5"/>
                        </w:numPr>
                        <w:jc w:val="center"/>
                        <w:rPr>
                          <w:sz w:val="24"/>
                        </w:rPr>
                      </w:pPr>
                      <w:r>
                        <w:rPr>
                          <w:sz w:val="24"/>
                        </w:rPr>
                        <w:t>Cultural expectations regarding gender roles</w:t>
                      </w:r>
                    </w:p>
                    <w:p w14:paraId="15F3183A">
                      <w:pPr>
                        <w:pStyle w:val="14"/>
                        <w:numPr>
                          <w:ilvl w:val="0"/>
                          <w:numId w:val="5"/>
                        </w:numPr>
                        <w:jc w:val="center"/>
                        <w:rPr>
                          <w:sz w:val="24"/>
                        </w:rPr>
                      </w:pPr>
                      <w:r>
                        <w:rPr>
                          <w:sz w:val="24"/>
                        </w:rPr>
                        <w:t>Enforcement of child labor policies</w:t>
                      </w:r>
                    </w:p>
                  </w:txbxContent>
                </v:textbox>
              </v:rect>
            </w:pict>
          </mc:Fallback>
        </mc:AlternateContent>
      </w:r>
      <w:r>
        <w:rPr>
          <w:b/>
          <w:sz w:val="24"/>
        </w:rPr>
        <w:t xml:space="preserve">  Independent variables                                      Intervening variables</w:t>
      </w:r>
      <w:r>
        <w:rPr>
          <w:sz w:val="24"/>
        </w:rPr>
        <w:t xml:space="preserve">             </w:t>
      </w:r>
      <w:r>
        <w:rPr>
          <w:b/>
          <w:sz w:val="24"/>
        </w:rPr>
        <w:t>dependent variables</w:t>
      </w:r>
    </w:p>
    <w:p w14:paraId="56087EAC">
      <w:pPr>
        <w:tabs>
          <w:tab w:val="left" w:pos="3674"/>
        </w:tabs>
        <w:rPr>
          <w:sz w:val="24"/>
        </w:rPr>
      </w:pPr>
    </w:p>
    <w:p w14:paraId="11075F2F">
      <w:pPr>
        <w:tabs>
          <w:tab w:val="left" w:pos="3674"/>
        </w:tabs>
        <w:rPr>
          <w:sz w:val="24"/>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4455160</wp:posOffset>
                </wp:positionH>
                <wp:positionV relativeFrom="paragraph">
                  <wp:posOffset>29210</wp:posOffset>
                </wp:positionV>
                <wp:extent cx="2181225" cy="20097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2181225" cy="2009775"/>
                        </a:xfrm>
                        <a:prstGeom prst="rect">
                          <a:avLst/>
                        </a:prstGeom>
                        <a:solidFill>
                          <a:sysClr val="window" lastClr="FFFFFF"/>
                        </a:solidFill>
                        <a:ln w="3175" cap="flat" cmpd="sng" algn="ctr">
                          <a:solidFill>
                            <a:sysClr val="windowText" lastClr="000000"/>
                          </a:solidFill>
                          <a:prstDash val="solid"/>
                        </a:ln>
                        <a:effectLst/>
                      </wps:spPr>
                      <wps:txbx>
                        <w:txbxContent>
                          <w:p w14:paraId="2549C459">
                            <w:pPr>
                              <w:pStyle w:val="14"/>
                              <w:numPr>
                                <w:ilvl w:val="0"/>
                                <w:numId w:val="6"/>
                              </w:numPr>
                              <w:shd w:val="clear" w:color="auto" w:fill="FFFFFF" w:themeFill="background1"/>
                              <w:rPr>
                                <w:sz w:val="24"/>
                              </w:rPr>
                            </w:pPr>
                            <w:r>
                              <w:rPr>
                                <w:sz w:val="24"/>
                              </w:rPr>
                              <w:t xml:space="preserve">Girls’ dropout rate </w:t>
                            </w:r>
                          </w:p>
                          <w:p w14:paraId="09DEAD2A">
                            <w:pPr>
                              <w:pStyle w:val="14"/>
                              <w:numPr>
                                <w:ilvl w:val="0"/>
                                <w:numId w:val="6"/>
                              </w:numPr>
                              <w:shd w:val="clear" w:color="auto" w:fill="FFFFFF" w:themeFill="background1"/>
                              <w:rPr>
                                <w:sz w:val="24"/>
                              </w:rPr>
                            </w:pPr>
                            <w:r>
                              <w:rPr>
                                <w:sz w:val="24"/>
                              </w:rPr>
                              <w:t>School attendance rate</w:t>
                            </w:r>
                          </w:p>
                          <w:p w14:paraId="20816A85">
                            <w:pPr>
                              <w:pStyle w:val="14"/>
                              <w:numPr>
                                <w:ilvl w:val="0"/>
                                <w:numId w:val="6"/>
                              </w:numPr>
                              <w:shd w:val="clear" w:color="auto" w:fill="FFFFFF" w:themeFill="background1"/>
                              <w:rPr>
                                <w:sz w:val="24"/>
                              </w:rPr>
                            </w:pPr>
                            <w:r>
                              <w:rPr>
                                <w:sz w:val="24"/>
                              </w:rPr>
                              <w:t>Academic performance</w:t>
                            </w:r>
                          </w:p>
                          <w:p w14:paraId="293F82F5">
                            <w:pPr>
                              <w:pStyle w:val="14"/>
                              <w:numPr>
                                <w:ilvl w:val="0"/>
                                <w:numId w:val="6"/>
                              </w:numPr>
                              <w:shd w:val="clear" w:color="auto" w:fill="FFFFFF" w:themeFill="background1"/>
                              <w:rPr>
                                <w:sz w:val="24"/>
                              </w:rPr>
                            </w:pPr>
                            <w:r>
                              <w:rPr>
                                <w:sz w:val="24"/>
                              </w:rPr>
                              <w:t>Transition rate</w:t>
                            </w:r>
                          </w:p>
                          <w:p w14:paraId="1A3BE005">
                            <w:pPr>
                              <w:pStyle w:val="14"/>
                              <w:numPr>
                                <w:ilvl w:val="0"/>
                                <w:numId w:val="6"/>
                              </w:numPr>
                              <w:shd w:val="clear" w:color="auto" w:fill="FFFFFF" w:themeFill="background1"/>
                              <w:rPr>
                                <w:sz w:val="24"/>
                              </w:rPr>
                            </w:pPr>
                            <w:r>
                              <w:rPr>
                                <w:sz w:val="24"/>
                              </w:rPr>
                              <w:t xml:space="preserve">Number of missed school days </w:t>
                            </w:r>
                          </w:p>
                          <w:p w14:paraId="69FB8B3D">
                            <w:pPr>
                              <w:pStyle w:val="14"/>
                              <w:numPr>
                                <w:ilvl w:val="0"/>
                                <w:numId w:val="6"/>
                              </w:numPr>
                              <w:shd w:val="clear" w:color="auto" w:fill="FFFFFF" w:themeFill="background1"/>
                              <w:rPr>
                                <w:sz w:val="24"/>
                              </w:rPr>
                            </w:pPr>
                            <w:r>
                              <w:rPr>
                                <w:sz w:val="24"/>
                              </w:rPr>
                              <w:t xml:space="preserve">Retention rate </w:t>
                            </w:r>
                          </w:p>
                          <w:p w14:paraId="3F3EB953">
                            <w:pPr>
                              <w:pStyle w:val="14"/>
                              <w:numPr>
                                <w:ilvl w:val="0"/>
                                <w:numId w:val="6"/>
                              </w:numPr>
                              <w:shd w:val="clear" w:color="auto" w:fill="FFFFFF" w:themeFill="background1"/>
                              <w:rPr>
                                <w:sz w:val="24"/>
                              </w:rPr>
                            </w:pPr>
                            <w:r>
                              <w:rPr>
                                <w:sz w:val="24"/>
                              </w:rPr>
                              <w:t>Exam scores/grades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350.8pt;margin-top:2.3pt;height:158.25pt;width:171.75pt;z-index:251659264;v-text-anchor:middle;mso-width-relative:page;mso-height-relative:page;" fillcolor="#FFFFFF" filled="t" stroked="t" coordsize="21600,21600" o:gfxdata="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&#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JVKapfaAAAACgEAAA8AAAAAAAAAAQAgAAAAIgAAAGRy&#10;cy9kb3ducmV2LnhtbFBLAQIUABQAAAAIAIdO4kBuXE1idQIAAB0FAAAOAAAAAAAAAAEAIAAAACkB&#10;AABkcnMvZTJvRG9jLnhtbFBLBQYAAAAABgAGAFkBAAAQBgAAAAA=&#10;">
                <v:fill on="t" focussize="0,0"/>
                <v:stroke weight="0.25pt" color="#000000" joinstyle="round"/>
                <v:imagedata o:title=""/>
                <o:lock v:ext="edit" aspectratio="f"/>
                <v:textbox>
                  <w:txbxContent>
                    <w:p w14:paraId="2549C459">
                      <w:pPr>
                        <w:pStyle w:val="14"/>
                        <w:numPr>
                          <w:ilvl w:val="0"/>
                          <w:numId w:val="6"/>
                        </w:numPr>
                        <w:shd w:val="clear" w:color="auto" w:fill="FFFFFF" w:themeFill="background1"/>
                        <w:rPr>
                          <w:sz w:val="24"/>
                        </w:rPr>
                      </w:pPr>
                      <w:r>
                        <w:rPr>
                          <w:sz w:val="24"/>
                        </w:rPr>
                        <w:t xml:space="preserve">Girls’ dropout rate </w:t>
                      </w:r>
                    </w:p>
                    <w:p w14:paraId="09DEAD2A">
                      <w:pPr>
                        <w:pStyle w:val="14"/>
                        <w:numPr>
                          <w:ilvl w:val="0"/>
                          <w:numId w:val="6"/>
                        </w:numPr>
                        <w:shd w:val="clear" w:color="auto" w:fill="FFFFFF" w:themeFill="background1"/>
                        <w:rPr>
                          <w:sz w:val="24"/>
                        </w:rPr>
                      </w:pPr>
                      <w:r>
                        <w:rPr>
                          <w:sz w:val="24"/>
                        </w:rPr>
                        <w:t>School attendance rate</w:t>
                      </w:r>
                    </w:p>
                    <w:p w14:paraId="20816A85">
                      <w:pPr>
                        <w:pStyle w:val="14"/>
                        <w:numPr>
                          <w:ilvl w:val="0"/>
                          <w:numId w:val="6"/>
                        </w:numPr>
                        <w:shd w:val="clear" w:color="auto" w:fill="FFFFFF" w:themeFill="background1"/>
                        <w:rPr>
                          <w:sz w:val="24"/>
                        </w:rPr>
                      </w:pPr>
                      <w:r>
                        <w:rPr>
                          <w:sz w:val="24"/>
                        </w:rPr>
                        <w:t>Academic performance</w:t>
                      </w:r>
                    </w:p>
                    <w:p w14:paraId="293F82F5">
                      <w:pPr>
                        <w:pStyle w:val="14"/>
                        <w:numPr>
                          <w:ilvl w:val="0"/>
                          <w:numId w:val="6"/>
                        </w:numPr>
                        <w:shd w:val="clear" w:color="auto" w:fill="FFFFFF" w:themeFill="background1"/>
                        <w:rPr>
                          <w:sz w:val="24"/>
                        </w:rPr>
                      </w:pPr>
                      <w:r>
                        <w:rPr>
                          <w:sz w:val="24"/>
                        </w:rPr>
                        <w:t>Transition rate</w:t>
                      </w:r>
                    </w:p>
                    <w:p w14:paraId="1A3BE005">
                      <w:pPr>
                        <w:pStyle w:val="14"/>
                        <w:numPr>
                          <w:ilvl w:val="0"/>
                          <w:numId w:val="6"/>
                        </w:numPr>
                        <w:shd w:val="clear" w:color="auto" w:fill="FFFFFF" w:themeFill="background1"/>
                        <w:rPr>
                          <w:sz w:val="24"/>
                        </w:rPr>
                      </w:pPr>
                      <w:r>
                        <w:rPr>
                          <w:sz w:val="24"/>
                        </w:rPr>
                        <w:t xml:space="preserve">Number of missed school days </w:t>
                      </w:r>
                    </w:p>
                    <w:p w14:paraId="69FB8B3D">
                      <w:pPr>
                        <w:pStyle w:val="14"/>
                        <w:numPr>
                          <w:ilvl w:val="0"/>
                          <w:numId w:val="6"/>
                        </w:numPr>
                        <w:shd w:val="clear" w:color="auto" w:fill="FFFFFF" w:themeFill="background1"/>
                        <w:rPr>
                          <w:sz w:val="24"/>
                        </w:rPr>
                      </w:pPr>
                      <w:r>
                        <w:rPr>
                          <w:sz w:val="24"/>
                        </w:rPr>
                        <w:t xml:space="preserve">Retention rate </w:t>
                      </w:r>
                    </w:p>
                    <w:p w14:paraId="3F3EB953">
                      <w:pPr>
                        <w:pStyle w:val="14"/>
                        <w:numPr>
                          <w:ilvl w:val="0"/>
                          <w:numId w:val="6"/>
                        </w:numPr>
                        <w:shd w:val="clear" w:color="auto" w:fill="FFFFFF" w:themeFill="background1"/>
                        <w:rPr>
                          <w:sz w:val="24"/>
                        </w:rPr>
                      </w:pPr>
                      <w:r>
                        <w:rPr>
                          <w:sz w:val="24"/>
                        </w:rPr>
                        <w:t>Exam scores/grades</w:t>
                      </w:r>
                    </w:p>
                  </w:txbxContent>
                </v:textbox>
              </v:rect>
            </w:pict>
          </mc:Fallback>
        </mc:AlternateContent>
      </w:r>
    </w:p>
    <w:p w14:paraId="239591A6">
      <w:pPr>
        <w:tabs>
          <w:tab w:val="left" w:pos="3674"/>
        </w:tabs>
        <w:rPr>
          <w:sz w:val="24"/>
        </w:rPr>
      </w:pPr>
    </w:p>
    <w:p w14:paraId="56F09D16">
      <w:pPr>
        <w:tabs>
          <w:tab w:val="left" w:pos="3674"/>
        </w:tabs>
        <w:rPr>
          <w:sz w:val="24"/>
        </w:rPr>
      </w:pPr>
    </w:p>
    <w:p w14:paraId="0A4536AE">
      <w:pPr>
        <w:tabs>
          <w:tab w:val="left" w:pos="2244"/>
          <w:tab w:val="left" w:pos="7920"/>
        </w:tabs>
        <w:rPr>
          <w:sz w:val="24"/>
        </w:rPr>
      </w:pPr>
      <w:r>
        <w:rPr>
          <w:rFonts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column">
                  <wp:posOffset>4271645</wp:posOffset>
                </wp:positionH>
                <wp:positionV relativeFrom="paragraph">
                  <wp:posOffset>106045</wp:posOffset>
                </wp:positionV>
                <wp:extent cx="188595" cy="0"/>
                <wp:effectExtent l="0" t="76200" r="20955" b="114300"/>
                <wp:wrapNone/>
                <wp:docPr id="19" name="Straight Arrow Connector 19"/>
                <wp:cNvGraphicFramePr/>
                <a:graphic xmlns:a="http://schemas.openxmlformats.org/drawingml/2006/main">
                  <a:graphicData uri="http://schemas.microsoft.com/office/word/2010/wordprocessingShape">
                    <wps:wsp>
                      <wps:cNvCnPr/>
                      <wps:spPr>
                        <a:xfrm>
                          <a:off x="0" y="0"/>
                          <a:ext cx="188595" cy="0"/>
                        </a:xfrm>
                        <a:prstGeom prst="straightConnector1">
                          <a:avLst/>
                        </a:prstGeom>
                        <a:noFill/>
                        <a:ln w="3175" cap="flat" cmpd="sng" algn="ctr">
                          <a:solidFill>
                            <a:sysClr val="windowText" lastClr="000000">
                              <a:shade val="95000"/>
                              <a:satMod val="105000"/>
                            </a:sysClr>
                          </a:solidFill>
                          <a:prstDash val="solid"/>
                          <a:tailEnd type="arrow"/>
                        </a:ln>
                        <a:effectLst/>
                      </wps:spPr>
                      <wps:bodyPr/>
                    </wps:wsp>
                  </a:graphicData>
                </a:graphic>
              </wp:anchor>
            </w:drawing>
          </mc:Choice>
          <mc:Fallback>
            <w:pict>
              <v:shape id="_x0000_s1026" o:spid="_x0000_s1026" o:spt="32" type="#_x0000_t32" style="position:absolute;left:0pt;margin-left:336.35pt;margin-top:8.35pt;height:0pt;width:14.85pt;z-index:251663360;mso-width-relative:page;mso-height-relative:page;" filled="f" stroked="t" coordsize="21600,21600" o:gfxdata="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HDoc2NgAAAAJAQAADwAAAAAAAAABACAAAAAiAAAA&#10;ZHJzL2Rvd25yZXYueG1sUEsBAhQAFAAAAAgAh07iQMu/N3YHAgAAJQQAAA4AAAAAAAAAAQAgAAAA&#10;JwEAAGRycy9lMm9Eb2MueG1sUEsFBgAAAAAGAAYAWQEAAKAFAAAAAA==&#10;">
                <v:fill on="f" focussize="0,0"/>
                <v:stroke weight="0.25pt" color="#000000" joinstyle="round" endarrow="open"/>
                <v:imagedata o:title=""/>
                <o:lock v:ext="edit" aspectratio="f"/>
              </v:shape>
            </w:pict>
          </mc:Fallback>
        </mc:AlternateContent>
      </w:r>
      <w:r>
        <w:rPr>
          <w:sz w:val="24"/>
        </w:rPr>
        <w:t xml:space="preserve">            </w:t>
      </w:r>
    </w:p>
    <w:p w14:paraId="6AAB9C33">
      <w:pPr>
        <w:tabs>
          <w:tab w:val="left" w:pos="2244"/>
          <w:tab w:val="left" w:pos="7920"/>
        </w:tabs>
        <w:rPr>
          <w:sz w:val="24"/>
        </w:rPr>
      </w:pPr>
      <w:r>
        <w:rPr>
          <w:rFonts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1544320</wp:posOffset>
                </wp:positionH>
                <wp:positionV relativeFrom="paragraph">
                  <wp:posOffset>80645</wp:posOffset>
                </wp:positionV>
                <wp:extent cx="314960" cy="0"/>
                <wp:effectExtent l="0" t="76200" r="27940" b="114300"/>
                <wp:wrapNone/>
                <wp:docPr id="16" name="Straight Arrow Connector 16"/>
                <wp:cNvGraphicFramePr/>
                <a:graphic xmlns:a="http://schemas.openxmlformats.org/drawingml/2006/main">
                  <a:graphicData uri="http://schemas.microsoft.com/office/word/2010/wordprocessingShape">
                    <wps:wsp>
                      <wps:cNvCnPr/>
                      <wps:spPr>
                        <a:xfrm>
                          <a:off x="0" y="0"/>
                          <a:ext cx="314960" cy="0"/>
                        </a:xfrm>
                        <a:prstGeom prst="straightConnector1">
                          <a:avLst/>
                        </a:prstGeom>
                        <a:noFill/>
                        <a:ln w="3175" cap="flat" cmpd="sng" algn="ctr">
                          <a:solidFill>
                            <a:sysClr val="windowText" lastClr="000000">
                              <a:shade val="95000"/>
                              <a:satMod val="105000"/>
                            </a:sysClr>
                          </a:solidFill>
                          <a:prstDash val="solid"/>
                          <a:tailEnd type="arrow"/>
                        </a:ln>
                        <a:effectLst/>
                      </wps:spPr>
                      <wps:bodyPr/>
                    </wps:wsp>
                  </a:graphicData>
                </a:graphic>
              </wp:anchor>
            </w:drawing>
          </mc:Choice>
          <mc:Fallback>
            <w:pict>
              <v:shape id="_x0000_s1026" o:spid="_x0000_s1026" o:spt="32" type="#_x0000_t32" style="position:absolute;left:0pt;margin-left:121.6pt;margin-top:6.35pt;height:0pt;width:24.8pt;z-index:251662336;mso-width-relative:page;mso-height-relative:page;" filled="f" stroked="t" coordsize="21600,21600" o:gfxdata="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&#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0/iITXAAAACQEAAA8AAAAAAAAAAQAgAAAAIgAAAGRy&#10;cy9kb3ducmV2LnhtbFBLAQIUABQAAAAIAIdO4kDfCdbuBgIAACUEAAAOAAAAAAAAAAEAIAAAACYB&#10;AABkcnMvZTJvRG9jLnhtbFBLBQYAAAAABgAGAFkBAACeBQAAAAA=&#10;">
                <v:fill on="f" focussize="0,0"/>
                <v:stroke weight="0.25pt" color="#000000" joinstyle="round" endarrow="open"/>
                <v:imagedata o:title=""/>
                <o:lock v:ext="edit" aspectratio="f"/>
              </v:shape>
            </w:pict>
          </mc:Fallback>
        </mc:AlternateContent>
      </w:r>
    </w:p>
    <w:p w14:paraId="67C5E150">
      <w:pPr>
        <w:tabs>
          <w:tab w:val="left" w:pos="2244"/>
          <w:tab w:val="left" w:pos="7920"/>
        </w:tabs>
        <w:rPr>
          <w:sz w:val="24"/>
        </w:rPr>
      </w:pPr>
      <w:r>
        <w:rPr>
          <w:sz w:val="24"/>
        </w:rPr>
        <mc:AlternateContent>
          <mc:Choice Requires="wps">
            <w:drawing>
              <wp:anchor distT="0" distB="0" distL="114300" distR="114300" simplePos="0" relativeHeight="251667456" behindDoc="0" locked="0" layoutInCell="1" allowOverlap="1">
                <wp:simplePos x="0" y="0"/>
                <wp:positionH relativeFrom="column">
                  <wp:posOffset>5054600</wp:posOffset>
                </wp:positionH>
                <wp:positionV relativeFrom="paragraph">
                  <wp:posOffset>332105</wp:posOffset>
                </wp:positionV>
                <wp:extent cx="0" cy="706755"/>
                <wp:effectExtent l="95250" t="38100" r="57150" b="17145"/>
                <wp:wrapNone/>
                <wp:docPr id="14" name="Straight Arrow Connector 14"/>
                <wp:cNvGraphicFramePr/>
                <a:graphic xmlns:a="http://schemas.openxmlformats.org/drawingml/2006/main">
                  <a:graphicData uri="http://schemas.microsoft.com/office/word/2010/wordprocessingShape">
                    <wps:wsp>
                      <wps:cNvCnPr/>
                      <wps:spPr>
                        <a:xfrm flipH="1" flipV="1">
                          <a:off x="0" y="0"/>
                          <a:ext cx="0" cy="706755"/>
                        </a:xfrm>
                        <a:prstGeom prst="straightConnector1">
                          <a:avLst/>
                        </a:prstGeom>
                        <a:ln w="3175">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 y;margin-left:398pt;margin-top:26.15pt;height:55.65pt;width:0pt;z-index:251667456;mso-width-relative:page;mso-height-relative:page;" filled="f" stroked="t" coordsize="21600,21600" o:gfxdata="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11brjYAAAACgEAAA8AAAAAAAAAAQAgAAAAIgAAAGRycy9kb3du&#10;cmV2LnhtbFBLAQIUABQAAAAIAIdO4kAPyEbn/wEAABgEAAAOAAAAAAAAAAEAIAAAACcBAABkcnMv&#10;ZTJvRG9jLnhtbFBLBQYAAAAABgAGAFkBAACYBQAAAAA=&#10;">
                <v:fill on="f" focussize="0,0"/>
                <v:stroke weight="0.25pt" color="#000000 [3200]" joinstyle="round" endarrow="open"/>
                <v:imagedata o:title=""/>
                <o:lock v:ext="edit" aspectratio="f"/>
              </v:shape>
            </w:pict>
          </mc:Fallback>
        </mc:AlternateContent>
      </w:r>
    </w:p>
    <w:p w14:paraId="226EFE2E">
      <w:pPr>
        <w:tabs>
          <w:tab w:val="left" w:pos="2244"/>
          <w:tab w:val="left" w:pos="7920"/>
        </w:tabs>
        <w:rPr>
          <w:sz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473710</wp:posOffset>
                </wp:positionH>
                <wp:positionV relativeFrom="paragraph">
                  <wp:posOffset>706755</wp:posOffset>
                </wp:positionV>
                <wp:extent cx="4580255" cy="8890"/>
                <wp:effectExtent l="0" t="0" r="10795" b="29210"/>
                <wp:wrapNone/>
                <wp:docPr id="11" name="Straight Connector 11"/>
                <wp:cNvGraphicFramePr/>
                <a:graphic xmlns:a="http://schemas.openxmlformats.org/drawingml/2006/main">
                  <a:graphicData uri="http://schemas.microsoft.com/office/word/2010/wordprocessingShape">
                    <wps:wsp>
                      <wps:cNvCnPr/>
                      <wps:spPr>
                        <a:xfrm flipV="1">
                          <a:off x="0" y="0"/>
                          <a:ext cx="4580255" cy="8890"/>
                        </a:xfrm>
                        <a:prstGeom prst="line">
                          <a:avLst/>
                        </a:prstGeom>
                        <a:noFill/>
                        <a:ln w="317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flip:y;margin-left:37.3pt;margin-top:55.65pt;height:0.7pt;width:360.65pt;z-index:251666432;mso-width-relative:page;mso-height-relative:page;" filled="f" stroked="t" coordsize="21600,21600" o:gfxdata="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wpnFN1wAAAAoBAAAPAAAAAAAAAAEAIAAAACIAAABkcnMvZG93bnJl&#10;di54bWxQSwECFAAUAAAACACHTuJA8StWJf4BAAAGBAAADgAAAAAAAAABACAAAAAmAQAAZHJzL2Uy&#10;b0RvYy54bWxQSwUGAAAAAAYABgBZAQAAlgUAAAAA&#10;">
                <v:fill on="f" focussize="0,0"/>
                <v:stroke weight="0.25pt" color="#000000" joinstyle="round"/>
                <v:imagedata o:title=""/>
                <o:lock v:ext="edit" aspectratio="f"/>
              </v:lin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474345</wp:posOffset>
                </wp:positionH>
                <wp:positionV relativeFrom="paragraph">
                  <wp:posOffset>560705</wp:posOffset>
                </wp:positionV>
                <wp:extent cx="0" cy="146685"/>
                <wp:effectExtent l="0" t="0" r="19050" b="25400"/>
                <wp:wrapNone/>
                <wp:docPr id="4" name="Straight Connector 4"/>
                <wp:cNvGraphicFramePr/>
                <a:graphic xmlns:a="http://schemas.openxmlformats.org/drawingml/2006/main">
                  <a:graphicData uri="http://schemas.microsoft.com/office/word/2010/wordprocessingShape">
                    <wps:wsp>
                      <wps:cNvCnPr/>
                      <wps:spPr>
                        <a:xfrm>
                          <a:off x="0" y="0"/>
                          <a:ext cx="0" cy="146649"/>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7.35pt;margin-top:44.15pt;height:11.55pt;width:0pt;z-index:251665408;mso-width-relative:page;mso-height-relative:page;" filled="f" stroked="t" coordsize="21600,21600" o:gfxdata="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GPdXK1wAAAAgBAAAPAAAA&#10;AAAAAAEAIAAAACIAAABkcnMvZG93bnJldi54bWxQSwECFAAUAAAACACHTuJAJFZPEd0BAADVAwAA&#10;DgAAAAAAAAABACAAAAAmAQAAZHJzL2Uyb0RvYy54bWxQSwUGAAAAAAYABgBZAQAAdQUAAAAA&#10;">
                <v:fill on="f" focussize="0,0"/>
                <v:stroke weight="0.25pt" color="#000000 [3200]" joinstyle="round"/>
                <v:imagedata o:title=""/>
                <o:lock v:ext="edit" aspectratio="f"/>
              </v:lin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1543685</wp:posOffset>
                </wp:positionH>
                <wp:positionV relativeFrom="paragraph">
                  <wp:posOffset>707390</wp:posOffset>
                </wp:positionV>
                <wp:extent cx="2294890" cy="354330"/>
                <wp:effectExtent l="0" t="0" r="10795" b="27305"/>
                <wp:wrapNone/>
                <wp:docPr id="2" name="Rectangle 2"/>
                <wp:cNvGraphicFramePr/>
                <a:graphic xmlns:a="http://schemas.openxmlformats.org/drawingml/2006/main">
                  <a:graphicData uri="http://schemas.microsoft.com/office/word/2010/wordprocessingShape">
                    <wps:wsp>
                      <wps:cNvSpPr/>
                      <wps:spPr>
                        <a:xfrm>
                          <a:off x="0" y="0"/>
                          <a:ext cx="2294627" cy="354306"/>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232ACE15">
                            <w:pPr>
                              <w:jc w:val="center"/>
                              <w:rPr>
                                <w:i/>
                              </w:rPr>
                            </w:pPr>
                            <w:r>
                              <w:rPr>
                                <w:i/>
                              </w:rPr>
                              <w:t>Fig.1: Conceptual Framework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21.55pt;margin-top:55.7pt;height:27.9pt;width:180.7pt;z-index:251664384;v-text-anchor:middle;mso-width-relative:page;mso-height-relative:page;" fillcolor="#FFFFFF [3201]" filled="t" stroked="t" coordsize="21600,21600" o:gfxdata="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oRVG/1AAA&#10;AAsBAAAPAAAAAAAAAAEAIAAAACIAAABkcnMvZG93bnJldi54bWxQSwECFAAUAAAACACHTuJAFKCq&#10;1FsCAADqBAAADgAAAAAAAAABACAAAAAjAQAAZHJzL2Uyb0RvYy54bWxQSwUGAAAAAAYABgBZAQAA&#10;8AUAAAAA&#10;">
                <v:fill on="t" focussize="0,0"/>
                <v:stroke weight="0.25pt" color="#FFFFFF [3212]" joinstyle="round"/>
                <v:imagedata o:title=""/>
                <o:lock v:ext="edit" aspectratio="f"/>
                <v:textbox>
                  <w:txbxContent>
                    <w:p w14:paraId="232ACE15">
                      <w:pPr>
                        <w:jc w:val="center"/>
                        <w:rPr>
                          <w:i/>
                        </w:rPr>
                      </w:pPr>
                      <w:r>
                        <w:rPr>
                          <w:i/>
                        </w:rPr>
                        <w:t>Fig.1: Conceptual Framework</w:t>
                      </w:r>
                    </w:p>
                  </w:txbxContent>
                </v:textbox>
              </v:rect>
            </w:pict>
          </mc:Fallback>
        </mc:AlternateContent>
      </w:r>
    </w:p>
    <w:p w14:paraId="5F935AAA">
      <w:pPr>
        <w:pStyle w:val="14"/>
        <w:widowControl w:val="0"/>
        <w:numPr>
          <w:ilvl w:val="0"/>
          <w:numId w:val="1"/>
        </w:numPr>
        <w:spacing w:after="0" w:line="240" w:lineRule="auto"/>
        <w:ind w:left="360"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ch</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M</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ogy</w:t>
      </w:r>
    </w:p>
    <w:p w14:paraId="724A609F">
      <w:pPr>
        <w:pStyle w:val="14"/>
        <w:widowControl w:val="0"/>
        <w:numPr>
          <w:ilvl w:val="1"/>
          <w:numId w:val="7"/>
        </w:numPr>
        <w:spacing w:after="0" w:line="240" w:lineRule="auto"/>
        <w:ind w:left="1080"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R</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ch</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Me</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od</w:t>
      </w:r>
    </w:p>
    <w:p w14:paraId="659A6D4D">
      <w:pPr>
        <w:widowControl w:val="0"/>
        <w:spacing w:after="0" w:line="240" w:lineRule="auto"/>
        <w:ind w:right="532"/>
        <w:rPr>
          <w:rFonts w:ascii="Times New Roman" w:hAnsi="Times New Roman" w:eastAsia="Times New Roman" w:cs="Times New Roman"/>
          <w:color w:val="282425"/>
          <w:spacing w:val="-2"/>
          <w:sz w:val="24"/>
          <w:szCs w:val="24"/>
        </w:rPr>
      </w:pPr>
    </w:p>
    <w:p w14:paraId="2205E7EB">
      <w:pPr>
        <w:widowControl w:val="0"/>
        <w:spacing w:after="0" w:line="240" w:lineRule="auto"/>
        <w:ind w:right="532"/>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 xml:space="preserve">This study will employ a mixed methods approach, combining both qualitative and quantitative techniques to gain a comprehensive understanding of how domestic chores influence dropout rates among girls in </w:t>
      </w:r>
      <w:r>
        <w:rPr>
          <w:rFonts w:ascii="Times New Roman" w:hAnsi="Times New Roman" w:eastAsia="Times New Roman" w:cs="Times New Roman"/>
          <w:color w:val="282425"/>
          <w:spacing w:val="-2"/>
          <w:sz w:val="24"/>
          <w:szCs w:val="24"/>
          <w:lang w:val="en-US"/>
        </w:rPr>
        <w:t>public junior schools</w:t>
      </w:r>
      <w:r>
        <w:rPr>
          <w:rFonts w:ascii="Times New Roman" w:hAnsi="Times New Roman" w:eastAsia="Times New Roman" w:cs="Times New Roman"/>
          <w:color w:val="282425"/>
          <w:spacing w:val="-2"/>
          <w:sz w:val="24"/>
          <w:szCs w:val="24"/>
        </w:rPr>
        <w:t xml:space="preserve"> in Lagdera Sub-County. The quantitative aspect will involve structured questionnaires administered to students to gather measurable data, while the qualitative component will include interviews with head teachers and parents to explore perceptions, cultural influences, and lived experiences. This methodological triangulation enhances the reliability and depth of the findings, allowing for both statistical analysis and thematic interpretation.</w:t>
      </w:r>
    </w:p>
    <w:p w14:paraId="787CAB3A">
      <w:pPr>
        <w:widowControl w:val="0"/>
        <w:spacing w:after="0" w:line="240" w:lineRule="auto"/>
        <w:ind w:right="532"/>
        <w:rPr>
          <w:rFonts w:ascii="Times New Roman" w:hAnsi="Times New Roman" w:eastAsia="Times New Roman" w:cs="Times New Roman"/>
          <w:color w:val="282425"/>
          <w:spacing w:val="-2"/>
          <w:sz w:val="24"/>
          <w:szCs w:val="24"/>
        </w:rPr>
      </w:pPr>
    </w:p>
    <w:p w14:paraId="4289EF75">
      <w:pPr>
        <w:pStyle w:val="14"/>
        <w:widowControl w:val="0"/>
        <w:numPr>
          <w:ilvl w:val="1"/>
          <w:numId w:val="7"/>
        </w:numPr>
        <w:spacing w:after="0" w:line="240" w:lineRule="auto"/>
        <w:ind w:left="720"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rc</w:t>
      </w:r>
      <w:r>
        <w:rPr>
          <w:rFonts w:ascii="Times New Roman" w:hAnsi="Times New Roman" w:eastAsia="Times New Roman" w:cs="Times New Roman"/>
          <w:b/>
          <w:bCs/>
          <w:color w:val="282425"/>
          <w:sz w:val="24"/>
          <w:szCs w:val="24"/>
        </w:rPr>
        <w:t>h</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z w:val="24"/>
          <w:szCs w:val="24"/>
        </w:rPr>
        <w:t>D</w:t>
      </w:r>
      <w:r>
        <w:rPr>
          <w:rFonts w:ascii="Times New Roman" w:hAnsi="Times New Roman" w:eastAsia="Times New Roman" w:cs="Times New Roman"/>
          <w:b/>
          <w:bCs/>
          <w:color w:val="282425"/>
          <w:spacing w:val="-1"/>
          <w:sz w:val="24"/>
          <w:szCs w:val="24"/>
        </w:rPr>
        <w:t>es</w:t>
      </w:r>
      <w:r>
        <w:rPr>
          <w:rFonts w:ascii="Times New Roman" w:hAnsi="Times New Roman" w:eastAsia="Times New Roman" w:cs="Times New Roman"/>
          <w:b/>
          <w:bCs/>
          <w:color w:val="282425"/>
          <w:sz w:val="24"/>
          <w:szCs w:val="24"/>
        </w:rPr>
        <w:t>ign</w:t>
      </w:r>
    </w:p>
    <w:p w14:paraId="78513B3C">
      <w:pPr>
        <w:spacing w:after="34"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study will adopt a descriptive survey design, which is suitable for collecting information about existing conditions, attitudes, and practices without manipulating variables. This design will help in identifying and describing the types and effects of domestic chores on girls' education and how these contribute to dropout rates. It allows for the collection of data from a large population within Lagdera Sub-County, providing both breadth and depth of insight into the phenomenon under investigation.</w:t>
      </w:r>
    </w:p>
    <w:p w14:paraId="09162259">
      <w:pPr>
        <w:spacing w:after="34" w:line="240" w:lineRule="auto"/>
        <w:ind w:left="360"/>
        <w:rPr>
          <w:rFonts w:ascii="Times New Roman" w:hAnsi="Times New Roman" w:eastAsia="Times New Roman" w:cs="Times New Roman"/>
          <w:sz w:val="24"/>
          <w:szCs w:val="24"/>
        </w:rPr>
      </w:pPr>
    </w:p>
    <w:p w14:paraId="3612B4F9">
      <w:pPr>
        <w:pStyle w:val="14"/>
        <w:widowControl w:val="0"/>
        <w:numPr>
          <w:ilvl w:val="1"/>
          <w:numId w:val="7"/>
        </w:numPr>
        <w:tabs>
          <w:tab w:val="left" w:pos="782"/>
        </w:tabs>
        <w:spacing w:after="0" w:line="240" w:lineRule="auto"/>
        <w:ind w:left="360"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z w:val="24"/>
          <w:szCs w:val="24"/>
        </w:rPr>
        <w:t>on</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z w:val="24"/>
          <w:szCs w:val="24"/>
        </w:rPr>
        <w:t xml:space="preserve">of </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p>
    <w:p w14:paraId="124F48F1">
      <w:pPr>
        <w:widowControl w:val="0"/>
        <w:spacing w:after="0" w:line="240" w:lineRule="auto"/>
        <w:ind w:right="967"/>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 xml:space="preserve">The study will be conducted in Lagdera Sub-County, Garissa County, Kenya. This region is characterized by arid climatic conditions, low school enrollment and retention rates among girls, and a strong presence of traditional socio-cultural norms that often burden girls with domestic responsibilities. These factors make Lagdera a relevant and critical setting for examining how domestic chores influence girls’ dropout rates in </w:t>
      </w:r>
      <w:r>
        <w:rPr>
          <w:rFonts w:ascii="Times New Roman" w:hAnsi="Times New Roman" w:eastAsia="Times New Roman" w:cs="Times New Roman"/>
          <w:color w:val="282425"/>
          <w:spacing w:val="2"/>
          <w:sz w:val="24"/>
          <w:szCs w:val="24"/>
          <w:lang w:val="en-US"/>
        </w:rPr>
        <w:t>public junior schools</w:t>
      </w:r>
      <w:r>
        <w:rPr>
          <w:rFonts w:ascii="Times New Roman" w:hAnsi="Times New Roman" w:eastAsia="Times New Roman" w:cs="Times New Roman"/>
          <w:color w:val="282425"/>
          <w:spacing w:val="2"/>
          <w:sz w:val="24"/>
          <w:szCs w:val="24"/>
        </w:rPr>
        <w:t>.</w:t>
      </w:r>
    </w:p>
    <w:p w14:paraId="1D24CB3B">
      <w:pPr>
        <w:widowControl w:val="0"/>
        <w:spacing w:after="0" w:line="240" w:lineRule="auto"/>
        <w:ind w:right="967"/>
        <w:jc w:val="both"/>
        <w:rPr>
          <w:rFonts w:ascii="Times New Roman" w:hAnsi="Times New Roman" w:eastAsia="Times New Roman" w:cs="Times New Roman"/>
          <w:color w:val="282425"/>
          <w:spacing w:val="2"/>
          <w:sz w:val="24"/>
          <w:szCs w:val="24"/>
        </w:rPr>
      </w:pPr>
    </w:p>
    <w:p w14:paraId="44766CE6">
      <w:pPr>
        <w:pStyle w:val="14"/>
        <w:widowControl w:val="0"/>
        <w:numPr>
          <w:ilvl w:val="1"/>
          <w:numId w:val="7"/>
        </w:numPr>
        <w:spacing w:before="5" w:after="0" w:line="240" w:lineRule="auto"/>
        <w:ind w:left="360"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2"/>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pul</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i</w:t>
      </w:r>
      <w:r>
        <w:rPr>
          <w:rFonts w:ascii="Times New Roman" w:hAnsi="Times New Roman" w:eastAsia="Times New Roman" w:cs="Times New Roman"/>
          <w:b/>
          <w:bCs/>
          <w:color w:val="282425"/>
          <w:spacing w:val="-3"/>
          <w:sz w:val="24"/>
          <w:szCs w:val="24"/>
        </w:rPr>
        <w:t>o</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 xml:space="preserve">of </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get</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2"/>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2"/>
          <w:sz w:val="24"/>
          <w:szCs w:val="24"/>
        </w:rPr>
        <w:t>p</w:t>
      </w:r>
      <w:r>
        <w:rPr>
          <w:rFonts w:ascii="Times New Roman" w:hAnsi="Times New Roman" w:eastAsia="Times New Roman" w:cs="Times New Roman"/>
          <w:b/>
          <w:bCs/>
          <w:color w:val="282425"/>
          <w:sz w:val="24"/>
          <w:szCs w:val="24"/>
        </w:rPr>
        <w:t>ula</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3"/>
          <w:sz w:val="24"/>
          <w:szCs w:val="24"/>
        </w:rPr>
        <w:t>n</w:t>
      </w:r>
      <w:r>
        <w:rPr>
          <w:rFonts w:ascii="Times New Roman" w:hAnsi="Times New Roman" w:eastAsia="Times New Roman" w:cs="Times New Roman"/>
          <w:b/>
          <w:bCs/>
          <w:color w:val="282425"/>
          <w:sz w:val="24"/>
          <w:szCs w:val="24"/>
        </w:rPr>
        <w:t>)</w:t>
      </w:r>
    </w:p>
    <w:p w14:paraId="6A1E2DDE">
      <w:pPr>
        <w:widowControl w:val="0"/>
        <w:spacing w:before="5"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The target population comprises Grade 7, 8, and 9 girls enrolled in </w:t>
      </w:r>
      <w:r>
        <w:rPr>
          <w:rFonts w:ascii="Times New Roman" w:hAnsi="Times New Roman" w:eastAsia="Times New Roman" w:cs="Times New Roman"/>
          <w:color w:val="282425"/>
          <w:sz w:val="24"/>
          <w:szCs w:val="24"/>
          <w:lang w:val="en-US"/>
        </w:rPr>
        <w:t>public junior schools</w:t>
      </w:r>
      <w:r>
        <w:rPr>
          <w:rFonts w:ascii="Times New Roman" w:hAnsi="Times New Roman" w:eastAsia="Times New Roman" w:cs="Times New Roman"/>
          <w:color w:val="282425"/>
          <w:sz w:val="24"/>
          <w:szCs w:val="24"/>
        </w:rPr>
        <w:t xml:space="preserve"> in Lagdera Sub-County, along with head teachers, class teachers and parents or guardians of these learners. This group is ideal for providing direct and indirect insights into how domestic chores affect school attendance, academic performance, and eventual dropout. The population selection is guided by the need to understand the issue from the perspectives of those most affected and those directly involved in the girls’ education and upbringing.</w:t>
      </w:r>
    </w:p>
    <w:p w14:paraId="1343E83E">
      <w:pPr>
        <w:widowControl w:val="0"/>
        <w:spacing w:before="5" w:after="0" w:line="240" w:lineRule="auto"/>
        <w:ind w:right="-20"/>
        <w:rPr>
          <w:rFonts w:ascii="Times New Roman" w:hAnsi="Times New Roman" w:eastAsia="Times New Roman" w:cs="Times New Roman"/>
          <w:color w:val="282425"/>
          <w:sz w:val="24"/>
          <w:szCs w:val="24"/>
        </w:rPr>
      </w:pPr>
    </w:p>
    <w:p w14:paraId="08059080">
      <w:pPr>
        <w:pStyle w:val="14"/>
        <w:widowControl w:val="0"/>
        <w:numPr>
          <w:ilvl w:val="1"/>
          <w:numId w:val="7"/>
        </w:numPr>
        <w:spacing w:after="0" w:line="240" w:lineRule="auto"/>
        <w:ind w:left="360"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m</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l</w:t>
      </w:r>
      <w:r>
        <w:rPr>
          <w:rFonts w:ascii="Times New Roman" w:hAnsi="Times New Roman" w:eastAsia="Times New Roman" w:cs="Times New Roman"/>
          <w:b/>
          <w:bCs/>
          <w:color w:val="282425"/>
          <w:spacing w:val="1"/>
          <w:sz w:val="24"/>
          <w:szCs w:val="24"/>
        </w:rPr>
        <w:t>in</w:t>
      </w:r>
      <w:r>
        <w:rPr>
          <w:rFonts w:ascii="Times New Roman" w:hAnsi="Times New Roman" w:eastAsia="Times New Roman" w:cs="Times New Roman"/>
          <w:b/>
          <w:bCs/>
          <w:color w:val="282425"/>
          <w:sz w:val="24"/>
          <w:szCs w:val="24"/>
        </w:rPr>
        <w:t>g</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ro</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ed</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re</w:t>
      </w:r>
    </w:p>
    <w:p w14:paraId="3AA60DCC">
      <w:pPr>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The study will utilize a purposive and stratified random sampling technique. Purposive sampling will be used to select head teachers and parents who are knowledgeable about school attendance and dropout trends. Stratified random sampling will be applied to ensure representation of girls across Grades 7, 8, and 9 in </w:t>
      </w:r>
      <w:r>
        <w:rPr>
          <w:rFonts w:ascii="Times New Roman" w:hAnsi="Times New Roman" w:eastAsia="Times New Roman" w:cs="Times New Roman"/>
          <w:color w:val="282425"/>
          <w:sz w:val="24"/>
          <w:szCs w:val="24"/>
          <w:lang w:val="en-US"/>
        </w:rPr>
        <w:t>public junior schools</w:t>
      </w:r>
      <w:r>
        <w:rPr>
          <w:rFonts w:ascii="Times New Roman" w:hAnsi="Times New Roman" w:eastAsia="Times New Roman" w:cs="Times New Roman"/>
          <w:color w:val="282425"/>
          <w:sz w:val="24"/>
          <w:szCs w:val="24"/>
        </w:rPr>
        <w:t>. Schools will first be categorized based on location and size, after which students will be randomly selected from each stratum. This approach ensures diversity and representativeness across the study population.</w:t>
      </w:r>
    </w:p>
    <w:p w14:paraId="1B86F0F1">
      <w:pPr>
        <w:rPr>
          <w:rFonts w:ascii="Times New Roman" w:hAnsi="Times New Roman" w:eastAsia="Times New Roman" w:cs="Times New Roman"/>
          <w:color w:val="282425"/>
          <w:sz w:val="24"/>
          <w:szCs w:val="24"/>
        </w:rPr>
      </w:pPr>
    </w:p>
    <w:p w14:paraId="03A171A9">
      <w:pPr>
        <w:pStyle w:val="14"/>
        <w:widowControl w:val="0"/>
        <w:numPr>
          <w:ilvl w:val="1"/>
          <w:numId w:val="7"/>
        </w:numPr>
        <w:spacing w:after="0" w:line="240" w:lineRule="auto"/>
        <w:ind w:left="360" w:right="-20"/>
        <w:rPr>
          <w:rFonts w:ascii="Times New Roman" w:hAnsi="Times New Roman" w:eastAsia="Times New Roman" w:cs="Times New Roman"/>
          <w:sz w:val="24"/>
          <w:szCs w:val="24"/>
        </w:rPr>
      </w:pP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mpl</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Size</w:t>
      </w:r>
    </w:p>
    <w:p w14:paraId="54524172">
      <w:pPr>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 xml:space="preserve">The study will target a sample of approximately 176 participants, drawn as follows: 120 girls from Grades 7, 8, and 9 in selected </w:t>
      </w:r>
      <w:r>
        <w:rPr>
          <w:rFonts w:ascii="Times New Roman" w:hAnsi="Times New Roman" w:eastAsia="SimSun" w:cs="Times New Roman"/>
          <w:sz w:val="24"/>
          <w:szCs w:val="24"/>
          <w:lang w:val="en-US" w:eastAsia="zh-CN"/>
        </w:rPr>
        <w:t>public junior schools</w:t>
      </w:r>
      <w:r>
        <w:rPr>
          <w:rFonts w:ascii="Times New Roman" w:hAnsi="Times New Roman" w:eastAsia="SimSun" w:cs="Times New Roman"/>
          <w:sz w:val="24"/>
          <w:szCs w:val="24"/>
          <w:lang w:eastAsia="zh-CN"/>
        </w:rPr>
        <w:t>, 24 parents or guardians, 24 class teachers and 8 head teachers. The sample size is determined based on the population distribution within Lagdera Sub-County and guided by Mugenda and Mugenda’s (2003) recommendation that a sample size of at least 20-30% of the accessible population is adequate for social science research. This study will use a 30% size to ensure sufficient data for analysis while remaining manageable in scope.</w:t>
      </w:r>
    </w:p>
    <w:p w14:paraId="650EB526">
      <w:pPr>
        <w:spacing w:before="100" w:beforeAutospacing="1" w:after="0" w:line="360" w:lineRule="auto"/>
        <w:ind w:left="1440"/>
        <w:rPr>
          <w:rFonts w:ascii="Times New Roman" w:hAnsi="Times New Roman" w:eastAsia="Calibri" w:cs="Times New Roman"/>
          <w:i/>
          <w:sz w:val="24"/>
          <w:szCs w:val="24"/>
        </w:rPr>
      </w:pPr>
      <w:r>
        <w:rPr>
          <w:rFonts w:ascii="Times New Roman" w:hAnsi="Times New Roman" w:eastAsia="Calibri" w:cs="Times New Roman"/>
          <w:sz w:val="24"/>
          <w:szCs w:val="24"/>
        </w:rPr>
        <w:t>Table 1:</w:t>
      </w:r>
      <w:r>
        <w:rPr>
          <w:rFonts w:ascii="Times New Roman" w:hAnsi="Times New Roman" w:eastAsia="Calibri" w:cs="Times New Roman"/>
          <w:i/>
          <w:sz w:val="24"/>
          <w:szCs w:val="24"/>
        </w:rPr>
        <w:t xml:space="preserve"> Sample Size for the Study</w:t>
      </w:r>
    </w:p>
    <w:tbl>
      <w:tblPr>
        <w:tblStyle w:val="8"/>
        <w:tblW w:w="0" w:type="auto"/>
        <w:tblInd w:w="144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tblGrid>
      <w:tr w14:paraId="71469EB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37" w:type="dxa"/>
            <w:tcBorders>
              <w:top w:val="single" w:color="auto" w:sz="4" w:space="0"/>
              <w:left w:val="nil"/>
              <w:bottom w:val="nil"/>
              <w:right w:val="nil"/>
            </w:tcBorders>
          </w:tcPr>
          <w:p w14:paraId="574C1649">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Category</w:t>
            </w:r>
          </w:p>
        </w:tc>
        <w:tc>
          <w:tcPr>
            <w:tcW w:w="2337" w:type="dxa"/>
            <w:tcBorders>
              <w:top w:val="single" w:color="auto" w:sz="4" w:space="0"/>
              <w:left w:val="nil"/>
              <w:bottom w:val="nil"/>
              <w:right w:val="nil"/>
            </w:tcBorders>
          </w:tcPr>
          <w:p w14:paraId="7456F117">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Population (N)</w:t>
            </w:r>
          </w:p>
        </w:tc>
        <w:tc>
          <w:tcPr>
            <w:tcW w:w="2338" w:type="dxa"/>
            <w:tcBorders>
              <w:top w:val="single" w:color="auto" w:sz="4" w:space="0"/>
              <w:left w:val="nil"/>
              <w:bottom w:val="nil"/>
              <w:right w:val="nil"/>
            </w:tcBorders>
          </w:tcPr>
          <w:p w14:paraId="0AC954CC">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Sample Size (n)</w:t>
            </w:r>
          </w:p>
        </w:tc>
      </w:tr>
      <w:tr w14:paraId="3E8451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37" w:type="dxa"/>
            <w:tcBorders>
              <w:top w:val="nil"/>
              <w:left w:val="nil"/>
              <w:bottom w:val="nil"/>
              <w:right w:val="nil"/>
            </w:tcBorders>
          </w:tcPr>
          <w:p w14:paraId="69CBF9E8">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Schools</w:t>
            </w:r>
          </w:p>
        </w:tc>
        <w:tc>
          <w:tcPr>
            <w:tcW w:w="2337" w:type="dxa"/>
            <w:tcBorders>
              <w:top w:val="nil"/>
              <w:left w:val="nil"/>
              <w:bottom w:val="nil"/>
              <w:right w:val="nil"/>
            </w:tcBorders>
          </w:tcPr>
          <w:p w14:paraId="56C822BA">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25</w:t>
            </w:r>
          </w:p>
        </w:tc>
        <w:tc>
          <w:tcPr>
            <w:tcW w:w="2338" w:type="dxa"/>
            <w:tcBorders>
              <w:top w:val="nil"/>
              <w:left w:val="nil"/>
              <w:bottom w:val="nil"/>
              <w:right w:val="nil"/>
            </w:tcBorders>
          </w:tcPr>
          <w:p w14:paraId="3245CE4A">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8</w:t>
            </w:r>
          </w:p>
        </w:tc>
      </w:tr>
      <w:tr w14:paraId="771A26E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37" w:type="dxa"/>
            <w:tcBorders>
              <w:top w:val="nil"/>
              <w:left w:val="nil"/>
              <w:bottom w:val="nil"/>
              <w:right w:val="nil"/>
            </w:tcBorders>
          </w:tcPr>
          <w:p w14:paraId="3FF300B3">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Head teachers</w:t>
            </w:r>
          </w:p>
        </w:tc>
        <w:tc>
          <w:tcPr>
            <w:tcW w:w="2337" w:type="dxa"/>
            <w:tcBorders>
              <w:top w:val="nil"/>
              <w:left w:val="nil"/>
              <w:bottom w:val="nil"/>
              <w:right w:val="nil"/>
            </w:tcBorders>
          </w:tcPr>
          <w:p w14:paraId="30243AFF">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25</w:t>
            </w:r>
          </w:p>
        </w:tc>
        <w:tc>
          <w:tcPr>
            <w:tcW w:w="2338" w:type="dxa"/>
            <w:tcBorders>
              <w:top w:val="nil"/>
              <w:left w:val="nil"/>
              <w:bottom w:val="nil"/>
              <w:right w:val="nil"/>
            </w:tcBorders>
          </w:tcPr>
          <w:p w14:paraId="2E1225FB">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8</w:t>
            </w:r>
          </w:p>
        </w:tc>
      </w:tr>
      <w:tr w14:paraId="04B8DD6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37" w:type="dxa"/>
            <w:tcBorders>
              <w:top w:val="nil"/>
              <w:left w:val="nil"/>
              <w:bottom w:val="nil"/>
              <w:right w:val="nil"/>
            </w:tcBorders>
          </w:tcPr>
          <w:p w14:paraId="054386F1">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Teachers</w:t>
            </w:r>
          </w:p>
          <w:p w14:paraId="725C4B9A">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Students</w:t>
            </w:r>
          </w:p>
          <w:p w14:paraId="65BB8EC0">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Parents</w:t>
            </w:r>
          </w:p>
        </w:tc>
        <w:tc>
          <w:tcPr>
            <w:tcW w:w="2337" w:type="dxa"/>
            <w:tcBorders>
              <w:top w:val="nil"/>
              <w:left w:val="nil"/>
              <w:bottom w:val="nil"/>
              <w:right w:val="nil"/>
            </w:tcBorders>
          </w:tcPr>
          <w:p w14:paraId="32DB4626">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SimSun" w:cs="Times New Roman"/>
                <w:sz w:val="24"/>
                <w:szCs w:val="24"/>
                <w:lang w:eastAsia="zh-CN"/>
              </w:rPr>
              <w:t>80</w:t>
            </w:r>
          </w:p>
          <w:p w14:paraId="496177C7">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SimSun" w:cs="Times New Roman"/>
                <w:sz w:val="24"/>
                <w:szCs w:val="24"/>
                <w:lang w:eastAsia="zh-CN"/>
              </w:rPr>
              <w:t>400</w:t>
            </w:r>
          </w:p>
          <w:p w14:paraId="0D512EBF">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SimSun" w:cs="Times New Roman"/>
                <w:sz w:val="24"/>
                <w:szCs w:val="24"/>
                <w:lang w:eastAsia="zh-CN"/>
              </w:rPr>
              <w:t>80</w:t>
            </w:r>
          </w:p>
        </w:tc>
        <w:tc>
          <w:tcPr>
            <w:tcW w:w="2338" w:type="dxa"/>
            <w:tcBorders>
              <w:top w:val="nil"/>
              <w:left w:val="nil"/>
              <w:bottom w:val="nil"/>
              <w:right w:val="nil"/>
            </w:tcBorders>
          </w:tcPr>
          <w:p w14:paraId="222DECAB">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24</w:t>
            </w:r>
          </w:p>
          <w:p w14:paraId="3254A6FC">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120</w:t>
            </w:r>
          </w:p>
          <w:p w14:paraId="549F2586">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24</w:t>
            </w:r>
          </w:p>
        </w:tc>
      </w:tr>
      <w:tr w14:paraId="6C841B9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4" w:type="dxa"/>
            <w:gridSpan w:val="2"/>
            <w:tcBorders>
              <w:top w:val="nil"/>
              <w:left w:val="nil"/>
              <w:bottom w:val="single" w:color="auto" w:sz="4" w:space="0"/>
              <w:right w:val="nil"/>
            </w:tcBorders>
          </w:tcPr>
          <w:p w14:paraId="0F054888">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Total Respondents                 585</w:t>
            </w:r>
          </w:p>
        </w:tc>
        <w:tc>
          <w:tcPr>
            <w:tcW w:w="2338" w:type="dxa"/>
            <w:tcBorders>
              <w:top w:val="nil"/>
              <w:left w:val="nil"/>
              <w:bottom w:val="single" w:color="auto" w:sz="4" w:space="0"/>
              <w:right w:val="nil"/>
            </w:tcBorders>
          </w:tcPr>
          <w:p w14:paraId="2D3D89B2">
            <w:pPr>
              <w:spacing w:before="100" w:beforeAutospacing="1" w:after="0" w:line="360" w:lineRule="auto"/>
              <w:ind w:right="300"/>
              <w:rPr>
                <w:rFonts w:ascii="Times New Roman" w:hAnsi="Times New Roman" w:eastAsia="Calibri" w:cs="Times New Roman"/>
                <w:sz w:val="20"/>
                <w:szCs w:val="20"/>
              </w:rPr>
            </w:pPr>
            <w:r>
              <w:rPr>
                <w:rFonts w:ascii="Times New Roman" w:hAnsi="Times New Roman" w:eastAsia="Calibri" w:cs="Times New Roman"/>
                <w:sz w:val="20"/>
                <w:szCs w:val="20"/>
              </w:rPr>
              <w:t>176</w:t>
            </w:r>
          </w:p>
        </w:tc>
      </w:tr>
    </w:tbl>
    <w:p w14:paraId="0F9BD6F3">
      <w:pPr>
        <w:rPr>
          <w:rFonts w:ascii="Times New Roman" w:hAnsi="Times New Roman" w:eastAsia="SimSun" w:cs="Times New Roman"/>
          <w:sz w:val="24"/>
          <w:szCs w:val="24"/>
          <w:lang w:eastAsia="zh-CN"/>
        </w:rPr>
      </w:pPr>
    </w:p>
    <w:p w14:paraId="1DB89957">
      <w:pPr>
        <w:pStyle w:val="14"/>
        <w:widowControl w:val="0"/>
        <w:numPr>
          <w:ilvl w:val="1"/>
          <w:numId w:val="7"/>
        </w:numPr>
        <w:spacing w:after="0" w:line="240" w:lineRule="auto"/>
        <w:ind w:left="360"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2"/>
          <w:sz w:val="24"/>
          <w:szCs w:val="24"/>
        </w:rPr>
        <w:t>I</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ru</w:t>
      </w:r>
      <w:r>
        <w:rPr>
          <w:rFonts w:ascii="Times New Roman" w:hAnsi="Times New Roman" w:eastAsia="Times New Roman" w:cs="Times New Roman"/>
          <w:b/>
          <w:bCs/>
          <w:color w:val="282425"/>
          <w:spacing w:val="2"/>
          <w:sz w:val="24"/>
          <w:szCs w:val="24"/>
        </w:rPr>
        <w:t>m</w:t>
      </w:r>
      <w:r>
        <w:rPr>
          <w:rFonts w:ascii="Times New Roman" w:hAnsi="Times New Roman" w:eastAsia="Times New Roman" w:cs="Times New Roman"/>
          <w:b/>
          <w:bCs/>
          <w:color w:val="282425"/>
          <w:sz w:val="24"/>
          <w:szCs w:val="24"/>
        </w:rPr>
        <w:t>en</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z w:val="24"/>
          <w:szCs w:val="24"/>
        </w:rPr>
        <w:t>on</w:t>
      </w:r>
    </w:p>
    <w:p w14:paraId="54BB3ED0">
      <w:pPr>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use three main data collection instruments: questionnaires, interview schedules, and document analysis guides. Structured questionnaires will be administered to students to gather quantitative data on the types and frequency of domestic chores and their effect on school participation. Interview schedules will be used with head teachers and parents to collect qualitative insights on attitudes, beliefs, and experiences related to girls’ domestic responsibilities and school dropout. Document analysis will help verify enrollment and dropout records to support the findings. These instruments are selected to allow for both breadth and depth in data collection. The research approach will employ both quantitative and qualitative instruments to obtain complete data:</w:t>
      </w:r>
    </w:p>
    <w:p w14:paraId="7E14DF76">
      <w:pPr>
        <w:pStyle w:val="14"/>
        <w:widowControl w:val="0"/>
        <w:numPr>
          <w:ilvl w:val="0"/>
          <w:numId w:val="8"/>
        </w:numPr>
        <w:spacing w:after="0" w:line="240" w:lineRule="auto"/>
        <w:ind w:left="720" w:right="-20"/>
        <w:rPr>
          <w:rFonts w:ascii="Times New Roman" w:hAnsi="Times New Roman" w:eastAsia="Times New Roman" w:cs="Times New Roman"/>
          <w:bCs/>
          <w:color w:val="282425"/>
          <w:sz w:val="24"/>
          <w:szCs w:val="24"/>
        </w:rPr>
      </w:pPr>
      <w:r>
        <w:rPr>
          <w:rFonts w:ascii="Times New Roman" w:hAnsi="Times New Roman" w:eastAsia="Times New Roman" w:cs="Times New Roman"/>
          <w:bCs/>
          <w:color w:val="282425"/>
          <w:sz w:val="24"/>
          <w:szCs w:val="24"/>
        </w:rPr>
        <w:t>Questionnaires</w:t>
      </w:r>
    </w:p>
    <w:p w14:paraId="00E04DF6">
      <w:pPr>
        <w:pStyle w:val="14"/>
        <w:widowControl w:val="0"/>
        <w:numPr>
          <w:ilvl w:val="0"/>
          <w:numId w:val="8"/>
        </w:numPr>
        <w:spacing w:after="0" w:line="240" w:lineRule="auto"/>
        <w:ind w:left="720" w:right="-20"/>
        <w:rPr>
          <w:rFonts w:ascii="Times New Roman" w:hAnsi="Times New Roman" w:eastAsia="Times New Roman" w:cs="Times New Roman"/>
          <w:bCs/>
          <w:color w:val="282425"/>
          <w:sz w:val="24"/>
          <w:szCs w:val="24"/>
        </w:rPr>
      </w:pPr>
      <w:r>
        <w:rPr>
          <w:rFonts w:ascii="Times New Roman" w:hAnsi="Times New Roman" w:eastAsia="Times New Roman" w:cs="Times New Roman"/>
          <w:bCs/>
          <w:color w:val="282425"/>
          <w:sz w:val="24"/>
          <w:szCs w:val="24"/>
        </w:rPr>
        <w:t>Interview Schedules</w:t>
      </w:r>
    </w:p>
    <w:p w14:paraId="77022F70">
      <w:pPr>
        <w:widowControl w:val="0"/>
        <w:tabs>
          <w:tab w:val="left" w:pos="2758"/>
        </w:tabs>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ab/>
      </w:r>
    </w:p>
    <w:p w14:paraId="6AD4C0D3">
      <w:pPr>
        <w:pStyle w:val="14"/>
        <w:widowControl w:val="0"/>
        <w:numPr>
          <w:ilvl w:val="1"/>
          <w:numId w:val="7"/>
        </w:numPr>
        <w:spacing w:after="0" w:line="240" w:lineRule="auto"/>
        <w:ind w:left="360" w:right="-20"/>
        <w:rPr>
          <w:rFonts w:ascii="Times New Roman" w:hAnsi="Times New Roman" w:eastAsia="Times New Roman" w:cs="Times New Roman"/>
          <w:color w:val="282425"/>
          <w:sz w:val="24"/>
          <w:szCs w:val="24"/>
        </w:rPr>
      </w:pPr>
      <w:r>
        <w:rPr>
          <w:rFonts w:ascii="Times New Roman" w:hAnsi="Times New Roman" w:eastAsia="SimSun" w:cs="Times New Roman"/>
          <w:b/>
          <w:bCs/>
          <w:sz w:val="24"/>
          <w:szCs w:val="24"/>
        </w:rPr>
        <w:t>Document Analysis Guide</w:t>
      </w:r>
    </w:p>
    <w:p w14:paraId="01C7CA98">
      <w:pPr>
        <w:widowControl w:val="0"/>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use a document analysis guide to review enrollment, attendance, and dropout records from selected schools. These documents will provide factual data on dropout trends among girls. The guide ensures consistency in reviewing records. It complements primary data with verifiable secondary evidence.</w:t>
      </w:r>
    </w:p>
    <w:p w14:paraId="0CDB545F">
      <w:pPr>
        <w:widowControl w:val="0"/>
        <w:spacing w:after="0" w:line="240" w:lineRule="auto"/>
        <w:ind w:right="-20"/>
        <w:rPr>
          <w:rFonts w:ascii="Times New Roman" w:hAnsi="Times New Roman" w:eastAsia="Times New Roman" w:cs="Times New Roman"/>
          <w:color w:val="282425"/>
          <w:sz w:val="24"/>
          <w:szCs w:val="24"/>
        </w:rPr>
      </w:pPr>
    </w:p>
    <w:p w14:paraId="68D78A0B">
      <w:pPr>
        <w:pStyle w:val="14"/>
        <w:widowControl w:val="0"/>
        <w:numPr>
          <w:ilvl w:val="1"/>
          <w:numId w:val="7"/>
        </w:numPr>
        <w:spacing w:after="0" w:line="240" w:lineRule="auto"/>
        <w:ind w:left="360"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Val</w:t>
      </w:r>
      <w:r>
        <w:rPr>
          <w:rFonts w:ascii="Times New Roman" w:hAnsi="Times New Roman" w:eastAsia="Times New Roman" w:cs="Times New Roman"/>
          <w:b/>
          <w:bCs/>
          <w:color w:val="282425"/>
          <w:spacing w:val="1"/>
          <w:sz w:val="24"/>
          <w:szCs w:val="24"/>
        </w:rPr>
        <w:t>id</w:t>
      </w:r>
      <w:r>
        <w:rPr>
          <w:rFonts w:ascii="Times New Roman" w:hAnsi="Times New Roman" w:eastAsia="Times New Roman" w:cs="Times New Roman"/>
          <w:b/>
          <w:bCs/>
          <w:color w:val="282425"/>
          <w:sz w:val="24"/>
          <w:szCs w:val="24"/>
        </w:rPr>
        <w:t>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y</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3"/>
          <w:sz w:val="24"/>
          <w:szCs w:val="24"/>
        </w:rPr>
        <w:t>n</w:t>
      </w:r>
      <w:r>
        <w:rPr>
          <w:rFonts w:ascii="Times New Roman" w:hAnsi="Times New Roman" w:eastAsia="Times New Roman" w:cs="Times New Roman"/>
          <w:b/>
          <w:bCs/>
          <w:color w:val="282425"/>
          <w:sz w:val="24"/>
          <w:szCs w:val="24"/>
        </w:rPr>
        <w:t>d</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relia</w:t>
      </w:r>
      <w:r>
        <w:rPr>
          <w:rFonts w:ascii="Times New Roman" w:hAnsi="Times New Roman" w:eastAsia="Times New Roman" w:cs="Times New Roman"/>
          <w:b/>
          <w:bCs/>
          <w:color w:val="282425"/>
          <w:spacing w:val="1"/>
          <w:sz w:val="24"/>
          <w:szCs w:val="24"/>
        </w:rPr>
        <w:t>bi</w:t>
      </w:r>
      <w:r>
        <w:rPr>
          <w:rFonts w:ascii="Times New Roman" w:hAnsi="Times New Roman" w:eastAsia="Times New Roman" w:cs="Times New Roman"/>
          <w:b/>
          <w:bCs/>
          <w:color w:val="282425"/>
          <w:spacing w:val="-3"/>
          <w:sz w:val="24"/>
          <w:szCs w:val="24"/>
        </w:rPr>
        <w:t>l</w:t>
      </w:r>
      <w:r>
        <w:rPr>
          <w:rFonts w:ascii="Times New Roman" w:hAnsi="Times New Roman" w:eastAsia="Times New Roman" w:cs="Times New Roman"/>
          <w:b/>
          <w:bCs/>
          <w:color w:val="282425"/>
          <w:sz w:val="24"/>
          <w:szCs w:val="24"/>
        </w:rPr>
        <w:t>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y</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4"/>
          <w:sz w:val="24"/>
          <w:szCs w:val="24"/>
        </w:rPr>
        <w:t>o</w:t>
      </w:r>
      <w:r>
        <w:rPr>
          <w:rFonts w:ascii="Times New Roman" w:hAnsi="Times New Roman" w:eastAsia="Times New Roman" w:cs="Times New Roman"/>
          <w:b/>
          <w:bCs/>
          <w:color w:val="282425"/>
          <w:sz w:val="24"/>
          <w:szCs w:val="24"/>
        </w:rPr>
        <w:t>f</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tr</w:t>
      </w:r>
      <w:r>
        <w:rPr>
          <w:rFonts w:ascii="Times New Roman" w:hAnsi="Times New Roman" w:eastAsia="Times New Roman" w:cs="Times New Roman"/>
          <w:b/>
          <w:bCs/>
          <w:color w:val="282425"/>
          <w:spacing w:val="1"/>
          <w:sz w:val="24"/>
          <w:szCs w:val="24"/>
        </w:rPr>
        <w:t>um</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3"/>
          <w:sz w:val="24"/>
          <w:szCs w:val="24"/>
        </w:rPr>
        <w:t>n</w:t>
      </w:r>
      <w:r>
        <w:rPr>
          <w:rFonts w:ascii="Times New Roman" w:hAnsi="Times New Roman" w:eastAsia="Times New Roman" w:cs="Times New Roman"/>
          <w:b/>
          <w:bCs/>
          <w:color w:val="282425"/>
          <w:sz w:val="24"/>
          <w:szCs w:val="24"/>
        </w:rPr>
        <w:t>ts</w:t>
      </w:r>
    </w:p>
    <w:p w14:paraId="14950510">
      <w:pPr>
        <w:spacing w:after="12"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ensure validity, the instruments will be reviewed by experts in education research and piloted in a similar setting. Necessary revisions will be made for clarity and relevance. Reliability will be tested using the test-retest method. Consistent results will confirm the instruments’ dependability.</w:t>
      </w:r>
    </w:p>
    <w:p w14:paraId="440DA505">
      <w:pPr>
        <w:spacing w:after="12" w:line="240" w:lineRule="auto"/>
        <w:rPr>
          <w:rFonts w:ascii="Times New Roman" w:hAnsi="Times New Roman" w:eastAsia="Times New Roman" w:cs="Times New Roman"/>
          <w:sz w:val="24"/>
          <w:szCs w:val="24"/>
        </w:rPr>
      </w:pPr>
    </w:p>
    <w:p w14:paraId="146E2950">
      <w:pPr>
        <w:pStyle w:val="14"/>
        <w:widowControl w:val="0"/>
        <w:numPr>
          <w:ilvl w:val="1"/>
          <w:numId w:val="7"/>
        </w:numPr>
        <w:tabs>
          <w:tab w:val="left" w:pos="782"/>
        </w:tabs>
        <w:spacing w:after="0" w:line="240" w:lineRule="auto"/>
        <w:ind w:left="360"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Da</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Col</w:t>
      </w: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pacing w:val="-4"/>
          <w:sz w:val="24"/>
          <w:szCs w:val="24"/>
        </w:rPr>
        <w:t>o</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ro</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ed</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re</w:t>
      </w:r>
    </w:p>
    <w:p w14:paraId="38FD507A">
      <w:pPr>
        <w:widowControl w:val="0"/>
        <w:spacing w:before="7" w:after="0" w:line="240" w:lineRule="auto"/>
        <w:ind w:right="964"/>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Permission will be sought from relevant authorities before data collection. Questionnaires will be administered to students, while interviews will be conducted with head teachers and parents. Document analysis will follow to verify dropout records. All procedures will follow ethical research guidelines.</w:t>
      </w:r>
    </w:p>
    <w:p w14:paraId="3B7C3F83">
      <w:pPr>
        <w:widowControl w:val="0"/>
        <w:spacing w:before="7" w:after="0" w:line="240" w:lineRule="auto"/>
        <w:ind w:right="964"/>
        <w:rPr>
          <w:rFonts w:ascii="Times New Roman" w:hAnsi="Times New Roman" w:eastAsia="Times New Roman" w:cs="Times New Roman"/>
          <w:color w:val="282425"/>
          <w:spacing w:val="2"/>
          <w:sz w:val="24"/>
          <w:szCs w:val="24"/>
        </w:rPr>
      </w:pPr>
    </w:p>
    <w:p w14:paraId="61BCDCFC">
      <w:pPr>
        <w:pStyle w:val="14"/>
        <w:widowControl w:val="0"/>
        <w:numPr>
          <w:ilvl w:val="1"/>
          <w:numId w:val="7"/>
        </w:numPr>
        <w:spacing w:after="0" w:line="240" w:lineRule="auto"/>
        <w:ind w:left="360"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pacing w:val="1"/>
          <w:sz w:val="24"/>
          <w:szCs w:val="24"/>
        </w:rPr>
        <w:t>thi</w:t>
      </w:r>
      <w:r>
        <w:rPr>
          <w:rFonts w:ascii="Times New Roman" w:hAnsi="Times New Roman" w:eastAsia="Times New Roman" w:cs="Times New Roman"/>
          <w:b/>
          <w:bCs/>
          <w:color w:val="282425"/>
          <w:sz w:val="24"/>
          <w:szCs w:val="24"/>
        </w:rPr>
        <w:t>cal</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Co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idera</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io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p>
    <w:p w14:paraId="187E9EE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Informed consent will be obtained from all participants, including parental consent for minors. Participants’ confidentiality and anonymity will be strictly maintained. The study will avoid any form of harm or coercion. Ethical clearance will be sought from relevant education authorities.</w:t>
      </w:r>
    </w:p>
    <w:p w14:paraId="77EF681F">
      <w:pPr>
        <w:spacing w:after="0" w:line="240" w:lineRule="auto"/>
        <w:rPr>
          <w:rFonts w:ascii="Times New Roman" w:hAnsi="Times New Roman" w:eastAsia="Times New Roman" w:cs="Times New Roman"/>
          <w:sz w:val="24"/>
          <w:szCs w:val="24"/>
        </w:rPr>
      </w:pPr>
    </w:p>
    <w:p w14:paraId="238710A7">
      <w:pPr>
        <w:pStyle w:val="14"/>
        <w:widowControl w:val="0"/>
        <w:numPr>
          <w:ilvl w:val="1"/>
          <w:numId w:val="7"/>
        </w:numPr>
        <w:spacing w:after="0" w:line="240" w:lineRule="auto"/>
        <w:ind w:left="360" w:right="2553"/>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Da</w:t>
      </w:r>
      <w:r>
        <w:rPr>
          <w:rFonts w:ascii="Times New Roman" w:hAnsi="Times New Roman" w:eastAsia="Times New Roman" w:cs="Times New Roman"/>
          <w:b/>
          <w:bCs/>
          <w:color w:val="000000"/>
          <w:spacing w:val="1"/>
          <w:sz w:val="24"/>
          <w:szCs w:val="24"/>
        </w:rPr>
        <w:t>t</w:t>
      </w:r>
      <w:r>
        <w:rPr>
          <w:rFonts w:ascii="Times New Roman" w:hAnsi="Times New Roman" w:eastAsia="Times New Roman" w:cs="Times New Roman"/>
          <w:b/>
          <w:bCs/>
          <w:color w:val="000000"/>
          <w:sz w:val="24"/>
          <w:szCs w:val="24"/>
        </w:rPr>
        <w:t>a</w:t>
      </w:r>
      <w:r>
        <w:rPr>
          <w:rFonts w:ascii="Times New Roman" w:hAnsi="Times New Roman" w:eastAsia="Times New Roman" w:cs="Times New Roman"/>
          <w:b/>
          <w:bCs/>
          <w:color w:val="000000"/>
          <w:spacing w:val="3"/>
          <w:sz w:val="24"/>
          <w:szCs w:val="24"/>
        </w:rPr>
        <w:t xml:space="preserve"> </w:t>
      </w:r>
      <w:r>
        <w:rPr>
          <w:rFonts w:ascii="Times New Roman" w:hAnsi="Times New Roman" w:eastAsia="Times New Roman" w:cs="Times New Roman"/>
          <w:b/>
          <w:bCs/>
          <w:color w:val="000000"/>
          <w:sz w:val="24"/>
          <w:szCs w:val="24"/>
        </w:rPr>
        <w:t>Ana</w:t>
      </w:r>
      <w:r>
        <w:rPr>
          <w:rFonts w:ascii="Times New Roman" w:hAnsi="Times New Roman" w:eastAsia="Times New Roman" w:cs="Times New Roman"/>
          <w:b/>
          <w:bCs/>
          <w:color w:val="000000"/>
          <w:spacing w:val="1"/>
          <w:sz w:val="24"/>
          <w:szCs w:val="24"/>
        </w:rPr>
        <w:t>l</w:t>
      </w:r>
      <w:r>
        <w:rPr>
          <w:rFonts w:ascii="Times New Roman" w:hAnsi="Times New Roman" w:eastAsia="Times New Roman" w:cs="Times New Roman"/>
          <w:b/>
          <w:bCs/>
          <w:color w:val="000000"/>
          <w:sz w:val="24"/>
          <w:szCs w:val="24"/>
        </w:rPr>
        <w:t>y</w:t>
      </w:r>
      <w:r>
        <w:rPr>
          <w:rFonts w:ascii="Times New Roman" w:hAnsi="Times New Roman" w:eastAsia="Times New Roman" w:cs="Times New Roman"/>
          <w:b/>
          <w:bCs/>
          <w:color w:val="000000"/>
          <w:spacing w:val="-1"/>
          <w:sz w:val="24"/>
          <w:szCs w:val="24"/>
        </w:rPr>
        <w:t>s</w:t>
      </w:r>
      <w:r>
        <w:rPr>
          <w:rFonts w:ascii="Times New Roman" w:hAnsi="Times New Roman" w:eastAsia="Times New Roman" w:cs="Times New Roman"/>
          <w:b/>
          <w:bCs/>
          <w:color w:val="000000"/>
          <w:sz w:val="24"/>
          <w:szCs w:val="24"/>
        </w:rPr>
        <w:t>is M</w:t>
      </w:r>
      <w:r>
        <w:rPr>
          <w:rFonts w:ascii="Times New Roman" w:hAnsi="Times New Roman" w:eastAsia="Times New Roman" w:cs="Times New Roman"/>
          <w:b/>
          <w:bCs/>
          <w:color w:val="000000"/>
          <w:spacing w:val="-1"/>
          <w:sz w:val="24"/>
          <w:szCs w:val="24"/>
        </w:rPr>
        <w:t>e</w:t>
      </w:r>
      <w:r>
        <w:rPr>
          <w:rFonts w:ascii="Times New Roman" w:hAnsi="Times New Roman" w:eastAsia="Times New Roman" w:cs="Times New Roman"/>
          <w:b/>
          <w:bCs/>
          <w:color w:val="000000"/>
          <w:spacing w:val="1"/>
          <w:sz w:val="24"/>
          <w:szCs w:val="24"/>
        </w:rPr>
        <w:t>th</w:t>
      </w:r>
      <w:r>
        <w:rPr>
          <w:rFonts w:ascii="Times New Roman" w:hAnsi="Times New Roman" w:eastAsia="Times New Roman" w:cs="Times New Roman"/>
          <w:b/>
          <w:bCs/>
          <w:color w:val="000000"/>
          <w:sz w:val="24"/>
          <w:szCs w:val="24"/>
        </w:rPr>
        <w:t>o</w:t>
      </w:r>
      <w:r>
        <w:rPr>
          <w:rFonts w:ascii="Times New Roman" w:hAnsi="Times New Roman" w:eastAsia="Times New Roman" w:cs="Times New Roman"/>
          <w:b/>
          <w:bCs/>
          <w:color w:val="000000"/>
          <w:spacing w:val="1"/>
          <w:sz w:val="24"/>
          <w:szCs w:val="24"/>
        </w:rPr>
        <w:t>d</w:t>
      </w:r>
      <w:r>
        <w:rPr>
          <w:rFonts w:ascii="Times New Roman" w:hAnsi="Times New Roman" w:eastAsia="Times New Roman" w:cs="Times New Roman"/>
          <w:b/>
          <w:bCs/>
          <w:color w:val="000000"/>
          <w:sz w:val="24"/>
          <w:szCs w:val="24"/>
        </w:rPr>
        <w:t>s</w:t>
      </w:r>
    </w:p>
    <w:p w14:paraId="4F0F13F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Quantitative data from questionnaires will be analyzed using descriptive statistics such as frequencies and percentages. Qualitative data from interviews will be coded and thematically analyzed. Document analysis findings will be compared with primary data. Results will be presented in tables, charts, and narratives.</w:t>
      </w:r>
    </w:p>
    <w:p w14:paraId="2153BB98">
      <w:pPr>
        <w:spacing w:after="0" w:line="240" w:lineRule="auto"/>
        <w:rPr>
          <w:rFonts w:ascii="Times New Roman" w:hAnsi="Times New Roman" w:eastAsia="Times New Roman" w:cs="Times New Roman"/>
          <w:sz w:val="24"/>
          <w:szCs w:val="24"/>
        </w:rPr>
      </w:pPr>
    </w:p>
    <w:p w14:paraId="7A647B02">
      <w:pPr>
        <w:spacing w:after="0" w:line="240" w:lineRule="auto"/>
        <w:jc w:val="center"/>
        <w:rPr>
          <w:rFonts w:ascii="Times New Roman" w:hAnsi="Times New Roman" w:eastAsia="Times New Roman" w:cs="Times New Roman"/>
          <w:b/>
          <w:sz w:val="48"/>
          <w:szCs w:val="24"/>
        </w:rPr>
      </w:pPr>
      <w:r>
        <w:rPr>
          <w:rFonts w:ascii="Times New Roman" w:hAnsi="Times New Roman" w:eastAsia="Times New Roman" w:cs="Times New Roman"/>
          <w:b/>
          <w:sz w:val="48"/>
          <w:szCs w:val="24"/>
        </w:rPr>
        <w:t>END</w:t>
      </w:r>
    </w:p>
    <w:sectPr>
      <w:footerReference r:id="rId5" w:type="default"/>
      <w:pgSz w:w="12240" w:h="15840"/>
      <w:pgMar w:top="1440" w:right="1440" w:bottom="1440" w:left="1440" w:header="708" w:footer="708"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7752474"/>
      <w:docPartObj>
        <w:docPartGallery w:val="AutoText"/>
      </w:docPartObj>
    </w:sdtPr>
    <w:sdtEndPr>
      <w:rPr>
        <w:color w:val="808080" w:themeColor="background1" w:themeShade="80"/>
        <w:spacing w:val="60"/>
      </w:rPr>
    </w:sdtEndPr>
    <w:sdtContent>
      <w:p w14:paraId="4D3E2AC7">
        <w:pPr>
          <w:pStyle w:val="5"/>
          <w:pBdr>
            <w:top w:val="single" w:color="D8D8D8" w:themeColor="background1" w:themeShade="D9" w:sz="4" w:space="1"/>
          </w:pBdr>
          <w:jc w:val="right"/>
        </w:pPr>
        <w:r>
          <w:fldChar w:fldCharType="begin"/>
        </w:r>
        <w:r>
          <w:instrText xml:space="preserve"> PAGE   \* MERGEFORMAT </w:instrText>
        </w:r>
        <w:r>
          <w:fldChar w:fldCharType="separate"/>
        </w:r>
        <w:r>
          <w:t>7</w:t>
        </w:r>
        <w:r>
          <w:fldChar w:fldCharType="end"/>
        </w:r>
        <w:r>
          <w:t xml:space="preserve"> | </w:t>
        </w:r>
        <w:r>
          <w:rPr>
            <w:color w:val="808080" w:themeColor="background1" w:themeShade="80"/>
            <w:spacing w:val="60"/>
          </w:rPr>
          <w:t>Page</w:t>
        </w:r>
      </w:p>
    </w:sdtContent>
  </w:sdt>
  <w:p w14:paraId="7573F4B2">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A07C0B"/>
    <w:multiLevelType w:val="multilevel"/>
    <w:tmpl w:val="10A07C0B"/>
    <w:lvl w:ilvl="0" w:tentative="0">
      <w:start w:val="1"/>
      <w:numFmt w:val="lowerRoman"/>
      <w:lvlText w:val="%1."/>
      <w:lvlJc w:val="righ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30486A4D"/>
    <w:multiLevelType w:val="multilevel"/>
    <w:tmpl w:val="30486A4D"/>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937217F"/>
    <w:multiLevelType w:val="multilevel"/>
    <w:tmpl w:val="3937217F"/>
    <w:lvl w:ilvl="0" w:tentative="0">
      <w:start w:val="1"/>
      <w:numFmt w:val="lowerRoman"/>
      <w:lvlText w:val="%1."/>
      <w:lvlJc w:val="righ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5184794D"/>
    <w:multiLevelType w:val="multilevel"/>
    <w:tmpl w:val="5184794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525677D3"/>
    <w:multiLevelType w:val="multilevel"/>
    <w:tmpl w:val="525677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47F466F"/>
    <w:multiLevelType w:val="multilevel"/>
    <w:tmpl w:val="547F466F"/>
    <w:lvl w:ilvl="0" w:tentative="0">
      <w:start w:val="1"/>
      <w:numFmt w:val="lowerRoman"/>
      <w:lvlText w:val="%1."/>
      <w:lvlJc w:val="righ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639C21E5"/>
    <w:multiLevelType w:val="multilevel"/>
    <w:tmpl w:val="639C21E5"/>
    <w:lvl w:ilvl="0" w:tentative="0">
      <w:start w:val="1"/>
      <w:numFmt w:val="decimal"/>
      <w:lvlText w:val="%1."/>
      <w:lvlJc w:val="left"/>
      <w:pPr>
        <w:ind w:left="720" w:hanging="360"/>
      </w:pPr>
    </w:lvl>
    <w:lvl w:ilvl="1" w:tentative="0">
      <w:start w:val="1"/>
      <w:numFmt w:val="lowerLetter"/>
      <w:lvlText w:val="%2."/>
      <w:lvlJc w:val="left"/>
      <w:pPr>
        <w:ind w:left="1440" w:hanging="360"/>
      </w:pPr>
      <w:rPr>
        <w:rFonts w:hint="default"/>
        <w:b/>
        <w:color w:val="282425"/>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D771607"/>
    <w:multiLevelType w:val="multilevel"/>
    <w:tmpl w:val="7D771607"/>
    <w:lvl w:ilvl="0" w:tentative="0">
      <w:start w:val="1"/>
      <w:numFmt w:val="lowerLetter"/>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num w:numId="1">
    <w:abstractNumId w:val="6"/>
  </w:num>
  <w:num w:numId="2">
    <w:abstractNumId w:val="2"/>
  </w:num>
  <w:num w:numId="3">
    <w:abstractNumId w:val="5"/>
  </w:num>
  <w:num w:numId="4">
    <w:abstractNumId w:val="0"/>
  </w:num>
  <w:num w:numId="5">
    <w:abstractNumId w:val="3"/>
  </w:num>
  <w:num w:numId="6">
    <w:abstractNumId w:val="4"/>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4D5"/>
    <w:rsid w:val="00023AA5"/>
    <w:rsid w:val="00026989"/>
    <w:rsid w:val="0004414D"/>
    <w:rsid w:val="00056524"/>
    <w:rsid w:val="000804BB"/>
    <w:rsid w:val="00097CEA"/>
    <w:rsid w:val="000A6D1B"/>
    <w:rsid w:val="000B483D"/>
    <w:rsid w:val="000F3328"/>
    <w:rsid w:val="0015005A"/>
    <w:rsid w:val="00154F50"/>
    <w:rsid w:val="001907AE"/>
    <w:rsid w:val="00192BC4"/>
    <w:rsid w:val="001A695B"/>
    <w:rsid w:val="001B11EE"/>
    <w:rsid w:val="001C2F01"/>
    <w:rsid w:val="00223A61"/>
    <w:rsid w:val="0027356A"/>
    <w:rsid w:val="002841DE"/>
    <w:rsid w:val="002A36E0"/>
    <w:rsid w:val="002B29D7"/>
    <w:rsid w:val="002B4FCF"/>
    <w:rsid w:val="002D3A5F"/>
    <w:rsid w:val="002D6150"/>
    <w:rsid w:val="002E183E"/>
    <w:rsid w:val="003133BC"/>
    <w:rsid w:val="003270DA"/>
    <w:rsid w:val="00356717"/>
    <w:rsid w:val="0036153B"/>
    <w:rsid w:val="00361A41"/>
    <w:rsid w:val="00362571"/>
    <w:rsid w:val="00392DB9"/>
    <w:rsid w:val="003E5AE9"/>
    <w:rsid w:val="003F5B66"/>
    <w:rsid w:val="004904E4"/>
    <w:rsid w:val="004B0447"/>
    <w:rsid w:val="004B0AD0"/>
    <w:rsid w:val="004D53A4"/>
    <w:rsid w:val="00510202"/>
    <w:rsid w:val="005156CD"/>
    <w:rsid w:val="005170DD"/>
    <w:rsid w:val="00551E45"/>
    <w:rsid w:val="00595968"/>
    <w:rsid w:val="005A0BD2"/>
    <w:rsid w:val="005C77FD"/>
    <w:rsid w:val="005E100E"/>
    <w:rsid w:val="005E3EC9"/>
    <w:rsid w:val="005E6796"/>
    <w:rsid w:val="005F5117"/>
    <w:rsid w:val="005F7DC5"/>
    <w:rsid w:val="00640BC5"/>
    <w:rsid w:val="00641602"/>
    <w:rsid w:val="006A0370"/>
    <w:rsid w:val="006A4C0D"/>
    <w:rsid w:val="006E26AC"/>
    <w:rsid w:val="006F2012"/>
    <w:rsid w:val="00754DA3"/>
    <w:rsid w:val="00780E03"/>
    <w:rsid w:val="007A3C72"/>
    <w:rsid w:val="007B1CEB"/>
    <w:rsid w:val="007C5B21"/>
    <w:rsid w:val="007D24FF"/>
    <w:rsid w:val="007E1CDD"/>
    <w:rsid w:val="007F6EA5"/>
    <w:rsid w:val="00825A46"/>
    <w:rsid w:val="00834949"/>
    <w:rsid w:val="00842B00"/>
    <w:rsid w:val="0087613B"/>
    <w:rsid w:val="008773D5"/>
    <w:rsid w:val="008D31EB"/>
    <w:rsid w:val="008F24A0"/>
    <w:rsid w:val="0091000D"/>
    <w:rsid w:val="00915610"/>
    <w:rsid w:val="00941FD6"/>
    <w:rsid w:val="009453AA"/>
    <w:rsid w:val="009548CB"/>
    <w:rsid w:val="00955159"/>
    <w:rsid w:val="009B4392"/>
    <w:rsid w:val="009C5509"/>
    <w:rsid w:val="00A074F2"/>
    <w:rsid w:val="00A16EBC"/>
    <w:rsid w:val="00A37BBD"/>
    <w:rsid w:val="00A57EEE"/>
    <w:rsid w:val="00A9226C"/>
    <w:rsid w:val="00AA3D56"/>
    <w:rsid w:val="00AC1E23"/>
    <w:rsid w:val="00AD1980"/>
    <w:rsid w:val="00AE3D25"/>
    <w:rsid w:val="00B11C83"/>
    <w:rsid w:val="00B27D22"/>
    <w:rsid w:val="00B81ADD"/>
    <w:rsid w:val="00B918F7"/>
    <w:rsid w:val="00B92467"/>
    <w:rsid w:val="00B9548E"/>
    <w:rsid w:val="00BA7B8C"/>
    <w:rsid w:val="00BC2F30"/>
    <w:rsid w:val="00BE0772"/>
    <w:rsid w:val="00C15218"/>
    <w:rsid w:val="00CA06AB"/>
    <w:rsid w:val="00CD1ECF"/>
    <w:rsid w:val="00CF1635"/>
    <w:rsid w:val="00D16566"/>
    <w:rsid w:val="00D3772D"/>
    <w:rsid w:val="00D6431E"/>
    <w:rsid w:val="00D8104C"/>
    <w:rsid w:val="00E053E3"/>
    <w:rsid w:val="00E434D5"/>
    <w:rsid w:val="00E54473"/>
    <w:rsid w:val="00E55C26"/>
    <w:rsid w:val="00E73E6B"/>
    <w:rsid w:val="00E7565B"/>
    <w:rsid w:val="00EA1C9E"/>
    <w:rsid w:val="00ED2C43"/>
    <w:rsid w:val="00EF4E6E"/>
    <w:rsid w:val="00F73B83"/>
    <w:rsid w:val="00FF760D"/>
    <w:rsid w:val="0EDE35BA"/>
    <w:rsid w:val="20C10221"/>
    <w:rsid w:val="2FD3025C"/>
    <w:rsid w:val="4FC357E8"/>
    <w:rsid w:val="5AEF0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pPr>
      <w:spacing w:after="0" w:line="240" w:lineRule="auto"/>
    </w:pPr>
    <w:rPr>
      <w:rFonts w:ascii="Tahoma" w:hAnsi="Tahoma" w:cs="Tahoma"/>
      <w:sz w:val="16"/>
      <w:szCs w:val="16"/>
    </w:rPr>
  </w:style>
  <w:style w:type="paragraph" w:styleId="5">
    <w:name w:val="footer"/>
    <w:basedOn w:val="1"/>
    <w:link w:val="13"/>
    <w:unhideWhenUsed/>
    <w:uiPriority w:val="99"/>
    <w:pPr>
      <w:tabs>
        <w:tab w:val="center" w:pos="4680"/>
        <w:tab w:val="right" w:pos="9360"/>
      </w:tabs>
      <w:spacing w:after="0" w:line="240" w:lineRule="auto"/>
    </w:pPr>
  </w:style>
  <w:style w:type="paragraph" w:styleId="6">
    <w:name w:val="header"/>
    <w:basedOn w:val="1"/>
    <w:link w:val="12"/>
    <w:unhideWhenUsed/>
    <w:uiPriority w:val="99"/>
    <w:pPr>
      <w:tabs>
        <w:tab w:val="center" w:pos="4680"/>
        <w:tab w:val="right" w:pos="9360"/>
      </w:tabs>
      <w:spacing w:after="0" w:line="240" w:lineRule="auto"/>
    </w:pPr>
  </w:style>
  <w:style w:type="character" w:styleId="7">
    <w:name w:val="Strong"/>
    <w:basedOn w:val="2"/>
    <w:qFormat/>
    <w:uiPriority w:val="22"/>
    <w:rPr>
      <w:b/>
      <w:bCs/>
    </w:rPr>
  </w:style>
  <w:style w:type="table" w:styleId="8">
    <w:name w:val="Table Grid"/>
    <w:basedOn w:val="3"/>
    <w:unhideWhenUsed/>
    <w:uiPriority w:val="99"/>
    <w:pPr>
      <w:spacing w:after="0" w:line="240" w:lineRule="auto"/>
    </w:pPr>
    <w:rPr>
      <w:rFonts w:ascii="Calibri" w:hAnsi="Calibri" w:eastAsia="Times New Roman" w:cs="SimSu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No Spacing"/>
    <w:link w:val="10"/>
    <w:qFormat/>
    <w:uiPriority w:val="1"/>
    <w:pPr>
      <w:spacing w:after="0" w:line="240" w:lineRule="auto"/>
    </w:pPr>
    <w:rPr>
      <w:rFonts w:asciiTheme="minorHAnsi" w:hAnsiTheme="minorHAnsi" w:eastAsiaTheme="minorEastAsia" w:cstheme="minorBidi"/>
      <w:sz w:val="22"/>
      <w:szCs w:val="22"/>
      <w:lang w:val="en-US" w:eastAsia="ja-JP" w:bidi="ar-SA"/>
    </w:rPr>
  </w:style>
  <w:style w:type="character" w:customStyle="1" w:styleId="10">
    <w:name w:val="No Spacing Char"/>
    <w:basedOn w:val="2"/>
    <w:link w:val="9"/>
    <w:uiPriority w:val="1"/>
    <w:rPr>
      <w:rFonts w:eastAsiaTheme="minorEastAsia"/>
      <w:lang w:eastAsia="ja-JP"/>
    </w:rPr>
  </w:style>
  <w:style w:type="character" w:customStyle="1" w:styleId="11">
    <w:name w:val="Balloon Text Char"/>
    <w:basedOn w:val="2"/>
    <w:link w:val="4"/>
    <w:semiHidden/>
    <w:uiPriority w:val="99"/>
    <w:rPr>
      <w:rFonts w:ascii="Tahoma" w:hAnsi="Tahoma" w:cs="Tahoma"/>
      <w:sz w:val="16"/>
      <w:szCs w:val="16"/>
    </w:rPr>
  </w:style>
  <w:style w:type="character" w:customStyle="1" w:styleId="12">
    <w:name w:val="Header Char"/>
    <w:basedOn w:val="2"/>
    <w:link w:val="6"/>
    <w:uiPriority w:val="99"/>
  </w:style>
  <w:style w:type="character" w:customStyle="1" w:styleId="13">
    <w:name w:val="Footer Char"/>
    <w:basedOn w:val="2"/>
    <w:link w:val="5"/>
    <w:uiPriority w:val="99"/>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2990</Words>
  <Characters>17047</Characters>
  <Lines>142</Lines>
  <Paragraphs>39</Paragraphs>
  <TotalTime>204</TotalTime>
  <ScaleCrop>false</ScaleCrop>
  <LinksUpToDate>false</LinksUpToDate>
  <CharactersWithSpaces>19998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2025-08-03T13:58:00Z</dcterms:created>
  <dc:creator>user</dc:creator>
  <cp:lastModifiedBy>BOSONGOKISII TV</cp:lastModifiedBy>
  <cp:lastPrinted>2025-08-03T14:22:00Z</cp:lastPrinted>
  <dcterms:modified xsi:type="dcterms:W3CDTF">2026-01-29T12:08:18Z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14FDF96453154572AD21805C9E88A633_13</vt:lpwstr>
  </property>
</Properties>
</file>