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14FC0686">
      <w:pPr>
        <w:pStyle w:val="7"/>
        <w:widowControl w:val="0"/>
        <w:numPr>
          <w:ilvl w:val="0"/>
          <w:numId w:val="1"/>
        </w:numPr>
        <w:tabs>
          <w:tab w:val="left" w:pos="782"/>
        </w:tabs>
        <w:spacing w:after="0" w:line="240" w:lineRule="auto"/>
        <w:ind w:left="425" w:leftChars="0" w:right="-20" w:hanging="425" w:firstLineChars="0"/>
        <w:jc w:val="center"/>
        <w:rPr>
          <w:rFonts w:ascii="Times New Roman" w:hAnsi="Times New Roman" w:eastAsia="Times New Roman" w:cs="Times New Roman"/>
          <w:b/>
          <w:bCs/>
          <w:color w:val="282425"/>
          <w:sz w:val="24"/>
          <w:szCs w:val="24"/>
        </w:rPr>
      </w:pPr>
      <w:r>
        <w:rPr>
          <w:rFonts w:ascii="Times New Roman" w:hAnsi="Times New Roman" w:eastAsia="Times New Roman" w:cs="Times New Roman"/>
          <w:b/>
          <w:bCs/>
          <w:color w:val="282425"/>
          <w:sz w:val="24"/>
          <w:szCs w:val="24"/>
        </w:rPr>
        <w:t>Da</w:t>
      </w:r>
      <w:r>
        <w:rPr>
          <w:rFonts w:ascii="Times New Roman" w:hAnsi="Times New Roman" w:eastAsia="Times New Roman" w:cs="Times New Roman"/>
          <w:b/>
          <w:bCs/>
          <w:color w:val="282425"/>
          <w:spacing w:val="1"/>
          <w:sz w:val="24"/>
          <w:szCs w:val="24"/>
        </w:rPr>
        <w:t>t</w:t>
      </w:r>
      <w:r>
        <w:rPr>
          <w:rFonts w:ascii="Times New Roman" w:hAnsi="Times New Roman" w:eastAsia="Times New Roman" w:cs="Times New Roman"/>
          <w:b/>
          <w:bCs/>
          <w:color w:val="282425"/>
          <w:sz w:val="24"/>
          <w:szCs w:val="24"/>
        </w:rPr>
        <w:t>a</w:t>
      </w:r>
      <w:r>
        <w:rPr>
          <w:rFonts w:ascii="Times New Roman" w:hAnsi="Times New Roman" w:eastAsia="Times New Roman" w:cs="Times New Roman"/>
          <w:b/>
          <w:bCs/>
          <w:color w:val="282425"/>
          <w:spacing w:val="2"/>
          <w:sz w:val="24"/>
          <w:szCs w:val="24"/>
        </w:rPr>
        <w:t xml:space="preserve"> </w:t>
      </w:r>
      <w:r>
        <w:rPr>
          <w:rFonts w:ascii="Times New Roman" w:hAnsi="Times New Roman" w:eastAsia="Times New Roman" w:cs="Times New Roman"/>
          <w:b/>
          <w:bCs/>
          <w:color w:val="282425"/>
          <w:sz w:val="24"/>
          <w:szCs w:val="24"/>
        </w:rPr>
        <w:t>Col</w:t>
      </w:r>
      <w:r>
        <w:rPr>
          <w:rFonts w:ascii="Times New Roman" w:hAnsi="Times New Roman" w:eastAsia="Times New Roman" w:cs="Times New Roman"/>
          <w:b/>
          <w:bCs/>
          <w:color w:val="282425"/>
          <w:spacing w:val="1"/>
          <w:sz w:val="24"/>
          <w:szCs w:val="24"/>
        </w:rPr>
        <w:t>l</w:t>
      </w:r>
      <w:r>
        <w:rPr>
          <w:rFonts w:ascii="Times New Roman" w:hAnsi="Times New Roman" w:eastAsia="Times New Roman" w:cs="Times New Roman"/>
          <w:b/>
          <w:bCs/>
          <w:color w:val="282425"/>
          <w:sz w:val="24"/>
          <w:szCs w:val="24"/>
        </w:rPr>
        <w:t>e</w:t>
      </w:r>
      <w:r>
        <w:rPr>
          <w:rFonts w:ascii="Times New Roman" w:hAnsi="Times New Roman" w:eastAsia="Times New Roman" w:cs="Times New Roman"/>
          <w:b/>
          <w:bCs/>
          <w:color w:val="282425"/>
          <w:spacing w:val="-1"/>
          <w:sz w:val="24"/>
          <w:szCs w:val="24"/>
        </w:rPr>
        <w:t>c</w:t>
      </w:r>
      <w:r>
        <w:rPr>
          <w:rFonts w:ascii="Times New Roman" w:hAnsi="Times New Roman" w:eastAsia="Times New Roman" w:cs="Times New Roman"/>
          <w:b/>
          <w:bCs/>
          <w:color w:val="282425"/>
          <w:spacing w:val="1"/>
          <w:sz w:val="24"/>
          <w:szCs w:val="24"/>
        </w:rPr>
        <w:t>ti</w:t>
      </w:r>
      <w:r>
        <w:rPr>
          <w:rFonts w:ascii="Times New Roman" w:hAnsi="Times New Roman" w:eastAsia="Times New Roman" w:cs="Times New Roman"/>
          <w:b/>
          <w:bCs/>
          <w:color w:val="282425"/>
          <w:spacing w:val="-4"/>
          <w:sz w:val="24"/>
          <w:szCs w:val="24"/>
        </w:rPr>
        <w:t>o</w:t>
      </w:r>
      <w:r>
        <w:rPr>
          <w:rFonts w:ascii="Times New Roman" w:hAnsi="Times New Roman" w:eastAsia="Times New Roman" w:cs="Times New Roman"/>
          <w:b/>
          <w:bCs/>
          <w:color w:val="282425"/>
          <w:sz w:val="24"/>
          <w:szCs w:val="24"/>
        </w:rPr>
        <w:t>n</w:t>
      </w:r>
      <w:r>
        <w:rPr>
          <w:rFonts w:ascii="Times New Roman" w:hAnsi="Times New Roman" w:eastAsia="Times New Roman" w:cs="Times New Roman"/>
          <w:b/>
          <w:bCs/>
          <w:color w:val="282425"/>
          <w:spacing w:val="-1"/>
          <w:sz w:val="24"/>
          <w:szCs w:val="24"/>
        </w:rPr>
        <w:t xml:space="preserve"> </w:t>
      </w:r>
      <w:r>
        <w:rPr>
          <w:rFonts w:ascii="Times New Roman" w:hAnsi="Times New Roman" w:eastAsia="Times New Roman" w:cs="Times New Roman"/>
          <w:b/>
          <w:bCs/>
          <w:color w:val="282425"/>
          <w:spacing w:val="1"/>
          <w:sz w:val="24"/>
          <w:szCs w:val="24"/>
        </w:rPr>
        <w:t>P</w:t>
      </w:r>
      <w:r>
        <w:rPr>
          <w:rFonts w:ascii="Times New Roman" w:hAnsi="Times New Roman" w:eastAsia="Times New Roman" w:cs="Times New Roman"/>
          <w:b/>
          <w:bCs/>
          <w:color w:val="282425"/>
          <w:sz w:val="24"/>
          <w:szCs w:val="24"/>
        </w:rPr>
        <w:t>ro</w:t>
      </w:r>
      <w:r>
        <w:rPr>
          <w:rFonts w:ascii="Times New Roman" w:hAnsi="Times New Roman" w:eastAsia="Times New Roman" w:cs="Times New Roman"/>
          <w:b/>
          <w:bCs/>
          <w:color w:val="282425"/>
          <w:spacing w:val="-1"/>
          <w:sz w:val="24"/>
          <w:szCs w:val="24"/>
        </w:rPr>
        <w:t>c</w:t>
      </w:r>
      <w:r>
        <w:rPr>
          <w:rFonts w:ascii="Times New Roman" w:hAnsi="Times New Roman" w:eastAsia="Times New Roman" w:cs="Times New Roman"/>
          <w:b/>
          <w:bCs/>
          <w:color w:val="282425"/>
          <w:sz w:val="24"/>
          <w:szCs w:val="24"/>
        </w:rPr>
        <w:t>ed</w:t>
      </w:r>
      <w:r>
        <w:rPr>
          <w:rFonts w:ascii="Times New Roman" w:hAnsi="Times New Roman" w:eastAsia="Times New Roman" w:cs="Times New Roman"/>
          <w:b/>
          <w:bCs/>
          <w:color w:val="282425"/>
          <w:spacing w:val="1"/>
          <w:sz w:val="24"/>
          <w:szCs w:val="24"/>
        </w:rPr>
        <w:t>u</w:t>
      </w:r>
      <w:r>
        <w:rPr>
          <w:rFonts w:ascii="Times New Roman" w:hAnsi="Times New Roman" w:eastAsia="Times New Roman" w:cs="Times New Roman"/>
          <w:b/>
          <w:bCs/>
          <w:color w:val="282425"/>
          <w:sz w:val="24"/>
          <w:szCs w:val="24"/>
        </w:rPr>
        <w:t>re</w:t>
      </w:r>
    </w:p>
    <w:p w14:paraId="37DBDD2C">
      <w:pPr>
        <w:widowControl w:val="0"/>
        <w:spacing w:before="7" w:after="0" w:line="240" w:lineRule="auto"/>
        <w:ind w:right="964"/>
        <w:rPr>
          <w:rFonts w:ascii="Times New Roman" w:hAnsi="Times New Roman" w:eastAsia="Times New Roman" w:cs="Times New Roman"/>
          <w:color w:val="282425"/>
          <w:spacing w:val="2"/>
          <w:sz w:val="24"/>
          <w:szCs w:val="24"/>
        </w:rPr>
      </w:pPr>
      <w:r>
        <w:rPr>
          <w:rFonts w:ascii="Times New Roman" w:hAnsi="Times New Roman" w:eastAsia="Times New Roman" w:cs="Times New Roman"/>
          <w:color w:val="282425"/>
          <w:spacing w:val="2"/>
          <w:sz w:val="24"/>
          <w:szCs w:val="24"/>
        </w:rPr>
        <w:t>Data collection will follow a structured and ethical process. First, the researcher will obtain the necessary approvals from relevant authorities, including the university ethics committee and the Ministry of Education in Garissa County. Upon receiving consent, the researcher will engage school heads to coordinate the study schedule and gain access to participants.</w:t>
      </w:r>
    </w:p>
    <w:p w14:paraId="5FDDFE60">
      <w:pPr>
        <w:widowControl w:val="0"/>
        <w:spacing w:before="7" w:after="0" w:line="240" w:lineRule="auto"/>
        <w:ind w:right="964"/>
        <w:rPr>
          <w:rFonts w:ascii="Times New Roman" w:hAnsi="Times New Roman" w:eastAsia="Times New Roman" w:cs="Times New Roman"/>
          <w:color w:val="282425"/>
          <w:spacing w:val="2"/>
          <w:sz w:val="24"/>
          <w:szCs w:val="24"/>
        </w:rPr>
      </w:pPr>
      <w:r>
        <w:rPr>
          <w:rFonts w:ascii="Times New Roman" w:hAnsi="Times New Roman" w:eastAsia="Times New Roman" w:cs="Times New Roman"/>
          <w:color w:val="282425"/>
          <w:spacing w:val="2"/>
          <w:sz w:val="24"/>
          <w:szCs w:val="24"/>
        </w:rPr>
        <w:t xml:space="preserve">The researcher will then visit selected rural </w:t>
      </w:r>
      <w:r>
        <w:rPr>
          <w:rFonts w:ascii="Times New Roman" w:hAnsi="Times New Roman" w:eastAsia="Times New Roman" w:cs="Times New Roman"/>
          <w:color w:val="282425"/>
          <w:spacing w:val="2"/>
          <w:sz w:val="24"/>
          <w:szCs w:val="24"/>
          <w:lang w:val="en-US"/>
        </w:rPr>
        <w:t>junior schools</w:t>
      </w:r>
      <w:r>
        <w:rPr>
          <w:rFonts w:ascii="Times New Roman" w:hAnsi="Times New Roman" w:eastAsia="Times New Roman" w:cs="Times New Roman"/>
          <w:color w:val="282425"/>
          <w:spacing w:val="2"/>
          <w:sz w:val="24"/>
          <w:szCs w:val="24"/>
        </w:rPr>
        <w:t xml:space="preserve"> in Lagdera Sub-County to administer questionnaires to students and teachers. Interviews will be conducted with parents and key informants such as headteachers. Data collection tools will be administered in-person to ensure high response rates and to provide clarification where neede</w:t>
      </w:r>
      <w:r>
        <w:rPr>
          <w:rFonts w:hint="default" w:ascii="Times New Roman" w:hAnsi="Times New Roman" w:eastAsia="Times New Roman" w:cs="Times New Roman"/>
          <w:color w:val="282425"/>
          <w:spacing w:val="2"/>
          <w:sz w:val="24"/>
          <w:szCs w:val="24"/>
          <w:lang w:val="en-US"/>
        </w:rPr>
        <w:t xml:space="preserve">d. </w:t>
      </w:r>
      <w:r>
        <w:rPr>
          <w:rFonts w:ascii="Times New Roman" w:hAnsi="Times New Roman" w:eastAsia="Times New Roman" w:cs="Times New Roman"/>
          <w:color w:val="282425"/>
          <w:spacing w:val="2"/>
          <w:sz w:val="24"/>
          <w:szCs w:val="24"/>
        </w:rPr>
        <w:t xml:space="preserve"> All participants will be assured of confidentiality, and informed consent will be obtained prior to participation.</w:t>
      </w:r>
    </w:p>
    <w:p w14:paraId="2D99A3CB">
      <w:pPr>
        <w:widowControl w:val="0"/>
        <w:spacing w:before="7" w:after="0" w:line="240" w:lineRule="auto"/>
        <w:ind w:right="964"/>
        <w:rPr>
          <w:rFonts w:ascii="Times New Roman" w:hAnsi="Times New Roman" w:eastAsia="Times New Roman" w:cs="Times New Roman"/>
          <w:color w:val="282425"/>
          <w:spacing w:val="2"/>
          <w:sz w:val="24"/>
          <w:szCs w:val="24"/>
        </w:rPr>
      </w:pPr>
    </w:p>
    <w:p w14:paraId="23767FD0">
      <w:pPr>
        <w:pStyle w:val="7"/>
        <w:widowControl w:val="0"/>
        <w:numPr>
          <w:ilvl w:val="0"/>
          <w:numId w:val="1"/>
        </w:numPr>
        <w:spacing w:after="0" w:line="240" w:lineRule="auto"/>
        <w:ind w:left="425" w:leftChars="0" w:right="-20" w:hanging="425" w:firstLineChars="0"/>
        <w:jc w:val="center"/>
        <w:rPr>
          <w:rFonts w:ascii="Times New Roman" w:hAnsi="Times New Roman" w:eastAsia="Times New Roman" w:cs="Times New Roman"/>
          <w:b/>
          <w:bCs/>
          <w:color w:val="282425"/>
          <w:sz w:val="24"/>
          <w:szCs w:val="24"/>
        </w:rPr>
      </w:pPr>
      <w:r>
        <w:rPr>
          <w:rFonts w:ascii="Times New Roman" w:hAnsi="Times New Roman" w:eastAsia="Times New Roman" w:cs="Times New Roman"/>
          <w:b/>
          <w:bCs/>
          <w:color w:val="282425"/>
          <w:spacing w:val="-1"/>
          <w:sz w:val="24"/>
          <w:szCs w:val="24"/>
        </w:rPr>
        <w:t>E</w:t>
      </w:r>
      <w:r>
        <w:rPr>
          <w:rFonts w:ascii="Times New Roman" w:hAnsi="Times New Roman" w:eastAsia="Times New Roman" w:cs="Times New Roman"/>
          <w:b/>
          <w:bCs/>
          <w:color w:val="282425"/>
          <w:spacing w:val="1"/>
          <w:sz w:val="24"/>
          <w:szCs w:val="24"/>
        </w:rPr>
        <w:t>thi</w:t>
      </w:r>
      <w:r>
        <w:rPr>
          <w:rFonts w:ascii="Times New Roman" w:hAnsi="Times New Roman" w:eastAsia="Times New Roman" w:cs="Times New Roman"/>
          <w:b/>
          <w:bCs/>
          <w:color w:val="282425"/>
          <w:sz w:val="24"/>
          <w:szCs w:val="24"/>
        </w:rPr>
        <w:t>cal</w:t>
      </w:r>
      <w:r>
        <w:rPr>
          <w:rFonts w:ascii="Times New Roman" w:hAnsi="Times New Roman" w:eastAsia="Times New Roman" w:cs="Times New Roman"/>
          <w:b/>
          <w:bCs/>
          <w:color w:val="282425"/>
          <w:spacing w:val="2"/>
          <w:sz w:val="24"/>
          <w:szCs w:val="24"/>
        </w:rPr>
        <w:t xml:space="preserve"> </w:t>
      </w:r>
      <w:r>
        <w:rPr>
          <w:rFonts w:ascii="Times New Roman" w:hAnsi="Times New Roman" w:eastAsia="Times New Roman" w:cs="Times New Roman"/>
          <w:b/>
          <w:bCs/>
          <w:color w:val="282425"/>
          <w:sz w:val="24"/>
          <w:szCs w:val="24"/>
        </w:rPr>
        <w:t>Co</w:t>
      </w:r>
      <w:r>
        <w:rPr>
          <w:rFonts w:ascii="Times New Roman" w:hAnsi="Times New Roman" w:eastAsia="Times New Roman" w:cs="Times New Roman"/>
          <w:b/>
          <w:bCs/>
          <w:color w:val="282425"/>
          <w:spacing w:val="1"/>
          <w:sz w:val="24"/>
          <w:szCs w:val="24"/>
        </w:rPr>
        <w:t>n</w:t>
      </w:r>
      <w:r>
        <w:rPr>
          <w:rFonts w:ascii="Times New Roman" w:hAnsi="Times New Roman" w:eastAsia="Times New Roman" w:cs="Times New Roman"/>
          <w:b/>
          <w:bCs/>
          <w:color w:val="282425"/>
          <w:spacing w:val="-1"/>
          <w:sz w:val="24"/>
          <w:szCs w:val="24"/>
        </w:rPr>
        <w:t>s</w:t>
      </w:r>
      <w:r>
        <w:rPr>
          <w:rFonts w:ascii="Times New Roman" w:hAnsi="Times New Roman" w:eastAsia="Times New Roman" w:cs="Times New Roman"/>
          <w:b/>
          <w:bCs/>
          <w:color w:val="282425"/>
          <w:sz w:val="24"/>
          <w:szCs w:val="24"/>
        </w:rPr>
        <w:t>idera</w:t>
      </w:r>
      <w:r>
        <w:rPr>
          <w:rFonts w:ascii="Times New Roman" w:hAnsi="Times New Roman" w:eastAsia="Times New Roman" w:cs="Times New Roman"/>
          <w:b/>
          <w:bCs/>
          <w:color w:val="282425"/>
          <w:spacing w:val="1"/>
          <w:sz w:val="24"/>
          <w:szCs w:val="24"/>
        </w:rPr>
        <w:t>t</w:t>
      </w:r>
      <w:r>
        <w:rPr>
          <w:rFonts w:ascii="Times New Roman" w:hAnsi="Times New Roman" w:eastAsia="Times New Roman" w:cs="Times New Roman"/>
          <w:b/>
          <w:bCs/>
          <w:color w:val="282425"/>
          <w:sz w:val="24"/>
          <w:szCs w:val="24"/>
        </w:rPr>
        <w:t>io</w:t>
      </w:r>
      <w:r>
        <w:rPr>
          <w:rFonts w:ascii="Times New Roman" w:hAnsi="Times New Roman" w:eastAsia="Times New Roman" w:cs="Times New Roman"/>
          <w:b/>
          <w:bCs/>
          <w:color w:val="282425"/>
          <w:spacing w:val="1"/>
          <w:sz w:val="24"/>
          <w:szCs w:val="24"/>
        </w:rPr>
        <w:t>n</w:t>
      </w:r>
      <w:r>
        <w:rPr>
          <w:rFonts w:ascii="Times New Roman" w:hAnsi="Times New Roman" w:eastAsia="Times New Roman" w:cs="Times New Roman"/>
          <w:b/>
          <w:bCs/>
          <w:color w:val="282425"/>
          <w:sz w:val="24"/>
          <w:szCs w:val="24"/>
        </w:rPr>
        <w:t>s</w:t>
      </w:r>
    </w:p>
    <w:p w14:paraId="10B1A181">
      <w:pPr>
        <w:spacing w:after="0" w:line="24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This study will uphold strict ethical standards to protect the rights and welfare of all participants. Ethical clearance will be obtained from the relevant university ethics committee before the commencement of data collection. Informed consent will be sought from all participants, including assent from minors and consent from their parents or guardians.</w:t>
      </w:r>
    </w:p>
    <w:p w14:paraId="184006BB">
      <w:pPr>
        <w:spacing w:after="0" w:line="240" w:lineRule="auto"/>
        <w:rPr>
          <w:rFonts w:ascii="Times New Roman" w:hAnsi="Times New Roman" w:eastAsia="Times New Roman" w:cs="Times New Roman"/>
          <w:sz w:val="24"/>
          <w:szCs w:val="24"/>
        </w:rPr>
      </w:pPr>
    </w:p>
    <w:p w14:paraId="27518F60">
      <w:pPr>
        <w:spacing w:after="0" w:line="24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Every participant will learn about the study purpose together with their ability to leave at any moment while the collected information will remain confidential for academic use. All personal identifying details will be kept private to protect participant anonymity. The researcher will handle gender role and school dropout topics with care to maintain participant safety and respect during all stages of the study.</w:t>
      </w:r>
    </w:p>
    <w:p w14:paraId="34F9A285">
      <w:pPr>
        <w:spacing w:after="0" w:line="240" w:lineRule="auto"/>
        <w:rPr>
          <w:rFonts w:ascii="Times New Roman" w:hAnsi="Times New Roman" w:eastAsia="Times New Roman" w:cs="Times New Roman"/>
          <w:sz w:val="24"/>
          <w:szCs w:val="24"/>
        </w:rPr>
      </w:pPr>
    </w:p>
    <w:p w14:paraId="73CCEE14">
      <w:pPr>
        <w:pStyle w:val="7"/>
        <w:widowControl w:val="0"/>
        <w:numPr>
          <w:ilvl w:val="0"/>
          <w:numId w:val="1"/>
        </w:numPr>
        <w:spacing w:after="0" w:line="240" w:lineRule="auto"/>
        <w:ind w:left="425" w:leftChars="0" w:right="2553" w:hanging="425" w:firstLineChars="0"/>
        <w:jc w:val="center"/>
        <w:rPr>
          <w:rFonts w:ascii="Times New Roman" w:hAnsi="Times New Roman" w:eastAsia="Times New Roman" w:cs="Times New Roman"/>
          <w:b/>
          <w:bCs/>
          <w:color w:val="000000"/>
          <w:sz w:val="24"/>
          <w:szCs w:val="24"/>
        </w:rPr>
      </w:pPr>
      <w:r>
        <w:rPr>
          <w:rFonts w:ascii="Times New Roman" w:hAnsi="Times New Roman" w:eastAsia="Times New Roman" w:cs="Times New Roman"/>
          <w:b/>
          <w:bCs/>
          <w:color w:val="000000"/>
          <w:sz w:val="24"/>
          <w:szCs w:val="24"/>
        </w:rPr>
        <w:t>Da</w:t>
      </w:r>
      <w:r>
        <w:rPr>
          <w:rFonts w:ascii="Times New Roman" w:hAnsi="Times New Roman" w:eastAsia="Times New Roman" w:cs="Times New Roman"/>
          <w:b/>
          <w:bCs/>
          <w:color w:val="000000"/>
          <w:spacing w:val="1"/>
          <w:sz w:val="24"/>
          <w:szCs w:val="24"/>
        </w:rPr>
        <w:t>t</w:t>
      </w:r>
      <w:r>
        <w:rPr>
          <w:rFonts w:ascii="Times New Roman" w:hAnsi="Times New Roman" w:eastAsia="Times New Roman" w:cs="Times New Roman"/>
          <w:b/>
          <w:bCs/>
          <w:color w:val="000000"/>
          <w:sz w:val="24"/>
          <w:szCs w:val="24"/>
        </w:rPr>
        <w:t>a</w:t>
      </w:r>
      <w:r>
        <w:rPr>
          <w:rFonts w:ascii="Times New Roman" w:hAnsi="Times New Roman" w:eastAsia="Times New Roman" w:cs="Times New Roman"/>
          <w:b/>
          <w:bCs/>
          <w:color w:val="000000"/>
          <w:spacing w:val="3"/>
          <w:sz w:val="24"/>
          <w:szCs w:val="24"/>
        </w:rPr>
        <w:t xml:space="preserve"> </w:t>
      </w:r>
      <w:r>
        <w:rPr>
          <w:rFonts w:ascii="Times New Roman" w:hAnsi="Times New Roman" w:eastAsia="Times New Roman" w:cs="Times New Roman"/>
          <w:b/>
          <w:bCs/>
          <w:color w:val="000000"/>
          <w:sz w:val="24"/>
          <w:szCs w:val="24"/>
        </w:rPr>
        <w:t>Ana</w:t>
      </w:r>
      <w:r>
        <w:rPr>
          <w:rFonts w:ascii="Times New Roman" w:hAnsi="Times New Roman" w:eastAsia="Times New Roman" w:cs="Times New Roman"/>
          <w:b/>
          <w:bCs/>
          <w:color w:val="000000"/>
          <w:spacing w:val="1"/>
          <w:sz w:val="24"/>
          <w:szCs w:val="24"/>
        </w:rPr>
        <w:t>l</w:t>
      </w:r>
      <w:r>
        <w:rPr>
          <w:rFonts w:ascii="Times New Roman" w:hAnsi="Times New Roman" w:eastAsia="Times New Roman" w:cs="Times New Roman"/>
          <w:b/>
          <w:bCs/>
          <w:color w:val="000000"/>
          <w:sz w:val="24"/>
          <w:szCs w:val="24"/>
        </w:rPr>
        <w:t>y</w:t>
      </w:r>
      <w:r>
        <w:rPr>
          <w:rFonts w:ascii="Times New Roman" w:hAnsi="Times New Roman" w:eastAsia="Times New Roman" w:cs="Times New Roman"/>
          <w:b/>
          <w:bCs/>
          <w:color w:val="000000"/>
          <w:spacing w:val="-1"/>
          <w:sz w:val="24"/>
          <w:szCs w:val="24"/>
        </w:rPr>
        <w:t>s</w:t>
      </w:r>
      <w:r>
        <w:rPr>
          <w:rFonts w:ascii="Times New Roman" w:hAnsi="Times New Roman" w:eastAsia="Times New Roman" w:cs="Times New Roman"/>
          <w:b/>
          <w:bCs/>
          <w:color w:val="000000"/>
          <w:sz w:val="24"/>
          <w:szCs w:val="24"/>
        </w:rPr>
        <w:t>is M</w:t>
      </w:r>
      <w:r>
        <w:rPr>
          <w:rFonts w:ascii="Times New Roman" w:hAnsi="Times New Roman" w:eastAsia="Times New Roman" w:cs="Times New Roman"/>
          <w:b/>
          <w:bCs/>
          <w:color w:val="000000"/>
          <w:spacing w:val="-1"/>
          <w:sz w:val="24"/>
          <w:szCs w:val="24"/>
        </w:rPr>
        <w:t>e</w:t>
      </w:r>
      <w:r>
        <w:rPr>
          <w:rFonts w:ascii="Times New Roman" w:hAnsi="Times New Roman" w:eastAsia="Times New Roman" w:cs="Times New Roman"/>
          <w:b/>
          <w:bCs/>
          <w:color w:val="000000"/>
          <w:spacing w:val="1"/>
          <w:sz w:val="24"/>
          <w:szCs w:val="24"/>
        </w:rPr>
        <w:t>th</w:t>
      </w:r>
      <w:r>
        <w:rPr>
          <w:rFonts w:ascii="Times New Roman" w:hAnsi="Times New Roman" w:eastAsia="Times New Roman" w:cs="Times New Roman"/>
          <w:b/>
          <w:bCs/>
          <w:color w:val="000000"/>
          <w:sz w:val="24"/>
          <w:szCs w:val="24"/>
        </w:rPr>
        <w:t>o</w:t>
      </w:r>
      <w:r>
        <w:rPr>
          <w:rFonts w:ascii="Times New Roman" w:hAnsi="Times New Roman" w:eastAsia="Times New Roman" w:cs="Times New Roman"/>
          <w:b/>
          <w:bCs/>
          <w:color w:val="000000"/>
          <w:spacing w:val="1"/>
          <w:sz w:val="24"/>
          <w:szCs w:val="24"/>
        </w:rPr>
        <w:t>d</w:t>
      </w:r>
      <w:r>
        <w:rPr>
          <w:rFonts w:ascii="Times New Roman" w:hAnsi="Times New Roman" w:eastAsia="Times New Roman" w:cs="Times New Roman"/>
          <w:b/>
          <w:bCs/>
          <w:color w:val="000000"/>
          <w:sz w:val="24"/>
          <w:szCs w:val="24"/>
        </w:rPr>
        <w:t>s</w:t>
      </w:r>
    </w:p>
    <w:p w14:paraId="0DCAF1D2">
      <w:pPr>
        <w:spacing w:after="0" w:line="24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The data collected will be analyzed using both quantitative and qualitative techniques. Quantitative data from structured questionnaires will be coded and entered into the Statistical Package for the Social Sciences (SPSS) software. Descriptive statistics such as frequencies, percentages, means, and standard deviations will be used to summarize data. Inferential statistics such as chi-square tests and correlation analysis will be used to test relationships between domestic chores and girls’ dropout rates. Qualitative data from interviews and open-ended questions will be analyzed thematically. Responses will be transcribed, categorized, and coded to identify recurring themes and patterns relevant to the research objectives.</w:t>
      </w:r>
    </w:p>
    <w:p w14:paraId="4B805A21">
      <w:pPr>
        <w:spacing w:after="0" w:line="240" w:lineRule="auto"/>
        <w:rPr>
          <w:rFonts w:ascii="Times New Roman" w:hAnsi="Times New Roman" w:eastAsia="Times New Roman" w:cs="Times New Roman"/>
          <w:sz w:val="24"/>
          <w:szCs w:val="24"/>
        </w:rPr>
      </w:pPr>
      <w:r>
        <w:rPr>
          <w:rFonts w:ascii="Times New Roman" w:hAnsi="Times New Roman" w:eastAsia="Times New Roman" w:cs="Times New Roman"/>
          <w:sz w:val="24"/>
          <w:szCs w:val="24"/>
        </w:rPr>
        <w:t>This mixed-methods approach will help in validating the findings and providing a more comprehensive understanding of the research problem</w:t>
      </w:r>
    </w:p>
    <w:p w14:paraId="520C24BE">
      <w:pPr>
        <w:pStyle w:val="2"/>
        <w:keepNext w:val="0"/>
        <w:keepLines w:val="0"/>
        <w:widowControl/>
        <w:suppressLineNumbers w:val="0"/>
        <w:rPr>
          <w:b w:val="0"/>
          <w:bCs w:val="0"/>
          <w:i w:val="0"/>
          <w:iCs w:val="0"/>
        </w:rPr>
      </w:pPr>
    </w:p>
    <w:p w14:paraId="38098428">
      <w:pPr>
        <w:pStyle w:val="2"/>
        <w:keepNext w:val="0"/>
        <w:keepLines w:val="0"/>
        <w:widowControl/>
        <w:suppressLineNumbers w:val="0"/>
        <w:rPr>
          <w:b w:val="0"/>
          <w:bCs w:val="0"/>
          <w:i/>
          <w:iCs/>
        </w:rPr>
      </w:pPr>
    </w:p>
    <w:p w14:paraId="5F01FCAA">
      <w:pPr>
        <w:pStyle w:val="2"/>
        <w:keepNext w:val="0"/>
        <w:keepLines w:val="0"/>
        <w:widowControl/>
        <w:suppressLineNumbers w:val="0"/>
        <w:rPr>
          <w:b w:val="0"/>
          <w:bCs w:val="0"/>
          <w:i/>
          <w:iCs/>
        </w:rPr>
      </w:pPr>
    </w:p>
    <w:p w14:paraId="372A14AC">
      <w:pPr>
        <w:pStyle w:val="2"/>
        <w:keepNext w:val="0"/>
        <w:keepLines w:val="0"/>
        <w:widowControl/>
        <w:suppressLineNumbers w:val="0"/>
        <w:rPr>
          <w:b w:val="0"/>
          <w:bCs w:val="0"/>
          <w:i/>
          <w:iCs/>
        </w:rPr>
      </w:pPr>
    </w:p>
    <w:p w14:paraId="6D81B55F">
      <w:pPr>
        <w:pStyle w:val="2"/>
        <w:keepNext w:val="0"/>
        <w:keepLines w:val="0"/>
        <w:widowControl/>
        <w:suppressLineNumbers w:val="0"/>
        <w:rPr>
          <w:b w:val="0"/>
          <w:bCs w:val="0"/>
          <w:i/>
          <w:iCs/>
        </w:rPr>
      </w:pPr>
    </w:p>
    <w:p w14:paraId="0DFFA96B">
      <w:pPr>
        <w:pStyle w:val="2"/>
        <w:keepNext w:val="0"/>
        <w:keepLines w:val="0"/>
        <w:widowControl/>
        <w:suppressLineNumbers w:val="0"/>
        <w:rPr>
          <w:b w:val="0"/>
          <w:bCs w:val="0"/>
          <w:i/>
          <w:iCs/>
        </w:rPr>
      </w:pPr>
    </w:p>
    <w:p w14:paraId="11F13456">
      <w:pPr>
        <w:pStyle w:val="2"/>
        <w:keepNext w:val="0"/>
        <w:keepLines w:val="0"/>
        <w:widowControl/>
        <w:suppressLineNumbers w:val="0"/>
        <w:rPr>
          <w:b w:val="0"/>
          <w:bCs w:val="0"/>
          <w:i/>
          <w:iCs/>
        </w:rPr>
      </w:pPr>
    </w:p>
    <w:p w14:paraId="32066FF2">
      <w:pPr>
        <w:pStyle w:val="2"/>
        <w:keepNext w:val="0"/>
        <w:keepLines w:val="0"/>
        <w:widowControl/>
        <w:suppressLineNumbers w:val="0"/>
        <w:rPr>
          <w:b/>
          <w:bCs/>
          <w:i/>
          <w:iCs/>
        </w:rPr>
      </w:pPr>
      <w:r>
        <w:rPr>
          <w:b/>
          <w:bCs/>
          <w:i/>
          <w:iCs/>
        </w:rPr>
        <w:t>References</w:t>
      </w:r>
    </w:p>
    <w:p w14:paraId="5ABCB038">
      <w:pPr>
        <w:pStyle w:val="6"/>
        <w:keepNext w:val="0"/>
        <w:keepLines w:val="0"/>
        <w:pageBreakBefore w:val="0"/>
        <w:widowControl/>
        <w:suppressLineNumbers w:val="0"/>
        <w:kinsoku/>
        <w:wordWrap/>
        <w:overflowPunct/>
        <w:topLinePunct w:val="0"/>
        <w:autoSpaceDE/>
        <w:autoSpaceDN/>
        <w:bidi w:val="0"/>
        <w:adjustRightInd/>
        <w:snapToGrid/>
        <w:spacing w:line="360" w:lineRule="auto"/>
        <w:ind w:left="480" w:hanging="480" w:hangingChars="200"/>
        <w:textAlignment w:val="auto"/>
      </w:pPr>
      <w:r>
        <w:t xml:space="preserve">Agengo, J. O., &amp; Mugisha, F. (2025). </w:t>
      </w:r>
      <w:r>
        <w:rPr>
          <w:rStyle w:val="5"/>
        </w:rPr>
        <w:t>Socio-cultural factors influencing girls’ school dropout in rural communities of Kyamuhunga District, Uganda</w:t>
      </w:r>
      <w:r>
        <w:t>. Makerere University.</w:t>
      </w:r>
    </w:p>
    <w:p w14:paraId="5E6B86B0">
      <w:pPr>
        <w:pStyle w:val="6"/>
        <w:keepNext w:val="0"/>
        <w:keepLines w:val="0"/>
        <w:pageBreakBefore w:val="0"/>
        <w:widowControl/>
        <w:suppressLineNumbers w:val="0"/>
        <w:kinsoku/>
        <w:wordWrap/>
        <w:overflowPunct/>
        <w:topLinePunct w:val="0"/>
        <w:autoSpaceDE/>
        <w:autoSpaceDN/>
        <w:bidi w:val="0"/>
        <w:adjustRightInd/>
        <w:snapToGrid/>
        <w:spacing w:line="360" w:lineRule="auto"/>
        <w:ind w:left="480" w:hanging="480" w:hangingChars="200"/>
        <w:textAlignment w:val="auto"/>
      </w:pPr>
      <w:r>
        <w:t xml:space="preserve">Bronfenbrenner, U. (1979). </w:t>
      </w:r>
      <w:r>
        <w:rPr>
          <w:rStyle w:val="5"/>
        </w:rPr>
        <w:t>The ecology of human development: Experiments by nature and design</w:t>
      </w:r>
      <w:r>
        <w:t>. Harvard University Press.</w:t>
      </w:r>
    </w:p>
    <w:p w14:paraId="7F1D94A7">
      <w:pPr>
        <w:pStyle w:val="6"/>
        <w:keepNext w:val="0"/>
        <w:keepLines w:val="0"/>
        <w:pageBreakBefore w:val="0"/>
        <w:widowControl/>
        <w:suppressLineNumbers w:val="0"/>
        <w:kinsoku/>
        <w:wordWrap/>
        <w:overflowPunct/>
        <w:topLinePunct w:val="0"/>
        <w:autoSpaceDE/>
        <w:autoSpaceDN/>
        <w:bidi w:val="0"/>
        <w:adjustRightInd/>
        <w:snapToGrid/>
        <w:spacing w:line="360" w:lineRule="auto"/>
        <w:ind w:left="480" w:hanging="480" w:hangingChars="200"/>
        <w:textAlignment w:val="auto"/>
      </w:pPr>
      <w:r>
        <w:t xml:space="preserve">Dagane, A. M., &amp; Aden, H. A. (2021). </w:t>
      </w:r>
      <w:r>
        <w:rPr>
          <w:rStyle w:val="5"/>
        </w:rPr>
        <w:t>Household responsibilities and school participation among girls in Dadaab refugee camps, Kenya</w:t>
      </w:r>
      <w:r>
        <w:t>. United Nations High Commissioner for Refugees (UNHCR).</w:t>
      </w:r>
    </w:p>
    <w:p w14:paraId="0A6F92CA">
      <w:pPr>
        <w:pStyle w:val="6"/>
        <w:keepNext w:val="0"/>
        <w:keepLines w:val="0"/>
        <w:pageBreakBefore w:val="0"/>
        <w:widowControl/>
        <w:suppressLineNumbers w:val="0"/>
        <w:kinsoku/>
        <w:wordWrap/>
        <w:overflowPunct/>
        <w:topLinePunct w:val="0"/>
        <w:autoSpaceDE/>
        <w:autoSpaceDN/>
        <w:bidi w:val="0"/>
        <w:adjustRightInd/>
        <w:snapToGrid/>
        <w:spacing w:line="360" w:lineRule="auto"/>
        <w:ind w:left="480" w:hanging="480" w:hangingChars="200"/>
        <w:textAlignment w:val="auto"/>
      </w:pPr>
      <w:r>
        <w:t xml:space="preserve">Eagly, A. H., &amp; Wood, W. (1991). Explaining sex differences in social behavior: A meta-analytic perspective. </w:t>
      </w:r>
      <w:r>
        <w:rPr>
          <w:rStyle w:val="5"/>
        </w:rPr>
        <w:t>Personality and Social Psychology Bulletin, 17</w:t>
      </w:r>
      <w:r>
        <w:t>(3), 306–315. https://doi.org/10.1177/0146167291173011</w:t>
      </w:r>
    </w:p>
    <w:p w14:paraId="220927FC">
      <w:pPr>
        <w:pStyle w:val="6"/>
        <w:keepNext w:val="0"/>
        <w:keepLines w:val="0"/>
        <w:pageBreakBefore w:val="0"/>
        <w:widowControl/>
        <w:suppressLineNumbers w:val="0"/>
        <w:kinsoku/>
        <w:wordWrap/>
        <w:overflowPunct/>
        <w:topLinePunct w:val="0"/>
        <w:autoSpaceDE/>
        <w:autoSpaceDN/>
        <w:bidi w:val="0"/>
        <w:adjustRightInd/>
        <w:snapToGrid/>
        <w:spacing w:line="360" w:lineRule="auto"/>
        <w:ind w:left="480" w:hanging="480" w:hangingChars="200"/>
        <w:textAlignment w:val="auto"/>
      </w:pPr>
      <w:r>
        <w:t xml:space="preserve">Government of Kenya. (2010). </w:t>
      </w:r>
      <w:r>
        <w:rPr>
          <w:rStyle w:val="5"/>
        </w:rPr>
        <w:t>The Constitution of Kenya (2010)</w:t>
      </w:r>
      <w:r>
        <w:t>. Government Printer.</w:t>
      </w:r>
    </w:p>
    <w:p w14:paraId="32EC20C7">
      <w:pPr>
        <w:pStyle w:val="6"/>
        <w:keepNext w:val="0"/>
        <w:keepLines w:val="0"/>
        <w:pageBreakBefore w:val="0"/>
        <w:widowControl/>
        <w:suppressLineNumbers w:val="0"/>
        <w:kinsoku/>
        <w:wordWrap/>
        <w:overflowPunct/>
        <w:topLinePunct w:val="0"/>
        <w:autoSpaceDE/>
        <w:autoSpaceDN/>
        <w:bidi w:val="0"/>
        <w:adjustRightInd/>
        <w:snapToGrid/>
        <w:spacing w:line="360" w:lineRule="auto"/>
        <w:ind w:left="480" w:hanging="480" w:hangingChars="200"/>
        <w:textAlignment w:val="auto"/>
      </w:pPr>
      <w:r>
        <w:t xml:space="preserve">Government of Kenya, Ministry of Education. (2015). </w:t>
      </w:r>
      <w:r>
        <w:rPr>
          <w:rStyle w:val="5"/>
        </w:rPr>
        <w:t>Education and training sector gender policy</w:t>
      </w:r>
      <w:r>
        <w:t>. Government Printer.</w:t>
      </w:r>
    </w:p>
    <w:p w14:paraId="6B909307">
      <w:pPr>
        <w:pStyle w:val="6"/>
        <w:keepNext w:val="0"/>
        <w:keepLines w:val="0"/>
        <w:pageBreakBefore w:val="0"/>
        <w:widowControl/>
        <w:suppressLineNumbers w:val="0"/>
        <w:kinsoku/>
        <w:wordWrap/>
        <w:overflowPunct/>
        <w:topLinePunct w:val="0"/>
        <w:autoSpaceDE/>
        <w:autoSpaceDN/>
        <w:bidi w:val="0"/>
        <w:adjustRightInd/>
        <w:snapToGrid/>
        <w:spacing w:line="360" w:lineRule="auto"/>
        <w:ind w:left="480" w:hanging="480" w:hangingChars="200"/>
        <w:textAlignment w:val="auto"/>
      </w:pPr>
      <w:r>
        <w:t xml:space="preserve">Government of Kenya, Ministry of Labour and Social Protection. (2017). </w:t>
      </w:r>
      <w:r>
        <w:rPr>
          <w:rStyle w:val="5"/>
        </w:rPr>
        <w:t>National child labour policy</w:t>
      </w:r>
      <w:r>
        <w:t>. Government Printer.</w:t>
      </w:r>
    </w:p>
    <w:p w14:paraId="6D7B81D7">
      <w:pPr>
        <w:pStyle w:val="6"/>
        <w:keepNext w:val="0"/>
        <w:keepLines w:val="0"/>
        <w:pageBreakBefore w:val="0"/>
        <w:widowControl/>
        <w:suppressLineNumbers w:val="0"/>
        <w:kinsoku/>
        <w:wordWrap/>
        <w:overflowPunct/>
        <w:topLinePunct w:val="0"/>
        <w:autoSpaceDE/>
        <w:autoSpaceDN/>
        <w:bidi w:val="0"/>
        <w:adjustRightInd/>
        <w:snapToGrid/>
        <w:spacing w:line="360" w:lineRule="auto"/>
        <w:ind w:left="480" w:hanging="480" w:hangingChars="200"/>
        <w:textAlignment w:val="auto"/>
      </w:pPr>
      <w:r>
        <w:t xml:space="preserve">Nyamweya, J. O. (2012). </w:t>
      </w:r>
      <w:r>
        <w:rPr>
          <w:rStyle w:val="5"/>
        </w:rPr>
        <w:t>Factors influencing girls’ participation in secondary education in Kajiado North District, Kenya</w:t>
      </w:r>
      <w:r>
        <w:t xml:space="preserve"> (Unpublished master’s thesis). University of Nairobi.</w:t>
      </w:r>
    </w:p>
    <w:p w14:paraId="29D4C43E">
      <w:pPr>
        <w:pStyle w:val="6"/>
        <w:keepNext w:val="0"/>
        <w:keepLines w:val="0"/>
        <w:pageBreakBefore w:val="0"/>
        <w:widowControl/>
        <w:suppressLineNumbers w:val="0"/>
        <w:kinsoku/>
        <w:wordWrap/>
        <w:overflowPunct/>
        <w:topLinePunct w:val="0"/>
        <w:autoSpaceDE/>
        <w:autoSpaceDN/>
        <w:bidi w:val="0"/>
        <w:adjustRightInd/>
        <w:snapToGrid/>
        <w:spacing w:line="360" w:lineRule="auto"/>
        <w:ind w:left="480" w:hanging="480" w:hangingChars="200"/>
        <w:textAlignment w:val="auto"/>
      </w:pPr>
      <w:r>
        <w:t xml:space="preserve">UNICEF. (2020). </w:t>
      </w:r>
      <w:r>
        <w:rPr>
          <w:rStyle w:val="5"/>
        </w:rPr>
        <w:t>Girls’ education and gender equality in education</w:t>
      </w:r>
      <w:r>
        <w:t>. United Nations Children’s Fund.</w:t>
      </w:r>
      <w:bookmarkStart w:id="0" w:name="_GoBack"/>
      <w:bookmarkEnd w:id="0"/>
    </w:p>
    <w:p w14:paraId="1566E997">
      <w:pPr>
        <w:pStyle w:val="6"/>
        <w:keepNext w:val="0"/>
        <w:keepLines w:val="0"/>
        <w:pageBreakBefore w:val="0"/>
        <w:widowControl/>
        <w:suppressLineNumbers w:val="0"/>
        <w:kinsoku/>
        <w:wordWrap/>
        <w:overflowPunct/>
        <w:topLinePunct w:val="0"/>
        <w:autoSpaceDE/>
        <w:autoSpaceDN/>
        <w:bidi w:val="0"/>
        <w:adjustRightInd/>
        <w:snapToGrid/>
        <w:spacing w:line="360" w:lineRule="auto"/>
        <w:ind w:left="480" w:hanging="480" w:hangingChars="200"/>
        <w:textAlignment w:val="auto"/>
      </w:pPr>
      <w:r>
        <w:t xml:space="preserve">World Bank. (2018). </w:t>
      </w:r>
      <w:r>
        <w:rPr>
          <w:rStyle w:val="5"/>
        </w:rPr>
        <w:t>Education and gender equality in Sub-Saharan Africa</w:t>
      </w:r>
      <w:r>
        <w:t>. World Bank Publications.</w:t>
      </w:r>
    </w:p>
    <w:p w14:paraId="471DE521">
      <w:pPr>
        <w:pStyle w:val="6"/>
        <w:keepNext w:val="0"/>
        <w:keepLines w:val="0"/>
        <w:pageBreakBefore w:val="0"/>
        <w:widowControl/>
        <w:suppressLineNumbers w:val="0"/>
        <w:kinsoku/>
        <w:wordWrap/>
        <w:overflowPunct/>
        <w:topLinePunct w:val="0"/>
        <w:autoSpaceDE/>
        <w:autoSpaceDN/>
        <w:bidi w:val="0"/>
        <w:adjustRightInd/>
        <w:snapToGrid/>
        <w:spacing w:line="360" w:lineRule="auto"/>
        <w:ind w:left="480" w:hanging="480" w:hangingChars="200"/>
        <w:textAlignment w:val="auto"/>
      </w:pPr>
      <w:r>
        <w:t xml:space="preserve">Yamane, T. (1967). </w:t>
      </w:r>
      <w:r>
        <w:rPr>
          <w:rStyle w:val="5"/>
        </w:rPr>
        <w:t>Statistics: An introductory analysis</w:t>
      </w:r>
      <w:r>
        <w:t xml:space="preserve"> (2nd ed.). Harper &amp; Row.</w:t>
      </w:r>
    </w:p>
    <w:p w14:paraId="3637E1BE">
      <w:pPr>
        <w:spacing w:line="360" w:lineRule="auto"/>
      </w:pPr>
    </w:p>
    <w:p w14:paraId="639634ED">
      <w:pPr>
        <w:spacing w:line="360" w:lineRule="auto"/>
      </w:pPr>
    </w:p>
    <w:p w14:paraId="2E719812">
      <w:pPr>
        <w:spacing w:line="360" w:lineRule="auto"/>
      </w:pPr>
    </w:p>
    <w:p w14:paraId="04F07A44">
      <w:pPr>
        <w:spacing w:line="360" w:lineRule="auto"/>
        <w:jc w:val="center"/>
        <w:rPr>
          <w:rFonts w:hint="default"/>
          <w:b/>
          <w:bCs/>
          <w:sz w:val="36"/>
          <w:szCs w:val="36"/>
          <w:lang w:val="en-US"/>
        </w:rPr>
      </w:pPr>
      <w:r>
        <w:rPr>
          <w:rFonts w:hint="default"/>
          <w:b/>
          <w:bCs/>
          <w:sz w:val="36"/>
          <w:szCs w:val="36"/>
          <w:lang w:val="en-US"/>
        </w:rPr>
        <w:t>END</w:t>
      </w:r>
    </w:p>
    <w:sectPr>
      <w:pgSz w:w="11906" w:h="16838"/>
      <w:pgMar w:top="1440" w:right="1800" w:bottom="1440" w:left="1800" w:header="720" w:footer="720" w:gutter="0"/>
      <w:cols w:space="720" w:num="1"/>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等线">
    <w:altName w:val="Arial Unicode MS"/>
    <w:panose1 w:val="00000000000000000000"/>
    <w:charset w:val="86"/>
    <w:family w:val="auto"/>
    <w:pitch w:val="default"/>
    <w:sig w:usb0="00000000" w:usb1="00000000" w:usb2="00000000" w:usb3="00000000" w:csb0="00000000"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76" w:lineRule="auto"/>
      </w:pPr>
      <w:r>
        <w:separator/>
      </w:r>
    </w:p>
  </w:footnote>
  <w:footnote w:type="continuationSeparator" w:id="1">
    <w:p>
      <w:pPr>
        <w:spacing w:before="0" w:after="0" w:line="276"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42A0A913"/>
    <w:multiLevelType w:val="singleLevel"/>
    <w:tmpl w:val="42A0A913"/>
    <w:lvl w:ilvl="0" w:tentative="0">
      <w:start w:val="9"/>
      <w:numFmt w:val="lowerLetter"/>
      <w:lvlText w:val="%1."/>
      <w:lvlJc w:val="left"/>
      <w:pPr>
        <w:tabs>
          <w:tab w:val="left" w:pos="425"/>
        </w:tabs>
        <w:ind w:left="425" w:leftChars="0" w:hanging="425" w:firstLineChars="0"/>
      </w:pPr>
      <w:rPr>
        <w:rFont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embedSystemFonts/>
  <w:bordersDoNotSurroundHeader w:val="0"/>
  <w:bordersDoNotSurroundFooter w:val="0"/>
  <w:documentProtection w:enforcement="0"/>
  <w:defaultTabStop w:val="720"/>
  <w:drawingGridVerticalSpacing w:val="156"/>
  <w:displayHorizontalDrawingGridEvery w:val="1"/>
  <w:displayVerticalDrawingGridEvery w:val="1"/>
  <w:noPunctuationKerning w:val="1"/>
  <w:characterSpacingControl w:val="doNotCompress"/>
  <w:footnotePr>
    <w:footnote w:id="0"/>
    <w:footnote w:id="1"/>
  </w:footnotePr>
  <w:endnotePr>
    <w:endnote w:id="0"/>
    <w:endnote w:id="1"/>
  </w:endnotePr>
  <w:compat>
    <w:spaceForUL/>
    <w:doNotLeaveBackslashAlone/>
    <w:ulTrailSpace/>
    <w:doNotExpandShiftReturn/>
    <w:adjustLineHeightInTable/>
    <w:doNotWrapTextWithPunct/>
    <w:doNotUseEastAsian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00000"/>
    <w:rsid w:val="14A70879"/>
    <w:rsid w:val="39214BDC"/>
    <w:rsid w:val="6FFE024C"/>
    <w:rsid w:val="76BB283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200" w:line="276" w:lineRule="auto"/>
    </w:pPr>
    <w:rPr>
      <w:rFonts w:asciiTheme="minorHAnsi" w:hAnsiTheme="minorHAnsi" w:eastAsiaTheme="minorHAnsi" w:cstheme="minorBidi"/>
      <w:sz w:val="22"/>
      <w:szCs w:val="22"/>
      <w:lang w:val="en-US" w:eastAsia="en-US" w:bidi="ar-SA"/>
    </w:rPr>
  </w:style>
  <w:style w:type="paragraph" w:styleId="2">
    <w:name w:val="heading 2"/>
    <w:next w:val="1"/>
    <w:semiHidden/>
    <w:unhideWhenUsed/>
    <w:qFormat/>
    <w:uiPriority w:val="0"/>
    <w:pPr>
      <w:spacing w:before="0" w:beforeAutospacing="0" w:after="0" w:afterAutospacing="0"/>
      <w:jc w:val="left"/>
    </w:pPr>
    <w:rPr>
      <w:rFonts w:hint="eastAsia" w:ascii="SimSun" w:hAnsi="SimSun" w:eastAsia="SimSun" w:cs="SimSun"/>
      <w:b/>
      <w:bCs/>
      <w:kern w:val="0"/>
      <w:sz w:val="36"/>
      <w:szCs w:val="36"/>
      <w:lang w:val="en-US" w:eastAsia="zh-CN" w:bidi="ar"/>
    </w:rPr>
  </w:style>
  <w:style w:type="character" w:default="1" w:styleId="3">
    <w:name w:val="Default Paragraph Font"/>
    <w:semiHidden/>
    <w:uiPriority w:val="0"/>
  </w:style>
  <w:style w:type="table" w:default="1" w:styleId="4">
    <w:name w:val="Normal Table"/>
    <w:semiHidden/>
    <w:qFormat/>
    <w:uiPriority w:val="0"/>
    <w:tblPr>
      <w:tblCellMar>
        <w:top w:w="0" w:type="dxa"/>
        <w:left w:w="108" w:type="dxa"/>
        <w:bottom w:w="0" w:type="dxa"/>
        <w:right w:w="108" w:type="dxa"/>
      </w:tblCellMar>
    </w:tblPr>
  </w:style>
  <w:style w:type="character" w:styleId="5">
    <w:name w:val="Emphasis"/>
    <w:basedOn w:val="3"/>
    <w:qFormat/>
    <w:uiPriority w:val="0"/>
    <w:rPr>
      <w:i/>
      <w:iCs/>
    </w:rPr>
  </w:style>
  <w:style w:type="paragraph" w:styleId="6">
    <w:name w:val="Normal (Web)"/>
    <w:uiPriority w:val="0"/>
    <w:pPr>
      <w:spacing w:before="0" w:beforeAutospacing="0" w:after="0" w:afterAutospacing="0"/>
      <w:ind w:left="0" w:right="0"/>
      <w:jc w:val="left"/>
    </w:pPr>
    <w:rPr>
      <w:kern w:val="0"/>
      <w:sz w:val="24"/>
      <w:szCs w:val="24"/>
      <w:lang w:val="en-US" w:eastAsia="zh-CN" w:bidi="ar"/>
    </w:rPr>
  </w:style>
  <w:style w:type="paragraph" w:styleId="7">
    <w:name w:val="List Paragraph"/>
    <w:basedOn w:val="1"/>
    <w:qFormat/>
    <w:uiPriority w:val="34"/>
    <w:pPr>
      <w:ind w:left="720"/>
      <w:contextualSpacing/>
    </w:pPr>
  </w:style>
</w:styles>
</file>

<file path=word/_rels/document.xml.rels><?xml version="1.0" encoding="UTF-8" standalone="yes"?>
<Relationships xmlns="http://schemas.openxmlformats.org/package/2006/relationships"><Relationship Id="rId7" Type="http://schemas.openxmlformats.org/officeDocument/2006/relationships/fontTable" Target="fontTable.xml"/><Relationship Id="rId6" Type="http://schemas.openxmlformats.org/officeDocument/2006/relationships/numbering" Target="numbering.xml"/><Relationship Id="rId5" Type="http://schemas.openxmlformats.org/officeDocument/2006/relationships/theme" Target="theme/theme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2</Pages>
  <Words>0</Words>
  <Characters>0</Characters>
  <Lines>0</Lines>
  <Paragraphs>0</Paragraphs>
  <TotalTime>6</TotalTime>
  <ScaleCrop>false</ScaleCrop>
  <LinksUpToDate>false</LinksUpToDate>
  <CharactersWithSpaces>0</CharactersWithSpaces>
  <Application>WPS Office_12.2.0.21931_F1E327BC-269C-435d-A152-05C5408002CA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2026-02-04T12:17:49Z</dcterms:created>
  <dc:creator>user</dc:creator>
  <cp:lastModifiedBy>user</cp:lastModifiedBy>
  <dcterms:modified xsi:type="dcterms:W3CDTF">2026-02-04T12:28:05Z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2057-12.2.0.21931</vt:lpwstr>
  </property>
  <property fmtid="{D5CDD505-2E9C-101B-9397-08002B2CF9AE}" pid="3" name="ICV">
    <vt:lpwstr>ADC03B0B531244DB89958A2E98A71272_12</vt:lpwstr>
  </property>
</Properties>
</file>