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pBdr>
          <w:bottom w:val="single" w:sz="12" w:space="1" w:color="auto"/>
        </w:pBdr>
        <w:spacing w:before="0" w:after="60" w:lineRule="auto" w:line="276"/>
        <w:jc w:val="both"/>
        <w:rPr/>
      </w:pPr>
      <w:bookmarkStart w:id="0" w:name="_kjic3i1lp9o6"/>
      <w:bookmarkEnd w:id="0"/>
      <w:r>
        <w:rPr>
          <w:rFonts w:ascii="Arial" w:cs="Arial" w:eastAsia="Arial" w:hAnsi="Arial"/>
          <w:b w:val="false"/>
          <w:sz w:val="52"/>
          <w:szCs w:val="52"/>
        </w:rPr>
        <w:t>INTRODUCCIÓN AL REVERSING CON IDA PRO DESDE CERO PARTE 4</w:t>
      </w:r>
      <w:r>
        <w:rPr>
          <w:rFonts w:ascii="Arial" w:cs="Arial" w:eastAsia="Arial" w:hAnsi="Arial"/>
          <w:b w:val="false"/>
          <w:sz w:val="52"/>
          <w:szCs w:val="52"/>
          <w:lang w:val="es-AR"/>
        </w:rPr>
        <w:t>7</w:t>
      </w:r>
    </w:p>
    <w:p>
      <w:pPr>
        <w:pStyle w:val="style0"/>
        <w:jc w:val="both"/>
        <w:rPr/>
      </w:pPr>
    </w:p>
    <w:p>
      <w:pPr>
        <w:pStyle w:val="style0"/>
        <w:jc w:val="both"/>
        <w:rPr>
          <w:lang w:val="es-AR"/>
        </w:rPr>
      </w:pPr>
      <w:r>
        <w:rPr>
          <w:lang w:val="es-AR"/>
        </w:rPr>
        <w:t>Vamos a trata de aclarar algunas cosas que aun no mencionamos del tema heap y que son necesarias, lo haremos mirando nuevamente el ejercicio practica 44 que hablamos mirado en Windows 7, lo volveremos a mirar en el mismo so.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Es bueno notar que la forma de manejar el heap hay cambiado mucho de XP a Windows 7, y tiene mas cambios aun hasta Windows 10, por lo cual métodos de explotación que son validos en uno, pueden no serlo en el otro.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También es cierto que lo exploits tipo que explotan un heap overflow, hay que lucharlos bastante, no son sencillos la mayor parte de las veces y no siempre funcionan el 100% delos intentos.</w:t>
      </w:r>
    </w:p>
    <w:p>
      <w:pPr>
        <w:pStyle w:val="style0"/>
        <w:jc w:val="both"/>
        <w:rPr/>
      </w:pPr>
      <w:r>
        <w:t>Bueno miraremos el ejercicio de la parte 44.</w:t>
      </w:r>
    </w:p>
    <w:p>
      <w:pPr>
        <w:pStyle w:val="style0"/>
        <w:jc w:val="both"/>
        <w:rPr/>
      </w:pPr>
      <w:r>
        <w:rPr/>
        <w:fldChar w:fldCharType="begin"/>
      </w:r>
      <w:r>
        <w:instrText xml:space="preserve"> HYPERLINK "http://ricardonarvaja.info/WEB/INTRODUCCION%20AL%20REVERSING%20CON%20IDA%20PRO%20DESDE%20CERO/EJERCICIOS/PRACTICA_44.7z" </w:instrText>
      </w:r>
      <w:r>
        <w:rPr/>
        <w:fldChar w:fldCharType="separate"/>
      </w:r>
      <w:r>
        <w:rPr>
          <w:rStyle w:val="style85"/>
        </w:rPr>
        <w:t>http://ricardonarvaja.info/WEB/INTRODUCCION%20AL%20REVERSING%20CON%20IDA%20PRO%20DESDE%20CERO/EJERCICIOS/PRACTICA_44.7z</w:t>
      </w:r>
      <w:r>
        <w:rPr>
          <w:rStyle w:val="style85"/>
        </w:rPr>
        <w:fldChar w:fldCharType="end"/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Usaremos el windbg fuera de IDA.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66690" cy="2007235"/>
            <wp:effectExtent l="0" t="0" r="10160" b="12065"/>
            <wp:docPr id="1026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0072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hint="default"/>
          <w:lang w:val="es-AR"/>
        </w:rPr>
      </w:pPr>
      <w:r>
        <w:rPr>
          <w:lang w:val="es-AR"/>
        </w:rPr>
        <w:t>Ya habíamos visto que hacia un malloc inicial en 0x</w:t>
      </w:r>
      <w:r>
        <w:rPr>
          <w:rFonts w:hint="default"/>
          <w:lang w:val="es-AR"/>
        </w:rPr>
        <w:t>004010D7 asi que coloco un breakpoint en el windbg con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ba e1 0x004010D7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Una vez que para ya sabemos que el size era el numero que le pasábamos multiplicado por 4.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/>
        <w:drawing>
          <wp:inline distT="0" distB="0" distR="0" distL="0">
            <wp:extent cx="5271770" cy="2632710"/>
            <wp:effectExtent l="0" t="0" r="5080" b="15240"/>
            <wp:docPr id="1027" name="Image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770" cy="26327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 xml:space="preserve">El numero ese pasado a hexadecimal es 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hex(1073741828)</w:t>
      </w:r>
    </w:p>
    <w:p>
      <w:pPr>
        <w:pStyle w:val="style0"/>
        <w:jc w:val="both"/>
        <w:rPr>
          <w:rFonts w:hint="default"/>
          <w:highlight w:val="yellow"/>
          <w:lang w:val="es-AR"/>
        </w:rPr>
      </w:pPr>
      <w:r>
        <w:rPr>
          <w:rFonts w:hint="default"/>
          <w:highlight w:val="yellow"/>
          <w:lang w:val="es-AR"/>
        </w:rPr>
        <w:t>'0x40000004'</w:t>
      </w:r>
    </w:p>
    <w:p>
      <w:pPr>
        <w:pStyle w:val="style0"/>
        <w:jc w:val="both"/>
        <w:rPr>
          <w:rFonts w:hint="default"/>
          <w:highlight w:val="none"/>
          <w:lang w:val="es-AR"/>
        </w:rPr>
      </w:pPr>
      <w:r>
        <w:rPr>
          <w:rFonts w:hint="default"/>
          <w:highlight w:val="none"/>
          <w:lang w:val="es-AR"/>
        </w:rPr>
        <w:t>Al multiplicar por 4 daba 0x10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3199765" cy="523875"/>
            <wp:effectExtent l="0" t="0" r="635" b="9525"/>
            <wp:docPr id="1028" name="Imagen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9765" cy="523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Asi que alocara 0x10.</w:t>
      </w: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/>
      </w:pPr>
      <w:r>
        <w:rPr/>
        <w:drawing>
          <wp:inline distT="0" distB="0" distR="0" distL="0">
            <wp:extent cx="5270500" cy="860425"/>
            <wp:effectExtent l="0" t="0" r="6350" b="15875"/>
            <wp:docPr id="1029" name="Imagen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860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hint="default"/>
          <w:lang w:val="es-AR"/>
        </w:rPr>
      </w:pPr>
      <w:r>
        <w:rPr>
          <w:lang w:val="es-AR"/>
        </w:rPr>
        <w:t>Al pasar por encima del malloc con f10 veo en mi caso que allocó en 0x</w:t>
      </w:r>
      <w:r>
        <w:rPr>
          <w:rFonts w:hint="default"/>
          <w:lang w:val="es-AR"/>
        </w:rPr>
        <w:t>00301b20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607685" cy="953135"/>
            <wp:effectExtent l="0" t="0" r="12065" b="18415"/>
            <wp:docPr id="1030" name="Imagen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7685" cy="9531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Vemos que pertenece a un bloque de tamaño 0x10 de UserSize, o sea sera 0x10 el espacio que reserva de memoria para utilizar por el usuario, sin contar el header.</w:t>
      </w:r>
    </w:p>
    <w:p>
      <w:pPr>
        <w:pStyle w:val="style0"/>
        <w:jc w:val="both"/>
        <w:rPr>
          <w:rFonts w:hint="default"/>
          <w:lang w:val="es-AR"/>
        </w:rPr>
      </w:pP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Usando !heap -a 0x2c0000 para ver los chunks del heap.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70500" cy="1037590"/>
            <wp:effectExtent l="0" t="0" r="6350" b="10160"/>
            <wp:docPr id="1031" name="Imagen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10375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Vemos que hay un chunk en 0x301860 de largo 0x400 que tendría mi dirección dentro, pues 0x301b20 esta incluido dentro de ese bloque que empieza en 0x301860 y sumandole 0x400 terminaría en </w:t>
      </w:r>
      <w:r>
        <w:rPr>
          <w:rFonts w:hint="default"/>
          <w:lang w:val="es-AR"/>
        </w:rPr>
        <w:t>0x301c60.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hex(0x301860+0x400)=0x301c60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Veamos que nos dice el mona en el mismo caso.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 xml:space="preserve">Lo cargo con 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.load pykd.pyd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Y luego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!py mona.py heap -h  0x2c0000 -t chunks</w:t>
      </w:r>
    </w:p>
    <w:p>
      <w:pPr>
        <w:pStyle w:val="style0"/>
        <w:jc w:val="both"/>
        <w:rPr>
          <w:rFonts w:hint="default"/>
          <w:lang w:val="es-AR"/>
        </w:rPr>
      </w:pPr>
    </w:p>
    <w:p>
      <w:pPr>
        <w:pStyle w:val="style0"/>
        <w:jc w:val="both"/>
        <w:rPr>
          <w:rFonts w:hint="default"/>
          <w:lang w:val="es-AR"/>
        </w:rPr>
      </w:pPr>
      <w:r>
        <w:rPr/>
        <w:drawing>
          <wp:inline distT="0" distB="0" distR="0" distL="0">
            <wp:extent cx="5273040" cy="720090"/>
            <wp:effectExtent l="0" t="0" r="3810" b="3810"/>
            <wp:docPr id="1032" name="Imagen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040" cy="7200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hint="default"/>
          <w:lang w:val="es-AR"/>
        </w:rPr>
      </w:pPr>
    </w:p>
    <w:p>
      <w:pPr>
        <w:pStyle w:val="style0"/>
        <w:jc w:val="both"/>
        <w:rPr>
          <w:u w:val="single"/>
          <w:lang w:val="es-AR"/>
        </w:rPr>
      </w:pPr>
      <w:r>
        <w:rPr>
          <w:lang w:val="es-AR"/>
        </w:rPr>
        <w:t>Vemos que nos muestra al igual que el windbg el mismo chunk de 0x400 salvo que ademas de Internal nos dice que es LFH.</w:t>
      </w:r>
    </w:p>
    <w:p>
      <w:pPr>
        <w:pStyle w:val="style0"/>
        <w:jc w:val="both"/>
        <w:rPr>
          <w:u w:val="single"/>
          <w:lang w:val="es-AR"/>
        </w:rPr>
      </w:pPr>
      <w:r>
        <w:rPr>
          <w:u w:val="single"/>
          <w:lang w:val="es-AR"/>
        </w:rPr>
        <w:t>LOW FRAGMENTATION HEAP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Se puede escribir muchísimos tutoriales de LFH, es </w:t>
      </w:r>
      <w:r>
        <w:rPr>
          <w:lang w:val="es-AR"/>
        </w:rPr>
        <w:t>complejos</w:t>
      </w:r>
      <w:r>
        <w:rPr>
          <w:lang w:val="es-AR"/>
        </w:rPr>
        <w:t xml:space="preserve"> trataremos de no marearlos demasiado y vamos a ir en partes, esta sera la primera</w:t>
      </w:r>
      <w:r>
        <w:rPr>
          <w:lang w:val="es-AR"/>
        </w:rPr>
        <w:t xml:space="preserve">, en la parte siguiente trataremos de ver si podemos </w:t>
      </w:r>
      <w:r>
        <w:rPr>
          <w:lang w:val="es-AR"/>
        </w:rPr>
        <w:t xml:space="preserve">entender </w:t>
      </w:r>
      <w:r>
        <w:rPr>
          <w:lang w:val="es-AR"/>
        </w:rPr>
        <w:t xml:space="preserve">y seguir una </w:t>
      </w:r>
      <w:r>
        <w:rPr>
          <w:lang w:val="es-AR"/>
        </w:rPr>
        <w:t>alloca</w:t>
      </w:r>
      <w:r>
        <w:rPr>
          <w:lang w:val="es-AR"/>
        </w:rPr>
        <w:t>cion</w:t>
      </w:r>
      <w:r>
        <w:rPr>
          <w:lang w:val="es-AR"/>
        </w:rPr>
        <w:t>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Realmente el LFH es como un heap especial dentro del heap estándar, con reglas un poco distintas, la idea es tener un heap para evitar la fragmentacion o sea que tengas bloques allocados desperdigados en la memoria y muy separados.</w:t>
      </w: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>
          <w:lang w:val="es-AR"/>
        </w:rPr>
      </w:pP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bidi w:val="false"/>
        <w:spacing w:before="0" w:beforeAutospacing="false" w:after="0" w:afterAutospacing="false" w:lineRule="atLeast" w:line="360"/>
        <w:ind w:left="0" w:right="0" w:firstLine="0"/>
        <w:jc w:val="both"/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</w:pP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La </w:t>
      </w:r>
      <w:r>
        <w:rPr>
          <w:rFonts w:ascii="Calibri"/>
          <w:b w:val="false"/>
          <w:i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>fragmentacion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 del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 xml:space="preserve"> heap ocurre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 </w:t>
      </w:r>
      <w:r>
        <w:rPr>
          <w:rFonts w:ascii="Calibri"/>
          <w:b w:val="false"/>
          <w:i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>cuando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 xml:space="preserve"> hay allocados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 pequeños bloques no contiguos. Cuando esto sucede, las asignaciones de memoria pueden fallar aunque puede haber suficiente memoria total en el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 xml:space="preserve"> heap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 para satisfacer la solicitud. Sin embargo, como ningún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bidi w:val="false"/>
        <w:spacing w:before="0" w:beforeAutospacing="false" w:after="0" w:afterAutospacing="false" w:lineRule="atLeast" w:line="360"/>
        <w:ind w:left="0" w:right="0" w:firstLine="0"/>
        <w:jc w:val="both"/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</w:pP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bloque de memoria 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 xml:space="preserve">libre 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es lo suficientemente grande, la solicitud de asignación falla. </w:t>
      </w:r>
    </w:p>
    <w:p>
      <w:pPr>
        <w:pStyle w:val="style101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bidi w:val="false"/>
        <w:spacing w:before="0" w:beforeAutospacing="false" w:after="0" w:afterAutospacing="false" w:lineRule="atLeast" w:line="360"/>
        <w:ind w:left="0" w:right="0" w:firstLine="0"/>
        <w:jc w:val="both"/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</w:rPr>
      </w:pP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>Para aplicaciones con poco uso de memoria, el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 xml:space="preserve"> heap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 estándar es adecuado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 xml:space="preserve"> no </w:t>
      </w:r>
      <w:r>
        <w:rPr>
          <w:rFonts w:ascii="Calibri"/>
          <w:b w:val="false"/>
          <w:i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>habrá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 xml:space="preserve"> problema, </w:t>
      </w:r>
      <w:r>
        <w:rPr>
          <w:rFonts w:ascii="Calibri"/>
          <w:b w:val="false"/>
          <w:i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>allí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 xml:space="preserve"> l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>as asignaciones no fallar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>a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n debido a la </w:t>
      </w:r>
      <w:r>
        <w:rPr>
          <w:rFonts w:ascii="Calibri"/>
          <w:b w:val="false"/>
          <w:i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>fragmentacion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 del 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>heap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. Sin embargo, si las aplicaciones asignan memoria con frecuencia utilizando tamaños de asignación diferentes, estas asignaciones pueden fallar debido a la </w:t>
      </w:r>
      <w:r>
        <w:rPr>
          <w:rFonts w:ascii="Calibri"/>
          <w:b w:val="false"/>
          <w:i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>fragmentacion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 xml:space="preserve"> de 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  <w:lang w:val="es-AR"/>
        </w:rPr>
        <w:t>heap</w:t>
      </w:r>
      <w:r>
        <w:rPr>
          <w:rFonts w:ascii="Calibri"/>
          <w:b w:val="false"/>
          <w:i w:val="false"/>
          <w:caps w:val="false"/>
          <w:color w:val="212121"/>
          <w:spacing w:val="0"/>
          <w:sz w:val="22"/>
          <w:szCs w:val="22"/>
          <w:bdr w:val="none" w:sz="0" w:space="0" w:color="auto"/>
          <w:shd w:val="clear" w:color="auto" w:fill="ffffff"/>
        </w:rPr>
        <w:t>.</w:t>
      </w: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>
          <w:lang w:val="es-AR"/>
        </w:rPr>
      </w:pPr>
      <w:r>
        <w:rPr>
          <w:lang w:val="es-AR"/>
        </w:rPr>
        <w:t>Veremos unas cuantas tablas y en las proximas partes trataremos de comprender como el sistema toma la decisión de allocar en el LFH o en el HEAP estándar y como trabaja.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Tomenlo con paciencia a nadie le gusta tragar todo esto jeje, lo haremos poco a poco en la misma practica que tenemos detenida en el windbg.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Ya teniendo la dirección base del heap podemos ver su contenido con </w:t>
      </w:r>
    </w:p>
    <w:p>
      <w:pPr>
        <w:pStyle w:val="style0"/>
        <w:jc w:val="both"/>
        <w:rPr>
          <w:highlight w:val="yellow"/>
          <w:lang w:val="es-AR"/>
        </w:rPr>
      </w:pPr>
      <w:r>
        <w:rPr>
          <w:rFonts w:hint="default"/>
          <w:highlight w:val="yellow"/>
          <w:lang w:val="es-AR"/>
        </w:rPr>
        <w:t>dt _HEAP dirección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70500" cy="5679440"/>
            <wp:effectExtent l="0" t="0" r="6350" b="16510"/>
            <wp:docPr id="1033" name="Imagen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567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Ahí esta la tabla principal del heap que se accede con dt _HEAP y la dirección del mismo que en mi caso es 0x2c0000.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Vemos que en la posición 0xB8 esta BlocksIndex que es un puntero a otra tabla, en mi caso dicha tabla esta en 0x2c0150, o sea 0x150 desde el inicio del heap.</w:t>
      </w:r>
    </w:p>
    <w:p>
      <w:pPr>
        <w:pStyle w:val="style0"/>
        <w:jc w:val="both"/>
        <w:rPr>
          <w:lang w:val="es-AR"/>
        </w:rPr>
      </w:pPr>
      <w:r>
        <w:rPr>
          <w:rFonts w:ascii="Calibri" w:eastAsia="Calibri" w:hAnsi="Calibri" w:hint="default"/>
          <w:b/>
          <w:color w:val="000000"/>
          <w:sz w:val="22"/>
        </w:rPr>
        <w:t xml:space="preserve">+0x0b8 BlocksIndex : Ptr32 Void 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3961764" cy="2904490"/>
            <wp:effectExtent l="0" t="0" r="635" b="10160"/>
            <wp:docPr id="1034" name="Imagen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1764" cy="2904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Para ver el contenido de esta tabla BlocksIndex se usa</w:t>
      </w:r>
    </w:p>
    <w:p>
      <w:pPr>
        <w:pStyle w:val="style0"/>
        <w:jc w:val="both"/>
        <w:rPr>
          <w:highlight w:val="yellow"/>
          <w:lang w:val="es-AR"/>
        </w:rPr>
      </w:pPr>
      <w:r>
        <w:rPr>
          <w:highlight w:val="yellow"/>
          <w:lang w:val="es-AR"/>
        </w:rPr>
        <w:t xml:space="preserve"> </w:t>
      </w:r>
      <w:bookmarkStart w:id="1" w:name="OLE_LINK2"/>
      <w:r>
        <w:rPr>
          <w:rFonts w:ascii="Calibri" w:eastAsia="Calibri" w:hAnsi="Calibri" w:hint="default"/>
          <w:color w:val="000000"/>
          <w:sz w:val="22"/>
          <w:highlight w:val="yellow"/>
        </w:rPr>
        <w:t>dt _HEAP_LIST_LOOKUP</w:t>
      </w:r>
      <w:bookmarkEnd w:id="1"/>
      <w:r>
        <w:rPr>
          <w:rFonts w:ascii="Calibri" w:eastAsia="Calibri" w:hAnsi="Calibri" w:hint="default"/>
          <w:color w:val="000000"/>
          <w:sz w:val="22"/>
          <w:highlight w:val="yellow"/>
        </w:rPr>
        <w:t xml:space="preserve"> </w:t>
      </w:r>
      <w:r>
        <w:rPr>
          <w:rFonts w:ascii="Calibri" w:eastAsia="Calibri" w:hAnsi="Calibri" w:hint="default"/>
          <w:color w:val="000000"/>
          <w:sz w:val="22"/>
          <w:highlight w:val="yellow"/>
          <w:lang w:val="es-AR"/>
        </w:rPr>
        <w:t>dirección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74310" cy="1381760"/>
            <wp:effectExtent l="0" t="0" r="2540" b="8890"/>
            <wp:docPr id="1035" name="Imagen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381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Trataremos de mostrar las tablas y explicar solo lo minino necesario, ya volveremos mas adelante con esta tabla.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La siguiente tablita importante sale de la tabla principal del valor FrontEndHeap 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67960" cy="5553075"/>
            <wp:effectExtent l="0" t="0" r="8890" b="9525"/>
            <wp:docPr id="1036" name="Imagen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960" cy="5553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Vemos que en mi caso apunta a 0x2c9fb8, recordemos que al buscar mi chunk en la lista. 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71135" cy="1484630"/>
            <wp:effectExtent l="0" t="0" r="5715" b="1270"/>
            <wp:docPr id="1037" name="Imagen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135" cy="14846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Casualmente en 0x2c9fb0 empezaban esos chunks Internal LFH, esto indica la posición del LOW FRAGMENTATION HEAP que es el FRONTEND HEAP, mientras que el heap estándar es llamado BACKEND HEAP.</w:t>
      </w: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>
          <w:lang w:val="es-AR"/>
        </w:rPr>
      </w:pPr>
      <w:r>
        <w:rPr>
          <w:lang w:val="es-AR"/>
        </w:rPr>
        <w:t>Aquí se ve claramente que el LFH es un heap dentro del otro heap, empieza ali tal cual fuera un chunk mas del heap principal, pero dentro tiene otro heap.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Sigamos adelante.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Para ver el contenido del LFH apuntado por FrontEndHeap se usa </w:t>
      </w:r>
      <w:bookmarkStart w:id="2" w:name="OLE_LINK1"/>
    </w:p>
    <w:p>
      <w:pPr>
        <w:pStyle w:val="style0"/>
        <w:jc w:val="both"/>
        <w:rPr>
          <w:rFonts w:ascii="Calibri" w:eastAsia="Calibri" w:hAnsi="Calibri" w:hint="default"/>
          <w:color w:val="000000"/>
          <w:sz w:val="22"/>
          <w:highlight w:val="yellow"/>
        </w:rPr>
      </w:pPr>
      <w:r>
        <w:rPr>
          <w:rFonts w:ascii="Calibri" w:eastAsia="Calibri" w:hAnsi="Calibri" w:hint="default"/>
          <w:color w:val="000000"/>
          <w:sz w:val="22"/>
          <w:highlight w:val="yellow"/>
        </w:rPr>
        <w:t>dt _LFH_HEAP</w:t>
      </w:r>
      <w:bookmarkEnd w:id="2"/>
      <w:r>
        <w:rPr>
          <w:rFonts w:ascii="Calibri" w:eastAsia="Calibri" w:hAnsi="Calibri" w:hint="default"/>
          <w:color w:val="000000"/>
          <w:sz w:val="22"/>
          <w:highlight w:val="yellow"/>
        </w:rPr>
        <w:t xml:space="preserve"> </w:t>
      </w:r>
      <w:r>
        <w:rPr>
          <w:rFonts w:ascii="Calibri" w:eastAsia="Calibri" w:hAnsi="Calibri" w:hint="default"/>
          <w:color w:val="000000"/>
          <w:sz w:val="22"/>
          <w:highlight w:val="yellow"/>
          <w:lang w:val="es-AR"/>
        </w:rPr>
        <w:t>dirección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70500" cy="1946275"/>
            <wp:effectExtent l="0" t="0" r="6350" b="15875"/>
            <wp:docPr id="1038" name="Imagen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1946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Ya queda poco paciencia jeje.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Como curiosidad vayamos apuntando que el offset 0x18 SubsegmentZones tiene un puntero al tercer bloque INTERNAL LFH.</w:t>
      </w:r>
    </w:p>
    <w:p>
      <w:pPr>
        <w:pStyle w:val="style0"/>
        <w:jc w:val="both"/>
        <w:rPr>
          <w:lang w:val="es-AR"/>
        </w:rPr>
      </w:pPr>
      <w:r>
        <w:rPr/>
        <w:drawing>
          <wp:inline distT="0" distB="0" distR="0" distL="0">
            <wp:extent cx="5271135" cy="1484630"/>
            <wp:effectExtent l="0" t="0" r="5715" b="1270"/>
            <wp:docPr id="1039" name="Imagen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135" cy="14846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Ahí dentro del LFH hay un par de estructuras mas que son importantes una es _HEAP_LOCAL_DATA que esta en el offset 0x310, cuyo contenido de puede ver con </w:t>
      </w:r>
    </w:p>
    <w:bookmarkStart w:id="3" w:name="OLE_LINK3"/>
    <w:p>
      <w:pPr>
        <w:pStyle w:val="style0"/>
        <w:jc w:val="both"/>
        <w:rPr>
          <w:rFonts w:ascii="Calibri" w:eastAsia="Calibri" w:hAnsi="Calibri" w:hint="default"/>
          <w:color w:val="000000"/>
          <w:sz w:val="22"/>
          <w:highlight w:val="yellow"/>
          <w:lang w:val="es-AR"/>
        </w:rPr>
      </w:pPr>
      <w:r>
        <w:rPr>
          <w:rFonts w:ascii="Calibri" w:eastAsia="Calibri" w:hAnsi="Calibri" w:hint="default"/>
          <w:color w:val="000000"/>
          <w:sz w:val="22"/>
          <w:highlight w:val="yellow"/>
        </w:rPr>
        <w:t>dt _HEAP_LOCAL_DATA</w:t>
      </w:r>
    </w:p>
    <w:bookmarkEnd w:id="3"/>
    <w:p>
      <w:pPr>
        <w:pStyle w:val="style0"/>
        <w:jc w:val="both"/>
        <w:rPr>
          <w:rFonts w:ascii="Calibri" w:eastAsia="Calibri" w:hAnsi="Calibri" w:hint="default"/>
          <w:color w:val="000000"/>
          <w:sz w:val="22"/>
          <w:lang w:val="es-AR"/>
        </w:rPr>
      </w:pPr>
    </w:p>
    <w:p>
      <w:pPr>
        <w:pStyle w:val="style0"/>
        <w:jc w:val="both"/>
        <w:rPr/>
      </w:pPr>
      <w:r>
        <w:rPr/>
        <w:drawing>
          <wp:inline distT="0" distB="0" distR="0" distL="0">
            <wp:extent cx="5047615" cy="1524000"/>
            <wp:effectExtent l="0" t="0" r="635" b="0"/>
            <wp:docPr id="1040" name="Imagen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2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7615" cy="1524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Vemos que SegmentInfo es una lista de 128 de largo veamos que hay ahí, en el mismo windbg clickeando en SegmentInfo, nos muestra la lista, sino con </w:t>
      </w:r>
    </w:p>
    <w:p>
      <w:pPr>
        <w:pStyle w:val="style0"/>
        <w:jc w:val="both"/>
        <w:rPr>
          <w:highlight w:val="yellow"/>
          <w:lang w:val="es-AR"/>
        </w:rPr>
      </w:pPr>
      <w:r>
        <w:rPr>
          <w:highlight w:val="yellow"/>
          <w:lang w:val="es-AR"/>
        </w:rPr>
        <w:t xml:space="preserve">dt </w:t>
      </w:r>
      <w:r>
        <w:rPr>
          <w:rFonts w:ascii="Calibri" w:eastAsia="Calibri" w:hAnsi="Calibri" w:hint="default"/>
          <w:color w:val="000000"/>
          <w:sz w:val="22"/>
          <w:highlight w:val="yellow"/>
        </w:rPr>
        <w:t xml:space="preserve">_HEAP_LOCAL_SEGMENT_INFO </w:t>
      </w:r>
    </w:p>
    <w:p>
      <w:pPr>
        <w:pStyle w:val="style0"/>
        <w:jc w:val="both"/>
        <w:rPr/>
      </w:pPr>
      <w:r>
        <w:rPr>
          <w:lang w:val="es-AR"/>
        </w:rPr>
        <w:t xml:space="preserve"> </w:t>
      </w:r>
      <w:r>
        <w:rPr/>
        <w:drawing>
          <wp:inline distT="0" distB="0" distR="0" distL="0">
            <wp:extent cx="5270500" cy="1550670"/>
            <wp:effectExtent l="0" t="0" r="6350" b="11430"/>
            <wp:docPr id="1041" name="Imagen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3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15506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y pasando el mouse por encima de los números [0], [1], etc nos muestra la dirección.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71135" cy="3126105"/>
            <wp:effectExtent l="0" t="0" r="5715" b="17145"/>
            <wp:docPr id="1042" name="Imagen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4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135" cy="3126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Ese seria el primer Local Segment Info, podemos ver que significa su contenido haciendo click por ejemplo en el [0]</w:t>
      </w:r>
    </w:p>
    <w:p>
      <w:pPr>
        <w:pStyle w:val="style0"/>
        <w:jc w:val="both"/>
        <w:rPr>
          <w:lang w:val="es-AR"/>
        </w:rPr>
      </w:pPr>
      <w:r>
        <w:rPr/>
        <w:drawing>
          <wp:inline distT="0" distB="0" distR="0" distL="0">
            <wp:extent cx="5270500" cy="1167765"/>
            <wp:effectExtent l="0" t="0" r="6350" b="13334"/>
            <wp:docPr id="1043" name="Imagen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11677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Vemos que hay una lista llamada CachedItems en el offset 0x8 igual podemos hacer click allí, en mi caso en el primer SegmentInfo empezara en 0x2ca2e8.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68595" cy="1665605"/>
            <wp:effectExtent l="0" t="0" r="8255" b="10795"/>
            <wp:docPr id="1044" name="Imagen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6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8595" cy="16656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Vemos que cada uno es un _HEAP_SUBSEGMENT.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Para ver el contenido de uno hay que usar </w:t>
      </w:r>
    </w:p>
    <w:p>
      <w:pPr>
        <w:pStyle w:val="style0"/>
        <w:jc w:val="both"/>
        <w:rPr>
          <w:rFonts w:ascii="Calibri" w:eastAsia="Calibri" w:hAnsi="Calibri" w:hint="default"/>
          <w:color w:val="000000"/>
          <w:sz w:val="22"/>
          <w:highlight w:val="yellow"/>
          <w:lang w:val="es-AR"/>
        </w:rPr>
      </w:pPr>
      <w:r>
        <w:rPr>
          <w:rFonts w:ascii="Calibri" w:eastAsia="Calibri" w:hAnsi="Calibri" w:hint="default"/>
          <w:color w:val="000000"/>
          <w:sz w:val="22"/>
          <w:highlight w:val="yellow"/>
        </w:rPr>
        <w:t xml:space="preserve">dt _HEAP_SUBSEGMENT </w:t>
      </w:r>
      <w:r>
        <w:rPr>
          <w:rFonts w:ascii="Calibri" w:eastAsia="Calibri" w:hAnsi="Calibri" w:hint="default"/>
          <w:color w:val="000000"/>
          <w:sz w:val="22"/>
          <w:highlight w:val="yellow"/>
          <w:lang w:val="es-AR"/>
        </w:rPr>
        <w:t>dirección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3695065" cy="2009775"/>
            <wp:effectExtent l="0" t="0" r="635" b="9525"/>
            <wp:docPr id="1045" name="Imagen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7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5065" cy="2009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Y despues de todo esto llegamos a donde queremos dentro de AggregateExch que esta en el offset 0x8 esta _INTERLOCK_SEQ eso se puede mostrar con</w:t>
      </w:r>
    </w:p>
    <w:p>
      <w:pPr>
        <w:pStyle w:val="style0"/>
        <w:jc w:val="both"/>
        <w:rPr>
          <w:rFonts w:ascii="Calibri" w:eastAsia="Calibri" w:hAnsi="Calibri" w:hint="default"/>
          <w:color w:val="000000"/>
          <w:sz w:val="22"/>
          <w:highlight w:val="yellow"/>
          <w:lang w:val="es-AR"/>
        </w:rPr>
      </w:pPr>
      <w:r>
        <w:rPr>
          <w:rFonts w:ascii="Calibri" w:eastAsia="Calibri" w:hAnsi="Calibri" w:hint="default"/>
          <w:color w:val="000000"/>
          <w:sz w:val="22"/>
          <w:highlight w:val="yellow"/>
        </w:rPr>
        <w:t xml:space="preserve">dt _INTERLOCK_SEQ </w:t>
      </w:r>
      <w:r>
        <w:rPr>
          <w:rFonts w:ascii="Calibri" w:eastAsia="Calibri" w:hAnsi="Calibri" w:hint="default"/>
          <w:color w:val="000000"/>
          <w:sz w:val="22"/>
          <w:highlight w:val="yellow"/>
          <w:lang w:val="es-AR"/>
        </w:rPr>
        <w:t>dirección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3818889" cy="1162050"/>
            <wp:effectExtent l="0" t="0" r="10160" b="0"/>
            <wp:docPr id="1046" name="Imagen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8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8889" cy="1162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 xml:space="preserve">También haciendo click en el windbg 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73040" cy="2018030"/>
            <wp:effectExtent l="0" t="0" r="3810" b="1270"/>
            <wp:docPr id="1047" name="Imagen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9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040" cy="20180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Bueno el tema era llegar hasta </w:t>
      </w:r>
      <w:r>
        <w:rPr>
          <w:highlight w:val="yellow"/>
          <w:lang w:val="es-AR"/>
        </w:rPr>
        <w:t>FreeEntryOffset</w:t>
      </w:r>
      <w:r>
        <w:rPr>
          <w:lang w:val="es-AR"/>
        </w:rPr>
        <w:t xml:space="preserve"> en este caso es cero, anotemos bien como llegar hasta aquí, si vemos la definición de este valor.</w:t>
      </w:r>
    </w:p>
    <w:p>
      <w:pPr>
        <w:pStyle w:val="style0"/>
        <w:jc w:val="left"/>
        <w:rPr>
          <w:rFonts w:ascii="Calibri" w:eastAsia="Calibri" w:hAnsi="Calibri" w:hint="default"/>
          <w:color w:val="000000"/>
          <w:sz w:val="24"/>
        </w:rPr>
      </w:pPr>
    </w:p>
    <w:p>
      <w:pPr>
        <w:pStyle w:val="style0"/>
        <w:jc w:val="left"/>
        <w:rPr>
          <w:rFonts w:ascii="Calibri" w:eastAsia="Calibri" w:hAnsi="Calibri" w:hint="default"/>
          <w:color w:val="000000"/>
          <w:sz w:val="22"/>
        </w:rPr>
      </w:pPr>
      <w:r>
        <w:rPr>
          <w:rFonts w:ascii="Calibri" w:eastAsia="Calibri" w:hAnsi="Calibri" w:hint="default"/>
          <w:b/>
          <w:color w:val="000000"/>
          <w:sz w:val="22"/>
        </w:rPr>
        <w:t xml:space="preserve">FreeEntryOffset </w:t>
      </w:r>
      <w:r>
        <w:rPr>
          <w:rFonts w:ascii="Calibri" w:eastAsia="Calibri" w:hAnsi="Calibri" w:hint="default"/>
          <w:color w:val="000000"/>
          <w:sz w:val="22"/>
        </w:rPr>
        <w:t xml:space="preserve">– This 2-byte integer holds a value, when added to the address of the </w:t>
      </w:r>
      <w:r>
        <w:rPr>
          <w:rFonts w:ascii="Calibri" w:eastAsia="Calibri" w:hAnsi="Calibri" w:hint="default"/>
          <w:b/>
          <w:color w:val="000000"/>
          <w:sz w:val="22"/>
        </w:rPr>
        <w:t>_HEAP_USERDATA_HEADER</w:t>
      </w:r>
      <w:r>
        <w:rPr>
          <w:rFonts w:ascii="Calibri" w:eastAsia="Calibri" w:hAnsi="Calibri" w:hint="default"/>
          <w:color w:val="000000"/>
          <w:sz w:val="22"/>
        </w:rPr>
        <w:t xml:space="preserve">, results in a pointer to the next location for freeing or allocating memory. 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O se que depende de este valor cual sera el siguiente bloque que allocara o liberara, se le suma a otro que es _HEAP_USERDATA_HEADER, veamos donde esta ese.</w:t>
      </w:r>
    </w:p>
    <w:p>
      <w:pPr>
        <w:pStyle w:val="style0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Ese se llega de la misma tabla anterior solo que esta en el offset 0x4 UserBlocks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3866515" cy="1828800"/>
            <wp:effectExtent l="0" t="0" r="635" b="0"/>
            <wp:docPr id="1048" name="Imagen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30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6515" cy="182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Y se dumpea con 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4009390" cy="1104900"/>
            <wp:effectExtent l="0" t="0" r="10160" b="0"/>
            <wp:docPr id="1049" name="Imagen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31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9390" cy="1104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Bueno vamos obteniendo los valores para armar el rompecabezas, vemos que UserBlocks esta justo arriba de _INTERLOCK_SEQ que es el que tiene el puntero a FreeEntryOffset con lo que overflodeando la data de un chunk se podría pisar el mismo y alterar el próximo</w:t>
      </w:r>
      <w:bookmarkStart w:id="4" w:name="_GoBack"/>
      <w:bookmarkEnd w:id="4"/>
      <w:r>
        <w:rPr>
          <w:lang w:val="es-AR"/>
        </w:rPr>
        <w:t xml:space="preserve"> chunk que te de para allocar, aquí vemos en la imagen un poco mas claro.</w:t>
      </w:r>
    </w:p>
    <w:p>
      <w:pPr>
        <w:pStyle w:val="style0"/>
        <w:jc w:val="both"/>
        <w:rPr/>
      </w:pPr>
      <w:r>
        <w:rPr/>
        <w:drawing>
          <wp:inline distT="0" distB="0" distR="0" distL="0">
            <wp:extent cx="5273675" cy="2864485"/>
            <wp:effectExtent l="0" t="0" r="3175" b="12065"/>
            <wp:docPr id="1050" name="Imagen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2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675" cy="28644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Ali en la imagen se ve mas claro se ve el header _HEAP_USER_DATA que habíamos visto, justo debajo viene la zona escribible por el usuario, y justo debajo esta la estructura _INTERLOCK_SEQ que es la que tiene el valor que decide cual es el siguiente que te va a dar si allocas el mismo size.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 xml:space="preserve">Con </w:t>
      </w:r>
      <w:r>
        <w:rPr>
          <w:lang w:val="es-AR"/>
        </w:rPr>
        <w:t>esto tenemos un</w:t>
      </w:r>
      <w:r>
        <w:rPr>
          <w:lang w:val="es-AR"/>
        </w:rPr>
        <w:t xml:space="preserve">a vista de las tablas principales y sus valores </w:t>
      </w:r>
      <w:r>
        <w:rPr>
          <w:lang w:val="es-AR"/>
        </w:rPr>
        <w:t xml:space="preserve">en la oficina parte </w:t>
      </w:r>
      <w:r>
        <w:rPr>
          <w:lang w:val="es-AR"/>
        </w:rPr>
        <w:t xml:space="preserve">veremos si nos ayuda para estudiar como </w:t>
      </w:r>
      <w:r>
        <w:rPr>
          <w:lang w:val="es-AR"/>
        </w:rPr>
        <w:t xml:space="preserve">decide alocar </w:t>
      </w:r>
      <w:r>
        <w:rPr>
          <w:lang w:val="es-AR"/>
        </w:rPr>
        <w:t xml:space="preserve">en el </w:t>
      </w:r>
      <w:r>
        <w:rPr>
          <w:lang w:val="es-AR"/>
        </w:rPr>
        <w:t>hea</w:t>
      </w:r>
      <w:r>
        <w:rPr>
          <w:lang w:val="es-AR"/>
        </w:rPr>
        <w:t xml:space="preserve">p </w:t>
      </w:r>
      <w:r>
        <w:rPr>
          <w:lang w:val="es-AR"/>
        </w:rPr>
        <w:t>estándar o e</w:t>
      </w:r>
      <w:r>
        <w:rPr>
          <w:lang w:val="es-AR"/>
        </w:rPr>
        <w:t xml:space="preserve">n el </w:t>
      </w:r>
      <w:r>
        <w:rPr>
          <w:lang w:val="es-AR"/>
        </w:rPr>
        <w:t>LFH.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Hasta la parte 48</w:t>
      </w:r>
    </w:p>
    <w:p>
      <w:pPr>
        <w:pStyle w:val="style0"/>
        <w:jc w:val="both"/>
        <w:rPr>
          <w:lang w:val="es-AR"/>
        </w:rPr>
      </w:pPr>
      <w:r>
        <w:rPr>
          <w:lang w:val="es-AR"/>
        </w:rPr>
        <w:t>Ricardo</w:t>
      </w: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>
          <w:lang w:val="es-AR"/>
        </w:rPr>
      </w:pPr>
    </w:p>
    <w:p>
      <w:pPr>
        <w:pStyle w:val="style0"/>
        <w:jc w:val="both"/>
        <w:rPr>
          <w:rFonts w:hint="default"/>
          <w:lang w:val="es-AR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Consolas">
    <w:altName w:val="Consolas"/>
    <w:panose1 w:val="020b0609020002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 Light"/>
    <w:panose1 w:val="020f0302020002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s-AR" w:bidi="ar-SA" w:eastAsia="en-US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next w:val="style101"/>
    <w:uiPriority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 w:hint="eastAsia"/>
      <w:kern w:val="0"/>
      <w:sz w:val="24"/>
      <w:szCs w:val="24"/>
      <w:lang w:val="en-US" w:eastAsia="zh-CN"/>
    </w:rPr>
  </w:style>
  <w:style w:type="paragraph" w:styleId="style62">
    <w:name w:val="Title"/>
    <w:basedOn w:val="style0"/>
    <w:next w:val="style0"/>
    <w:qFormat/>
    <w:uiPriority w:val="0"/>
    <w:pPr>
      <w:keepNext/>
      <w:keepLines/>
      <w:spacing w:before="480" w:after="120" w:lineRule="auto" w:line="240"/>
      <w:contextualSpacing/>
    </w:pPr>
    <w:rPr>
      <w:rFonts w:ascii="Times New Roman" w:cs="Times New Roman" w:eastAsia="Times New Roman" w:hAnsi="Times New Roman"/>
      <w:b/>
      <w:color w:val="000000"/>
      <w:sz w:val="72"/>
      <w:szCs w:val="72"/>
      <w:lang w:eastAsia="es-AR"/>
    </w:rPr>
  </w:style>
  <w:style w:type="character" w:styleId="style85">
    <w:name w:val="Hyperlink"/>
    <w:basedOn w:val="style65"/>
    <w:next w:val="style85"/>
    <w:uiPriority w:val="0"/>
    <w:rPr>
      <w:color w:val="0563c1"/>
      <w:u w:val="single"/>
    </w:rPr>
  </w:style>
  <w:style w:type="paragraph" w:customStyle="1" w:styleId="style4097">
    <w:name w:val="Default"/>
    <w:next w:val="style4097"/>
    <w:uiPriority w:val="99"/>
    <w:pPr>
      <w:widowControl w:val="false"/>
      <w:autoSpaceDE w:val="false"/>
      <w:autoSpaceDN w:val="false"/>
      <w:adjustRightInd w:val="false"/>
    </w:pPr>
    <w:rPr>
      <w:rFonts w:ascii="Calibri" w:eastAsia="Calibri" w:hAnsi="Calibri" w:hint="default"/>
      <w:color w:val="000000"/>
      <w:sz w:val="24"/>
    </w:r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image" Target="media/image11.png"/><Relationship Id="rId16" Type="http://schemas.openxmlformats.org/officeDocument/2006/relationships/image" Target="media/image15.png"/><Relationship Id="rId28" Type="http://schemas.openxmlformats.org/officeDocument/2006/relationships/fontTable" Target="fontTable.xml"/><Relationship Id="rId20" Type="http://schemas.openxmlformats.org/officeDocument/2006/relationships/image" Target="media/image19.png"/><Relationship Id="rId15" Type="http://schemas.openxmlformats.org/officeDocument/2006/relationships/image" Target="media/image14.png"/><Relationship Id="rId11" Type="http://schemas.openxmlformats.org/officeDocument/2006/relationships/image" Target="media/image10.png"/><Relationship Id="rId14" Type="http://schemas.openxmlformats.org/officeDocument/2006/relationships/image" Target="media/image13.png"/><Relationship Id="rId7" Type="http://schemas.openxmlformats.org/officeDocument/2006/relationships/image" Target="media/image6.png"/><Relationship Id="rId25" Type="http://schemas.openxmlformats.org/officeDocument/2006/relationships/image" Target="media/image24.png"/><Relationship Id="rId27" Type="http://schemas.openxmlformats.org/officeDocument/2006/relationships/styles" Target="styles.xml"/><Relationship Id="rId29" Type="http://schemas.openxmlformats.org/officeDocument/2006/relationships/settings" Target="settings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31" Type="http://schemas.openxmlformats.org/officeDocument/2006/relationships/customXml" Target="../customXml/item1.xml"/><Relationship Id="rId1" Type="http://schemas.openxmlformats.org/officeDocument/2006/relationships/numbering" Target="numbering.xml"/><Relationship Id="rId22" Type="http://schemas.openxmlformats.org/officeDocument/2006/relationships/image" Target="media/image21.png"/><Relationship Id="rId30" Type="http://schemas.openxmlformats.org/officeDocument/2006/relationships/theme" Target="theme/theme1.xml"/><Relationship Id="rId18" Type="http://schemas.openxmlformats.org/officeDocument/2006/relationships/image" Target="media/image17.png"/><Relationship Id="rId5" Type="http://schemas.openxmlformats.org/officeDocument/2006/relationships/image" Target="media/image4.png"/><Relationship Id="rId26" Type="http://schemas.openxmlformats.org/officeDocument/2006/relationships/image" Target="media/image25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1" Type="http://schemas.openxmlformats.org/officeDocument/2006/relationships/image" Target="media/image20.png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17" Type="http://schemas.openxmlformats.org/officeDocument/2006/relationships/image" Target="media/image16.png"/><Relationship Id="rId3" Type="http://schemas.openxmlformats.org/officeDocument/2006/relationships/image" Target="media/image2.png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1237</Words>
  <Characters>6015</Characters>
  <Application>WPS Office</Application>
  <DocSecurity>0</DocSecurity>
  <Paragraphs>118</Paragraphs>
  <ScaleCrop>false</ScaleCrop>
  <LinksUpToDate>false</LinksUpToDate>
  <CharactersWithSpaces>7197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2017-03-11T10:17:10Z</dcterms:created>
  <dc:creator>ricnar</dc:creator>
  <lastModifiedBy>ONEPLUS A3000</lastModifiedBy>
  <dcterms:modified xsi:type="dcterms:W3CDTF">2017-03-11T10:17:11Z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