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Evejoy Mapuranga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2020-12-31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2020-07-16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Relative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
      </w:tblPr>
      <w:tr>
        <w:trPr>
          <w:trHeight w:val="-0.5" w:hRule="atLeast"/>
        </w:trPr>
        <w:tc>
          <w:tcPr>
            <w:tcW w:w="10000" w:type="dxa"/>
            <w:tcBorders>
              <w:top w:val="single" w:sz="1" w:color="white"/>
              <w:left w:val="single" w:sz="1" w:color="white"/>
              <w:right w:val="single" w:sz="1" w:color="white"/>
              <w:bottom w:val="single" w:sz="1" w:color="white"/>
            </w:tcBorders>
            <w:shd w:val="clear" w:color="" w:fill="8EAADB"/>
          </w:tcPr>
          <w:p>
            <w:pPr/>
            <w:r>
              <w:rPr>
                <w:color w:val="black"/>
                <w:sz w:val="22"/>
                <w:szCs w:val="22"/>
                <w:b/>
                <w:spacing w:val="0"/>
              </w:rPr>
              <w:t xml:space="preserve">
                Categories of Rating Scores: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ranking score below 40% indicates an extremely low level of performance in comparison with the representative sample of employees in the organisation.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performance in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competitive performance by comparing the employee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individual in question in comparison with the representative sample.
                <w:br/>
              </w:t>
            </w:r>
          </w:p>
        </w:tc>
      </w:tr>
    </w:tbl>
    <w:p/>
    <w:p>
      <w:pPr>
        <w:pStyle w:val="Heading2"/>
      </w:pPr>
      <w:r>
        <w:rPr>
          <w:color w:val="175EA8"/>
          <w:sz w:val="32"/>
          <w:szCs w:val="32"/>
          <w:b/>
        </w:rPr>
        <w:t xml:space="preserve">Absolute Performance on each perspective</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Financial</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shd w:val="clear" w:color="" w:fill="black"/>
              </w:rPr>
              <w:t xml:space="preserve">30%</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Customer</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shd w:val="clear" w:color="" w:fill="black"/>
              </w:rPr>
              <w:t xml:space="preserve">20%</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Internal business processes</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0%</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Learning and growth</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shd w:val="clear" w:color="" w:fill="black"/>
              </w:rPr>
              <w:t xml:space="preserve">20%</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shd w:val="clear" w:color="" w:fill="black"/>
              </w:rPr>
              <w:t xml:space="preserve">70%</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pStyle w:val="Heading6"/>
      </w:pPr>
      <w:r>
        <w:rPr>
          <w:color w:val="175EA8"/>
          <w:sz w:val="32"/>
          <w:szCs w:val="32"/>
          <w:b/>
        </w:rPr>
        <w:t xml:space="preserve">Evejoy Mapuranga's Relative Performance</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tblGrid>
      <w:tblPr>
        <w:tblStyle w:val="myOwnTableStyle"/>
      </w:tblPr>
      <w:tr>
        <w:trPr>
          <w:trHeight w:val="1" w:hRule="atLeast"/>
        </w:trPr>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Perspective</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Score</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Dept</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Deviation</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Company</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4"/>
                <w:szCs w:val="24"/>
                <w:b/>
              </w:rPr>
              <w:t xml:space="preserve">Deviation</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Financial</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30%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40%</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-10%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4.97%</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25.03%</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Customer</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20%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10%</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10%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3.67%</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16.33%</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Internal business processes</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5%</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-5%</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13.91%</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-13.91%</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Learning and growth</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20%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25%</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-5%</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20%</w:t>
            </w:r>
          </w:p>
        </w:tc>
        <w:tc>
          <w:tcPr>
            <w:tcW w:w="2000" w:type="dxa"/>
            <w:tcBorders>
              <w:top w:val="single" w:sz="1" w:color="808080"/>
              <w:left w:val="single" w:sz="1" w:color="002060"/>
              <w:right w:val="single" w:sz="1" w:color="002060"/>
              <w:bottom w:val="single" w:sz="1" w:color="808080"/>
            </w:tcBorders>
            <w:shd w:val="clear" w:color="" w:fill="DDEBF7"/>
          </w:tcPr>
          <w:p>
            <w:pPr>
              <w:jc w:val="center"/>
            </w:pPr>
            <w:r>
              <w:rPr>
                <w:color w:val="black"/>
                <w:sz w:val="20"/>
                <w:szCs w:val="20"/>
                <w:b/>
              </w:rPr>
              <w:t xml:space="preserve">0%</w:t>
            </w:r>
          </w:p>
        </w:tc>
      </w:tr>
      <w:tr>
        <w:trPr>
          <w:trHeight w:val="-0.5" w:hRule="atLeast"/>
        </w:trPr>
        <w:tc>
          <w:tcPr>
            <w:tcW w:w="4000" w:type="dxa"/>
            <w:tcBorders>
              <w:top w:val="single" w:sz="1" w:color="002060"/>
              <w:left w:val="single" w:sz="1" w:color="002060"/>
              <w:right w:val="single" w:sz="1" w:color="002060"/>
              <w:bottom w:val="single" w:sz="1" w:color="002060"/>
            </w:tcBorders>
            <w:shd w:val="clear" w:color="" w:fill="white"/>
          </w:tcPr>
          <w:p>
            <w:pPr/>
            <w:r>
              <w:rPr>
                <w:color w:val="black"/>
                <w:sz w:val="20"/>
                <w:szCs w:val="20"/>
                <w:i/>
                <w:iCs/>
                <w:spacing w:val="0"/>
              </w:rPr>
              <w:t xml:space="preserve">Overall</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70%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80%</w:t>
            </w:r>
          </w:p>
        </w:tc>
        <w:tc>
          <w:tcPr>
            <w:tcW w:w="2000" w:type="dxa"/>
            <w:tcBorders>
              <w:top w:val="single" w:sz="1" w:color="white"/>
              <w:left w:val="single" w:sz="1" w:color="white"/>
              <w:right w:val="single" w:sz="1" w:color="white"/>
              <w:bottom w:val="single" w:sz="1" w:color="white"/>
            </w:tcBorders>
            <w:shd w:val="clear" w:color="" w:fill="FF0000"/>
          </w:tcPr>
          <w:p>
            <w:pPr>
              <w:jc w:val="center"/>
            </w:pPr>
            <w:r>
              <w:rPr>
                <w:color w:val="black"/>
                <w:sz w:val="20"/>
                <w:szCs w:val="20"/>
                <w:b/>
              </w:rPr>
              <w:t xml:space="preserve">-10%</w:t>
            </w:r>
          </w:p>
        </w:tc>
        <w:tc>
          <w:tcPr>
            <w:tcW w:w="2000" w:type="dxa"/>
            <w:tcBorders>
              <w:top w:val="single" w:sz="1" w:color="002060"/>
              <w:left w:val="single" w:sz="1" w:color="002060"/>
              <w:right w:val="single" w:sz="1" w:color="002060"/>
              <w:bottom w:val="single" w:sz="1" w:color="002060"/>
            </w:tcBorders>
            <w:shd w:val="clear" w:color="" w:fill="white"/>
          </w:tcPr>
          <w:p>
            <w:pPr>
              <w:jc w:val="center"/>
            </w:pPr>
            <w:r>
              <w:rPr>
                <w:color w:val="black"/>
                <w:sz w:val="20"/>
                <w:szCs w:val="20"/>
                <w:b/>
              </w:rPr>
              <w:t xml:space="preserve">42.55%</w:t>
            </w:r>
          </w:p>
        </w:tc>
        <w:tc>
          <w:tcPr>
            <w:tcW w:w="2000" w:type="dxa"/>
            <w:tcBorders>
              <w:top w:val="single" w:sz="1" w:color="E0D4B0"/>
              <w:left w:val="single" w:sz="1" w:color="E0D4B0"/>
              <w:right w:val="single" w:sz="1" w:color="E0D4B0"/>
              <w:bottom w:val="single" w:sz="1" w:color="E0D4B0"/>
            </w:tcBorders>
            <w:shd w:val="clear" w:color="" w:fill="00B050"/>
          </w:tcPr>
          <w:p>
            <w:pPr>
              <w:jc w:val="center"/>
            </w:pPr>
            <w:r>
              <w:rPr>
                <w:color w:val="black"/>
                <w:sz w:val="20"/>
                <w:szCs w:val="20"/>
                <w:b/>
              </w:rPr>
              <w:t xml:space="preserve">27.45%</w:t>
            </w:r>
          </w:p>
        </w:tc>
      </w:tr>
    </w:tbl>
    <w:p/>
    <w:p>
      <w:pPr>
        <w:widowControl w:val="0"/>
        <w:jc w:val="both"/>
      </w:pPr>
      <w:r>
        <w:rPr/>
        <w:t xml:space="preserve">Evejoy Mapuranga's overall performance is 70% which is below the department's performance. Finance and Administration has an average score of 80%.</w:t>
      </w:r>
    </w:p>
    <w:p>
      <w:pPr>
        <w:pStyle w:val="Heading7"/>
      </w:pPr>
      <w:r>
        <w:rPr>
          <w:color w:val="175EA8"/>
          <w:sz w:val="32"/>
          <w:szCs w:val="32"/>
          <w:b/>
        </w:rPr>
        <w:t xml:space="preserve">Projects Worked on</w:t>
      </w:r>
    </w:p>
    <w:p>
      <w:pPr/>
      <w:r>
        <w:pict>
          <v:shape id="_x0000_s101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action plans</w:t>
      </w:r>
    </w:p>
    <w:p/>
    <w:p>
      <w:pPr>
        <w:pStyle w:val="Heading2"/>
      </w:pPr>
      <w:r>
        <w:rPr>
          <w:color w:val="175EA8"/>
          <w:sz w:val="32"/>
          <w:szCs w:val="32"/>
          <w:b/>
        </w:rPr>
        <w:t xml:space="preserve">Performance Improvement plans offered</w:t>
      </w:r>
    </w:p>
    <w:p>
      <w:pPr/>
      <w:r>
        <w:pict>
          <v:shape id="_x0000_s102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Evejoy Mapuranga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2812F4E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2020-07-16T11:19:45+02:00</dcterms:created>
  <dcterms:modified xsi:type="dcterms:W3CDTF">2020-07-16T11:19:45+02:00</dcterms:modified>
</cp:coreProperties>
</file>

<file path=docProps/custom.xml><?xml version="1.0" encoding="utf-8"?>
<Properties xmlns="http://schemas.openxmlformats.org/officeDocument/2006/custom-properties" xmlns:vt="http://schemas.openxmlformats.org/officeDocument/2006/docPropsVTypes"/>
</file>