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type id="_x0000_t32" coordsize="21600,21600" o:spt="32" o:oned="t" path="m,l21600,21600e" filled="f">
            <v:path arrowok="t" fillok="f" o:connecttype="none"/>
            <o:lock v:ext="edit" shapetype="t"/>
          </v:shapetype>
          <v:shape id="_x0000_s1001"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p>
      <w:pPr>
        <w:pStyle w:val="Heading1"/>
      </w:pPr>
      <w:r>
        <w:rPr>
          <w:color w:val="175EA8"/>
        </w:rPr>
        <w:t xml:space="preserve">Performance Appraisal Report</w:t>
      </w:r>
    </w:p>
    <w:p>
      <w:pPr/>
      <w:r>
        <w:pict>
          <v:shape id="_x0000_s1003"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p>
      <w:pPr>
        <w:pStyle w:val="Heading3"/>
      </w:pPr>
      <w:r>
        <w:rPr>
          <w:color w:val="175EA8"/>
          <w:sz w:val="44"/>
          <w:szCs w:val="44"/>
          <w:i/>
          <w:iCs/>
          <w:u w:val="double"/>
        </w:rPr>
        <w:t xml:space="preserve">Confidential</w:t>
      </w:r>
    </w:p>
    <w:p>
      <w:pPr>
        <w:widowControl w:val="0"/>
        <w:jc w:val="both"/>
      </w:pPr>
      <w:r>
        <w:rPr/>
        <w:t xml:space="preserve">The information in this report is confidential and must not be made known to anyone other than authorised personnel, unless released by expressed written permission. The Information must be considered together with all information gathered in the assessment process.</w:t>
      </w:r>
    </w:p>
    <w:tbl>
      <w:tblGrid>
        <w:gridCol w:w="4000" w:type="dxa"/>
        <w:gridCol w:w="6000" w:type="dxa"/>
      </w:tblGrid>
      <w:tblPr>
        <w:tblStyle w:val="myOwnTableStyle"/>
      </w:tblPr>
      <w:tr>
        <w:trPr>
          <w:trHeight w:val="-0.5" w:hRule="atLeast"/>
        </w:trPr>
        <w:tc>
          <w:tcPr>
            <w:tcW w:w="4000" w:type="dxa"/>
            <w:tcBorders>
              <w:top w:val="single" w:sz="1" w:color="white"/>
              <w:left w:val="single" w:sz="1" w:color="white"/>
              <w:right w:val="single" w:sz="1" w:color="white"/>
              <w:bottom w:val="single" w:sz="1" w:color="white"/>
            </w:tcBorders>
            <w:shd w:val="clear" w:color="" w:fill="175EA8"/>
          </w:tcPr>
          <w:p>
            <w:pPr/>
            <w:r>
              <w:rPr>
                <w:color w:val="white"/>
                <w:sz w:val="22"/>
                <w:szCs w:val="22"/>
                <w:b/>
                <w:spacing w:val="0"/>
              </w:rPr>
              <w:t xml:space="preserve">
                <w:br/>
                Owner Name:
              </w:t>
            </w:r>
          </w:p>
        </w:tc>
        <w:tc>
          <w:tcPr>
            <w:tcW w:w="6000" w:type="dxa"/>
            <w:tcBorders>
              <w:top w:val="single" w:sz="1" w:color="white"/>
              <w:left w:val="single" w:sz="1" w:color="white"/>
              <w:right w:val="single" w:sz="1" w:color="white"/>
              <w:bottom w:val="single" w:sz="1" w:color="white"/>
            </w:tcBorders>
            <w:shd w:val="clear" w:color="" w:fill="DEEAF6"/>
          </w:tcPr>
          <w:p>
            <w:pPr/>
            <w:r>
              <w:rPr>
                <w:color w:val="black"/>
                <w:sz w:val="22"/>
                <w:szCs w:val="22"/>
                <w:spacing w:val="0"/>
              </w:rPr>
              <w:t xml:space="preserve">
                <w:br/>
                 IPC
              </w:t>
            </w:r>
          </w:p>
        </w:tc>
      </w:tr>
      <w:tr>
        <w:trPr/>
        <w:tc>
          <w:tcPr>
            <w:tcW w:w="4000" w:type="dxa"/>
            <w:tcBorders>
              <w:top w:val="single" w:sz="1" w:color="white"/>
              <w:left w:val="single" w:sz="1" w:color="white"/>
              <w:right w:val="single" w:sz="1" w:color="white"/>
              <w:bottom w:val="single" w:sz="1" w:color="white"/>
            </w:tcBorders>
            <w:shd w:val="clear" w:color="" w:fill="175EA8"/>
          </w:tcPr>
          <w:p>
            <w:pPr/>
            <w:r>
              <w:rPr>
                <w:color w:val="white"/>
                <w:sz w:val="22"/>
                <w:szCs w:val="22"/>
                <w:b/>
                <w:spacing w:val="0"/>
              </w:rPr>
              <w:t xml:space="preserve">
                <w:br/>
                 Period Under Review:
              </w:t>
            </w:r>
          </w:p>
        </w:tc>
        <w:tc>
          <w:tcPr>
            <w:tcW w:w="6000" w:type="dxa"/>
            <w:tcBorders>
              <w:top w:val="single" w:sz="1" w:color="white"/>
              <w:left w:val="single" w:sz="1" w:color="white"/>
              <w:right w:val="single" w:sz="1" w:color="white"/>
              <w:bottom w:val="single" w:sz="1" w:color="white"/>
            </w:tcBorders>
            <w:shd w:val="clear" w:color="" w:fill="DEEAF6"/>
          </w:tcPr>
          <w:p>
            <w:pPr/>
            <w:r>
              <w:rPr>
                <w:color w:val="black"/>
                <w:sz w:val="22"/>
                <w:szCs w:val="22"/>
                <w:spacing w:val="0"/>
              </w:rPr>
              <w:t xml:space="preserve">
                <w:br/>
                 January to 2020-12-31
              </w:t>
            </w:r>
          </w:p>
        </w:tc>
      </w:tr>
      <w:tr>
        <w:trPr/>
        <w:tc>
          <w:tcPr>
            <w:tcW w:w="4000" w:type="dxa"/>
            <w:tcBorders>
              <w:top w:val="single" w:sz="1" w:color="white"/>
              <w:left w:val="single" w:sz="1" w:color="white"/>
              <w:right w:val="single" w:sz="1" w:color="white"/>
              <w:bottom w:val="single" w:sz="1" w:color="white"/>
            </w:tcBorders>
            <w:shd w:val="clear" w:color="" w:fill="175EA8"/>
          </w:tcPr>
          <w:p>
            <w:pPr/>
            <w:r>
              <w:rPr>
                <w:color w:val="white"/>
                <w:sz w:val="22"/>
                <w:szCs w:val="22"/>
                <w:b/>
                <w:spacing w:val="0"/>
              </w:rPr>
              <w:t xml:space="preserve">
                <w:br/>
                 Date Extracted:
              </w:t>
            </w:r>
          </w:p>
        </w:tc>
        <w:tc>
          <w:tcPr>
            <w:tcW w:w="6000" w:type="dxa"/>
            <w:tcBorders>
              <w:top w:val="single" w:sz="1" w:color="white"/>
              <w:left w:val="single" w:sz="1" w:color="white"/>
              <w:right w:val="single" w:sz="1" w:color="white"/>
              <w:bottom w:val="single" w:sz="1" w:color="white"/>
            </w:tcBorders>
            <w:shd w:val="clear" w:color="" w:fill="DEEAF6"/>
          </w:tcPr>
          <w:p>
            <w:pPr/>
            <w:r>
              <w:rPr>
                <w:color w:val="black"/>
                <w:sz w:val="22"/>
                <w:szCs w:val="22"/>
                <w:spacing w:val="0"/>
              </w:rPr>
              <w:t xml:space="preserve">
                <w:br/>
                 2020-07-02
              </w:t>
            </w:r>
          </w:p>
        </w:tc>
      </w:tr>
    </w:tbl>
    <w:p>
      <w:pPr>
        <w:sectPr>
          <w:headerReference w:type="first" r:id="rId7"/>
          <w:headerReference w:type="default" r:id="rId8"/>
          <w:footerReference w:type="default" r:id="rId9"/>
          <w:titlePg/>
          <w:pgSz w:orient="portrait" w:w="11870" w:h="16787"/>
          <w:pgMar w:top="1440" w:right="1440" w:bottom="1440" w:left="1440" w:header="720" w:footer="720" w:gutter="0"/>
          <w:cols w:num="1" w:space="720"/>
        </w:sectPr>
      </w:pPr>
    </w:p>
    <w:p>
      <w:pPr>
        <w:pStyle w:val="Heading2"/>
      </w:pPr>
      <w:r>
        <w:rPr>
          <w:color w:val="175EA8"/>
          <w:sz w:val="32"/>
          <w:szCs w:val="32"/>
          <w:b/>
        </w:rPr>
        <w:t xml:space="preserve">Absolute Performance on each perspective</w:t>
      </w:r>
    </w:p>
    <w:p>
      <w:pPr/>
      <w:r>
        <w:pict>
          <v:shape id="_x0000_s1002"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tbl>
      <w:tblGrid>
        <w:gridCol w:w="10000" w:type="dxa"/>
      </w:tblGrid>
      <w:tblPr>
        <w:tblStyle w:val="myOwnTableStyle3"/>
      </w:tblPr>
      <w:tr>
        <w:trPr>
          <w:trHeight w:val="-0.5" w:hRule="atLeast"/>
        </w:trPr>
        <w:tc>
          <w:tcPr>
            <w:tcW w:w="10000" w:type="dxa"/>
            <w:tcBorders>
              <w:top w:val="single" w:sz="1" w:color="white"/>
              <w:left w:val="single" w:sz="1" w:color="white"/>
              <w:right w:val="single" w:sz="1" w:color="white"/>
              <w:bottom w:val="single" w:sz="1" w:color="white"/>
            </w:tcBorders>
            <w:shd w:val="clear" w:color="" w:fill="DEEAF6"/>
          </w:tcPr>
          <w:p>
            <w:pPr>
              <w:numPr>
                <w:ilvl w:val="0"/>
                <w:numId w:val="5"/>
              </w:numPr>
            </w:pPr>
            <w:r>
              <w:rPr>
                <w:color w:val="black"/>
                <w:sz w:val="22"/>
                <w:szCs w:val="22"/>
                <w:spacing w:val="0"/>
              </w:rPr>
              <w:t xml:space="preserve">
                A negative score (below 0%) indicates an extremely low level of performance. Attention is required in such circumstances 
                <w:br/>
              </w:t>
            </w:r>
          </w:p>
        </w:tc>
      </w:tr>
      <w:tr>
        <w:trPr>
          <w:trHeight w:val="-0.5" w:hRule="atLeast"/>
        </w:trPr>
        <w:tc>
          <w:tcPr>
            <w:tcW w:w="10000" w:type="dxa"/>
            <w:tcBorders>
              <w:top w:val="single" w:sz="1" w:color="white"/>
              <w:left w:val="single" w:sz="1" w:color="white"/>
              <w:right w:val="single" w:sz="1" w:color="white"/>
              <w:bottom w:val="single" w:sz="1" w:color="white"/>
            </w:tcBorders>
            <w:shd w:val="clear" w:color="" w:fill="DEEAF6"/>
          </w:tcPr>
          <w:p>
            <w:pPr>
              <w:numPr>
                <w:ilvl w:val="0"/>
                <w:numId w:val="5"/>
              </w:numPr>
            </w:pPr>
            <w:r>
              <w:rPr>
                <w:color w:val="black"/>
                <w:sz w:val="22"/>
                <w:szCs w:val="22"/>
                <w:spacing w:val="0"/>
              </w:rPr>
              <w:t xml:space="preserve">
                A percentile rank of 25 – 49 reflects a relatively low level of employee satisfaction on the element in question by comparison with the representative sample.
                <w:br/>
              </w:t>
            </w:r>
          </w:p>
        </w:tc>
      </w:tr>
      <w:tr>
        <w:trPr>
          <w:trHeight w:val="-0.5" w:hRule="atLeast"/>
        </w:trPr>
        <w:tc>
          <w:tcPr>
            <w:tcW w:w="10000" w:type="dxa"/>
            <w:tcBorders>
              <w:top w:val="single" w:sz="1" w:color="white"/>
              <w:left w:val="single" w:sz="1" w:color="white"/>
              <w:right w:val="single" w:sz="1" w:color="white"/>
              <w:bottom w:val="single" w:sz="1" w:color="white"/>
            </w:tcBorders>
            <w:shd w:val="clear" w:color="" w:fill="DEEAF6"/>
          </w:tcPr>
          <w:p>
            <w:pPr>
              <w:numPr>
                <w:ilvl w:val="0"/>
                <w:numId w:val="5"/>
              </w:numPr>
            </w:pPr>
            <w:r>
              <w:rPr>
                <w:color w:val="black"/>
                <w:sz w:val="22"/>
                <w:szCs w:val="22"/>
                <w:spacing w:val="0"/>
              </w:rPr>
              <w:t xml:space="preserve">
                A percentile rank of 50 – 74 reflects a fairly condusive environment in respect of the rated element in question by comparing it with the representative sample.
                <w:br/>
              </w:t>
            </w:r>
          </w:p>
        </w:tc>
      </w:tr>
      <w:tr>
        <w:trPr>
          <w:trHeight w:val="-0.5" w:hRule="atLeast"/>
        </w:trPr>
        <w:tc>
          <w:tcPr>
            <w:tcW w:w="10000" w:type="dxa"/>
            <w:tcBorders>
              <w:top w:val="single" w:sz="1" w:color="white"/>
              <w:left w:val="single" w:sz="1" w:color="white"/>
              <w:right w:val="single" w:sz="1" w:color="white"/>
              <w:bottom w:val="single" w:sz="1" w:color="white"/>
            </w:tcBorders>
            <w:shd w:val="clear" w:color="" w:fill="DEEAF6"/>
          </w:tcPr>
          <w:p>
            <w:pPr>
              <w:numPr>
                <w:ilvl w:val="0"/>
                <w:numId w:val="5"/>
              </w:numPr>
            </w:pPr>
            <w:r>
              <w:rPr>
                <w:color w:val="black"/>
                <w:sz w:val="22"/>
                <w:szCs w:val="22"/>
                <w:spacing w:val="0"/>
              </w:rPr>
              <w:t xml:space="preserve">
                A percentile rank of 75 and above reflects a high level of performance for the rating element in question in comparison with the representative sample.
                <w:br/>
              </w:t>
            </w:r>
          </w:p>
        </w:tc>
      </w:tr>
    </w:tbl>
    <w:p/>
    <w:p>
      <w:pPr>
        <w:sectPr>
          <w:pgSz w:orient="portrait" w:w="11870" w:h="16787"/>
          <w:pgMar w:top="1440" w:right="1440" w:bottom="1440" w:left="1440" w:header="720" w:footer="720" w:gutter="0"/>
          <w:cols w:num="1" w:space="720"/>
        </w:sectPr>
      </w:pPr>
    </w:p>
    <w:p>
      <w:pPr>
        <w:pStyle w:val="Heading2"/>
      </w:pPr>
      <w:r>
        <w:rPr>
          <w:color w:val="175EA8"/>
          <w:sz w:val="32"/>
          <w:szCs w:val="32"/>
          <w:b/>
        </w:rPr>
        <w:t xml:space="preserve">Summary of Results</w:t>
      </w:r>
    </w:p>
    <w:p>
      <w:pPr/>
      <w:r>
        <w:pict>
          <v:shape id="_x0000_s1002"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tbl>
      <w:tblGrid>
        <w:gridCol w:w="1000" w:type="dxa"/>
        <w:gridCol w:w="1000" w:type="dxa"/>
        <w:gridCol w:w="1000" w:type="dxa"/>
        <w:gridCol w:w="1000" w:type="dxa"/>
        <w:gridCol w:w="1000" w:type="dxa"/>
        <w:gridCol w:w="1000" w:type="dxa"/>
        <w:gridCol w:w="1000" w:type="dxa"/>
      </w:tblGrid>
      <w:tblPr>
        <w:tblStyle w:val="myOwnTableStyle"/>
      </w:tblPr>
      <w:tr>
        <w:trPr>
          <w:trHeight w:val="-0.5" w:hRule="atLeast"/>
        </w:trPr>
        <w:tc>
          <w:tcPr>
            <w:tcW w:w="1000" w:type="dxa"/>
            <w:tcBorders>
              <w:top w:val="single" w:sz="2" w:color="002060"/>
              <w:left w:val="single" w:sz="1" w:color="002060"/>
              <w:right w:val="single" w:sz="2" w:color="002060"/>
            </w:tcBorders>
            <w:shd w:val="clear" w:color="" w:fill="DDEBF7"/>
          </w:tcPr>
          <w:p>
            <w:pPr/>
            <w:r>
              <w:rPr>
                <w:color w:val="black"/>
                <w:sz w:val="22"/>
                <w:szCs w:val="22"/>
                <w:b/>
                <w:spacing w:val="0"/>
              </w:rPr>
              <w:t xml:space="preserve">
                <w:br/>
                 Perspective score
              </w:t>
            </w:r>
          </w:p>
        </w:tc>
        <w:tc>
          <w:tcPr>
            <w:tcW w:w="1000" w:type="dxa"/>
            <w:tcBorders>
              <w:top w:val="single" w:sz="2" w:color="002060"/>
              <w:left w:val="single" w:sz="2" w:color="002060"/>
              <w:bottom w:val="single" w:sz="1" w:color="002060"/>
            </w:tcBorders>
            <w:shd w:val="clear" w:color="" w:fill="DDEBF7"/>
          </w:tcPr>
          <w:p>
            <w:pPr/>
            <w:r>
              <w:rPr>
                <w:color w:val="black"/>
                <w:sz w:val="22"/>
                <w:szCs w:val="22"/>
                <w:b/>
                <w:spacing w:val="0"/>
              </w:rPr>
              <w:t xml:space="preserve"/>
            </w:r>
          </w:p>
        </w:tc>
        <w:tc>
          <w:tcPr>
            <w:tcW w:w="1000" w:type="dxa"/>
            <w:tcBorders>
              <w:top w:val="single" w:sz="1" w:color="002060"/>
              <w:bottom w:val="single" w:sz="1" w:color="002060"/>
            </w:tcBorders>
            <w:shd w:val="clear" w:color="" w:fill="DDEBF7"/>
          </w:tcPr>
          <w:p>
            <w:pPr/>
            <w:r>
              <w:rPr>
                <w:color w:val="black"/>
                <w:sz w:val="22"/>
                <w:szCs w:val="22"/>
                <w:b/>
                <w:spacing w:val="0"/>
              </w:rPr>
              <w:t xml:space="preserve"/>
            </w:r>
          </w:p>
        </w:tc>
        <w:tc>
          <w:tcPr>
            <w:tcW w:w="1000" w:type="dxa"/>
            <w:tcBorders>
              <w:top w:val="single" w:sz="1" w:color="002060"/>
              <w:bottom w:val="single" w:sz="1" w:color="002060"/>
            </w:tcBorders>
            <w:shd w:val="clear" w:color="" w:fill="DDEBF7"/>
          </w:tcPr>
          <w:p>
            <w:pPr/>
            <w:r>
              <w:rPr>
                <w:color w:val="black"/>
                <w:sz w:val="22"/>
                <w:szCs w:val="22"/>
                <w:b/>
                <w:spacing w:val="0"/>
              </w:rPr>
              <w:t xml:space="preserve"/>
            </w:r>
          </w:p>
        </w:tc>
        <w:tc>
          <w:tcPr>
            <w:tcW w:w="1000" w:type="dxa"/>
            <w:tcBorders>
              <w:top w:val="single" w:sz="1" w:color="002060"/>
              <w:bottom w:val="single" w:sz="1" w:color="002060"/>
            </w:tcBorders>
            <w:shd w:val="clear" w:color="" w:fill="DDEBF7"/>
          </w:tcPr>
          <w:p>
            <w:pPr/>
            <w:r>
              <w:rPr>
                <w:color w:val="black"/>
                <w:sz w:val="22"/>
                <w:szCs w:val="22"/>
                <w:b/>
                <w:spacing w:val="0"/>
              </w:rPr>
              <w:t xml:space="preserve"/>
            </w:r>
          </w:p>
        </w:tc>
        <w:tc>
          <w:tcPr>
            <w:tcW w:w="1000" w:type="dxa"/>
            <w:tcBorders>
              <w:top w:val="single" w:sz="1" w:color="002060"/>
              <w:bottom w:val="single" w:sz="1" w:color="002060"/>
            </w:tcBorders>
            <w:shd w:val="clear" w:color="" w:fill="DDEBF7"/>
          </w:tcPr>
          <w:p>
            <w:pPr/>
            <w:r>
              <w:rPr>
                <w:color w:val="black"/>
                <w:sz w:val="22"/>
                <w:szCs w:val="22"/>
                <w:b/>
                <w:spacing w:val="0"/>
              </w:rPr>
              <w:t xml:space="preserve"/>
            </w:r>
          </w:p>
        </w:tc>
        <w:tc>
          <w:tcPr>
            <w:tcW w:w="1000" w:type="dxa"/>
            <w:tcBorders>
              <w:top w:val="single" w:sz="1" w:color="002060"/>
              <w:bottom w:val="single" w:sz="1" w:color="002060"/>
            </w:tcBorders>
            <w:shd w:val="clear" w:color="" w:fill="DDEBF7"/>
          </w:tcPr>
          <w:p>
            <w:pPr/>
            <w:r>
              <w:rPr>
                <w:color w:val="black"/>
                <w:sz w:val="22"/>
                <w:szCs w:val="22"/>
                <w:b/>
                <w:spacing w:val="0"/>
              </w:rPr>
              <w:t xml:space="preserve"/>
            </w:r>
          </w:p>
        </w:tc>
      </w:tr>
      <w:tr>
        <w:trPr>
          <w:trHeight w:val="-0.5" w:hRule="atLeast"/>
        </w:trPr>
        <w:tc>
          <w:tcPr>
            <w:tcW w:w="1000" w:type="dxa"/>
            <w:tcBorders>
              <w:left w:val="single" w:sz="1" w:color="002060"/>
              <w:right w:val="single" w:sz="1" w:color="002060"/>
              <w:bottom w:val="single" w:sz="1" w:color="002060"/>
            </w:tcBorders>
            <w:shd w:val="clear" w:color="" w:fill="DDEBF7"/>
          </w:tcPr>
          <w:p>
            <w:pPr/>
            <w:r>
              <w:rPr>
                <w:color w:val="black"/>
                <w:sz w:val="22"/>
                <w:szCs w:val="22"/>
                <w:b/>
                <w:spacing w:val="0"/>
              </w:rPr>
              <w:t xml:space="preserve"/>
            </w:r>
          </w:p>
        </w:tc>
        <w:tc>
          <w:tcPr>
            <w:tcW w:w="1000" w:type="dxa"/>
            <w:tcBorders>
              <w:top w:val="single" w:sz="1" w:color="white"/>
              <w:left w:val="single" w:sz="1" w:color="white"/>
              <w:right w:val="single" w:sz="1" w:color="white"/>
              <w:bottom w:val="single" w:sz="1" w:color="white"/>
            </w:tcBorders>
            <w:shd w:val="clear" w:color="" w:fill="FF0000"/>
          </w:tcPr>
          <w:p>
            <w:pPr>
              <w:jc w:val="center"/>
            </w:pPr>
            <w:r>
              <w:rPr>
                <w:color w:val="white"/>
                <w:sz w:val="20"/>
                <w:szCs w:val="20"/>
                <w:b/>
              </w:rPr>
              <w:t xml:space="preserve">Nickel</w:t>
            </w:r>
          </w:p>
        </w:tc>
        <w:tc>
          <w:tcPr>
            <w:tcW w:w="1000" w:type="dxa"/>
            <w:tcBorders>
              <w:top w:val="single" w:sz="5" w:color="white"/>
              <w:left w:val="single" w:sz="1" w:color="white"/>
              <w:right w:val="single" w:sz="1" w:color="white"/>
              <w:bottom w:val="single" w:sz="5" w:color="white"/>
            </w:tcBorders>
            <w:shd w:val="clear" w:color="" w:fill="FFC000"/>
          </w:tcPr>
          <w:p>
            <w:pPr>
              <w:jc w:val="center"/>
            </w:pPr>
            <w:r>
              <w:rPr>
                <w:color w:val="black"/>
                <w:sz w:val="20"/>
                <w:szCs w:val="20"/>
                <w:b/>
              </w:rPr>
              <w:t xml:space="preserve">Bronze</w:t>
            </w:r>
          </w:p>
        </w:tc>
        <w:tc>
          <w:tcPr>
            <w:tcW w:w="1000" w:type="dxa"/>
            <w:tcBorders>
              <w:top w:val="single" w:sz="5" w:color="002060"/>
              <w:left w:val="single" w:sz="1" w:color="white"/>
              <w:right w:val="single" w:sz="1" w:color="white"/>
              <w:bottom w:val="single" w:sz="5" w:color="002060"/>
            </w:tcBorders>
            <w:shd w:val="clear" w:color="" w:fill="5B9BD5"/>
          </w:tcPr>
          <w:p>
            <w:pPr>
              <w:jc w:val="center"/>
            </w:pPr>
            <w:r>
              <w:rPr>
                <w:color w:val="white"/>
                <w:sz w:val="20"/>
                <w:szCs w:val="20"/>
                <w:b/>
              </w:rPr>
              <w:t xml:space="preserve">Silver</w:t>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Diamond</w:t>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Gold</w:t>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Platinum</w:t>
            </w:r>
          </w:p>
        </w:tc>
      </w:tr>
      <w:tr>
        <w:trPr>
          <w:trHeight w:val="-0.5" w:hRule="atLeast"/>
        </w:trPr>
        <w:tc>
          <w:tcPr>
            <w:tcW w:w="6000" w:type="dxa"/>
            <w:tcBorders>
              <w:top w:val="single" w:sz="1" w:color="808080"/>
              <w:left w:val="single" w:sz="1" w:color="002060"/>
              <w:right w:val="single" w:sz="1" w:color="002060"/>
              <w:bottom w:val="single" w:sz="1" w:color="808080"/>
            </w:tcBorders>
            <w:shd w:val="clear" w:color="" w:fill="DDEBF7"/>
          </w:tcPr>
          <w:p>
            <w:pPr/>
            <w:r>
              <w:rPr>
                <w:color w:val="black"/>
                <w:sz w:val="20"/>
                <w:szCs w:val="20"/>
                <w:i/>
                <w:iCs/>
                <w:spacing w:val="0"/>
              </w:rPr>
              <w:t xml:space="preserve">Financial</w:t>
            </w:r>
          </w:p>
        </w:tc>
        <w:tc>
          <w:tcPr>
            <w:tcW w:w="1000" w:type="dxa"/>
            <w:tcBorders>
              <w:top w:val="single" w:sz="1" w:color="white"/>
              <w:left w:val="single" w:sz="1" w:color="white"/>
              <w:right w:val="single" w:sz="1" w:color="white"/>
              <w:bottom w:val="single" w:sz="1" w:color="white"/>
            </w:tcBorders>
            <w:shd w:val="clear" w:color="" w:fill="FF0000"/>
          </w:tcPr>
          <w:p>
            <w:pPr>
              <w:jc w:val="center"/>
            </w:pPr>
            <w:r>
              <w:rPr>
                <w:color w:val="white"/>
                <w:sz w:val="20"/>
                <w:szCs w:val="20"/>
                <w:b/>
              </w:rPr>
              <w:t xml:space="preserve"/>
            </w:r>
          </w:p>
        </w:tc>
        <w:tc>
          <w:tcPr>
            <w:tcW w:w="1000" w:type="dxa"/>
            <w:tcBorders>
              <w:top w:val="single" w:sz="5" w:color="white"/>
              <w:left w:val="single" w:sz="1" w:color="white"/>
              <w:right w:val="single" w:sz="1" w:color="white"/>
              <w:bottom w:val="single" w:sz="5" w:color="white"/>
            </w:tcBorders>
            <w:shd w:val="clear" w:color="" w:fill="FFC000"/>
          </w:tcPr>
          <w:p>
            <w:pPr>
              <w:jc w:val="center"/>
            </w:pPr>
            <w:r>
              <w:rPr>
                <w:color w:val="white"/>
                <w:sz w:val="20"/>
                <w:szCs w:val="20"/>
                <w:b/>
                <w:shd w:val="clear" w:color="" w:fill="black"/>
              </w:rPr>
              <w:t xml:space="preserve">13.14%</w:t>
            </w:r>
          </w:p>
        </w:tc>
        <w:tc>
          <w:tcPr>
            <w:tcW w:w="1000" w:type="dxa"/>
            <w:tcBorders>
              <w:top w:val="single" w:sz="1" w:color="E0D4B0"/>
              <w:left w:val="single" w:sz="1" w:color="E0D4B0"/>
              <w:right w:val="single" w:sz="1" w:color="E0D4B0"/>
              <w:bottom w:val="single" w:sz="1" w:color="E0D4B0"/>
            </w:tcBorders>
            <w:shd w:val="clear" w:color="" w:fill="#175ea8"/>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r>
      <w:tr>
        <w:trPr>
          <w:trHeight w:val="-0.5" w:hRule="atLeast"/>
        </w:trPr>
        <w:tc>
          <w:tcPr>
            <w:tcW w:w="6000" w:type="dxa"/>
            <w:tcBorders>
              <w:top w:val="single" w:sz="1" w:color="808080"/>
              <w:left w:val="single" w:sz="1" w:color="002060"/>
              <w:right w:val="single" w:sz="1" w:color="002060"/>
              <w:bottom w:val="single" w:sz="1" w:color="808080"/>
            </w:tcBorders>
            <w:shd w:val="clear" w:color="" w:fill="DDEBF7"/>
          </w:tcPr>
          <w:p>
            <w:pPr/>
            <w:r>
              <w:rPr>
                <w:color w:val="black"/>
                <w:sz w:val="20"/>
                <w:szCs w:val="20"/>
                <w:i/>
                <w:iCs/>
                <w:spacing w:val="0"/>
              </w:rPr>
              <w:t xml:space="preserve">Customer</w:t>
            </w:r>
          </w:p>
        </w:tc>
        <w:tc>
          <w:tcPr>
            <w:tcW w:w="1000" w:type="dxa"/>
            <w:tcBorders>
              <w:top w:val="single" w:sz="1" w:color="white"/>
              <w:left w:val="single" w:sz="1" w:color="white"/>
              <w:right w:val="single" w:sz="1" w:color="white"/>
              <w:bottom w:val="single" w:sz="1" w:color="white"/>
            </w:tcBorders>
            <w:shd w:val="clear" w:color="" w:fill="FF0000"/>
          </w:tcPr>
          <w:p>
            <w:pPr>
              <w:jc w:val="center"/>
            </w:pPr>
            <w:r>
              <w:rPr>
                <w:color w:val="white"/>
                <w:sz w:val="20"/>
                <w:szCs w:val="20"/>
                <w:b/>
              </w:rPr>
              <w:t xml:space="preserve"/>
            </w:r>
          </w:p>
        </w:tc>
        <w:tc>
          <w:tcPr>
            <w:tcW w:w="1000" w:type="dxa"/>
            <w:tcBorders>
              <w:top w:val="single" w:sz="5" w:color="white"/>
              <w:left w:val="single" w:sz="1" w:color="white"/>
              <w:right w:val="single" w:sz="1" w:color="white"/>
              <w:bottom w:val="single" w:sz="5" w:color="white"/>
            </w:tcBorders>
            <w:shd w:val="clear" w:color="" w:fill="FFC000"/>
          </w:tcPr>
          <w:p>
            <w:pPr>
              <w:jc w:val="center"/>
            </w:pPr>
            <w:r>
              <w:rPr>
                <w:color w:val="white"/>
                <w:sz w:val="20"/>
                <w:szCs w:val="20"/>
                <w:b/>
                <w:shd w:val="clear" w:color="" w:fill="black"/>
              </w:rPr>
              <w:t xml:space="preserve">4%</w:t>
            </w:r>
          </w:p>
        </w:tc>
        <w:tc>
          <w:tcPr>
            <w:tcW w:w="1000" w:type="dxa"/>
            <w:tcBorders>
              <w:top w:val="single" w:sz="1" w:color="E0D4B0"/>
              <w:left w:val="single" w:sz="1" w:color="E0D4B0"/>
              <w:right w:val="single" w:sz="1" w:color="E0D4B0"/>
              <w:bottom w:val="single" w:sz="1" w:color="E0D4B0"/>
            </w:tcBorders>
            <w:shd w:val="clear" w:color="" w:fill="#175ea8"/>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r>
      <w:tr>
        <w:trPr>
          <w:trHeight w:val="-0.5" w:hRule="atLeast"/>
        </w:trPr>
        <w:tc>
          <w:tcPr>
            <w:tcW w:w="6000" w:type="dxa"/>
            <w:tcBorders>
              <w:top w:val="single" w:sz="1" w:color="808080"/>
              <w:left w:val="single" w:sz="1" w:color="002060"/>
              <w:right w:val="single" w:sz="1" w:color="002060"/>
              <w:bottom w:val="single" w:sz="1" w:color="808080"/>
            </w:tcBorders>
            <w:shd w:val="clear" w:color="" w:fill="DDEBF7"/>
          </w:tcPr>
          <w:p>
            <w:pPr/>
            <w:r>
              <w:rPr>
                <w:color w:val="black"/>
                <w:sz w:val="20"/>
                <w:szCs w:val="20"/>
                <w:i/>
                <w:iCs/>
                <w:spacing w:val="0"/>
              </w:rPr>
              <w:t xml:space="preserve">Internal business processes</w:t>
            </w:r>
          </w:p>
        </w:tc>
        <w:tc>
          <w:tcPr>
            <w:tcW w:w="1000" w:type="dxa"/>
            <w:tcBorders>
              <w:top w:val="single" w:sz="1" w:color="white"/>
              <w:left w:val="single" w:sz="1" w:color="white"/>
              <w:right w:val="single" w:sz="1" w:color="white"/>
              <w:bottom w:val="single" w:sz="1" w:color="white"/>
            </w:tcBorders>
            <w:shd w:val="clear" w:color="" w:fill="FF0000"/>
          </w:tcPr>
          <w:p>
            <w:pPr>
              <w:jc w:val="center"/>
            </w:pPr>
            <w:r>
              <w:rPr>
                <w:color w:val="white"/>
                <w:sz w:val="20"/>
                <w:szCs w:val="20"/>
                <w:b/>
                <w:shd w:val="clear" w:color="" w:fill="black"/>
              </w:rPr>
              <w:t xml:space="preserve">-12.09%</w:t>
            </w:r>
          </w:p>
        </w:tc>
        <w:tc>
          <w:tcPr>
            <w:tcW w:w="1000" w:type="dxa"/>
            <w:tcBorders>
              <w:top w:val="single" w:sz="5" w:color="white"/>
              <w:left w:val="single" w:sz="1" w:color="white"/>
              <w:right w:val="single" w:sz="1" w:color="white"/>
              <w:bottom w:val="single" w:sz="5" w:color="white"/>
            </w:tcBorders>
            <w:shd w:val="clear" w:color="" w:fill="FFC00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175ea8"/>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r>
      <w:tr>
        <w:trPr>
          <w:trHeight w:val="-0.5" w:hRule="atLeast"/>
        </w:trPr>
        <w:tc>
          <w:tcPr>
            <w:tcW w:w="6000" w:type="dxa"/>
            <w:tcBorders>
              <w:top w:val="single" w:sz="1" w:color="808080"/>
              <w:left w:val="single" w:sz="1" w:color="002060"/>
              <w:right w:val="single" w:sz="1" w:color="002060"/>
              <w:bottom w:val="single" w:sz="1" w:color="808080"/>
            </w:tcBorders>
            <w:shd w:val="clear" w:color="" w:fill="DDEBF7"/>
          </w:tcPr>
          <w:p>
            <w:pPr/>
            <w:r>
              <w:rPr>
                <w:color w:val="black"/>
                <w:sz w:val="20"/>
                <w:szCs w:val="20"/>
                <w:i/>
                <w:iCs/>
                <w:spacing w:val="0"/>
              </w:rPr>
              <w:t xml:space="preserve">Learning and growth</w:t>
            </w:r>
          </w:p>
        </w:tc>
        <w:tc>
          <w:tcPr>
            <w:tcW w:w="1000" w:type="dxa"/>
            <w:tcBorders>
              <w:top w:val="single" w:sz="1" w:color="white"/>
              <w:left w:val="single" w:sz="1" w:color="white"/>
              <w:right w:val="single" w:sz="1" w:color="white"/>
              <w:bottom w:val="single" w:sz="1" w:color="white"/>
            </w:tcBorders>
            <w:shd w:val="clear" w:color="" w:fill="FF0000"/>
          </w:tcPr>
          <w:p>
            <w:pPr>
              <w:jc w:val="center"/>
            </w:pPr>
            <w:r>
              <w:rPr>
                <w:color w:val="white"/>
                <w:sz w:val="20"/>
                <w:szCs w:val="20"/>
                <w:b/>
              </w:rPr>
              <w:t xml:space="preserve"/>
            </w:r>
          </w:p>
        </w:tc>
        <w:tc>
          <w:tcPr>
            <w:tcW w:w="1000" w:type="dxa"/>
            <w:tcBorders>
              <w:top w:val="single" w:sz="5" w:color="white"/>
              <w:left w:val="single" w:sz="1" w:color="white"/>
              <w:right w:val="single" w:sz="1" w:color="white"/>
              <w:bottom w:val="single" w:sz="5" w:color="white"/>
            </w:tcBorders>
            <w:shd w:val="clear" w:color="" w:fill="FFC00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175ea8"/>
          </w:tcPr>
          <w:p>
            <w:pPr>
              <w:jc w:val="center"/>
            </w:pPr>
            <w:r>
              <w:rPr>
                <w:color w:val="white"/>
                <w:sz w:val="20"/>
                <w:szCs w:val="20"/>
                <w:b/>
                <w:shd w:val="clear" w:color="" w:fill="black"/>
              </w:rPr>
              <w:t xml:space="preserve">25%</w:t>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r>
      <w:tr>
        <w:trPr>
          <w:trHeight w:val="-0.5" w:hRule="atLeast"/>
        </w:trPr>
        <w:tc>
          <w:tcPr>
            <w:tcW w:w="6000" w:type="dxa"/>
            <w:tcBorders>
              <w:top w:val="single" w:sz="1" w:color="808080"/>
              <w:left w:val="single" w:sz="1" w:color="002060"/>
              <w:right w:val="single" w:sz="1" w:color="002060"/>
              <w:bottom w:val="single" w:sz="1" w:color="808080"/>
            </w:tcBorders>
            <w:shd w:val="clear" w:color="" w:fill="DDEBF7"/>
          </w:tcPr>
          <w:p>
            <w:pPr/>
            <w:r>
              <w:rPr>
                <w:color w:val="black"/>
                <w:sz w:val="20"/>
                <w:szCs w:val="20"/>
                <w:i/>
                <w:iCs/>
                <w:spacing w:val="0"/>
              </w:rPr>
              <w:t xml:space="preserve">Overall Score</w:t>
            </w:r>
          </w:p>
        </w:tc>
        <w:tc>
          <w:tcPr>
            <w:tcW w:w="1000" w:type="dxa"/>
            <w:tcBorders>
              <w:top w:val="single" w:sz="1" w:color="white"/>
              <w:left w:val="single" w:sz="1" w:color="white"/>
              <w:right w:val="single" w:sz="1" w:color="white"/>
              <w:bottom w:val="single" w:sz="1" w:color="white"/>
            </w:tcBorders>
            <w:shd w:val="clear" w:color="" w:fill="FF0000"/>
          </w:tcPr>
          <w:p>
            <w:pPr>
              <w:jc w:val="center"/>
            </w:pPr>
            <w:r>
              <w:rPr>
                <w:color w:val="white"/>
                <w:sz w:val="20"/>
                <w:szCs w:val="20"/>
                <w:b/>
              </w:rPr>
              <w:t xml:space="preserve"/>
            </w:r>
          </w:p>
        </w:tc>
        <w:tc>
          <w:tcPr>
            <w:tcW w:w="1000" w:type="dxa"/>
            <w:tcBorders>
              <w:top w:val="single" w:sz="5" w:color="white"/>
              <w:left w:val="single" w:sz="1" w:color="white"/>
              <w:right w:val="single" w:sz="1" w:color="white"/>
              <w:bottom w:val="single" w:sz="5" w:color="white"/>
            </w:tcBorders>
            <w:shd w:val="clear" w:color="" w:fill="FFC00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175ea8"/>
          </w:tcPr>
          <w:p>
            <w:pPr>
              <w:jc w:val="center"/>
            </w:pPr>
            <w:r>
              <w:rPr>
                <w:color w:val="white"/>
                <w:sz w:val="20"/>
                <w:szCs w:val="20"/>
                <w:b/>
                <w:shd w:val="clear" w:color="" w:fill="black"/>
              </w:rPr>
              <w:t xml:space="preserve">30.05%</w:t>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c>
          <w:tcPr>
            <w:tcW w:w="1000" w:type="dxa"/>
            <w:tcBorders>
              <w:top w:val="single" w:sz="1" w:color="E0D4B0"/>
              <w:left w:val="single" w:sz="1" w:color="E0D4B0"/>
              <w:right w:val="single" w:sz="1" w:color="E0D4B0"/>
              <w:bottom w:val="single" w:sz="1" w:color="E0D4B0"/>
            </w:tcBorders>
            <w:shd w:val="clear" w:color="" w:fill="00B050"/>
          </w:tcPr>
          <w:p>
            <w:pPr>
              <w:jc w:val="center"/>
            </w:pPr>
            <w:r>
              <w:rPr>
                <w:color w:val="white"/>
                <w:sz w:val="20"/>
                <w:szCs w:val="20"/>
                <w:b/>
              </w:rPr>
              <w:t xml:space="preserve"/>
            </w:r>
          </w:p>
        </w:tc>
      </w:tr>
    </w:tbl>
    <w:p/>
    <w:p>
      <w:pPr>
        <w:pStyle w:val="Heading7"/>
      </w:pPr>
      <w:r>
        <w:rPr>
          <w:color w:val="175EA8"/>
          <w:sz w:val="32"/>
          <w:szCs w:val="32"/>
          <w:b/>
        </w:rPr>
        <w:t xml:space="preserve">Projects Worked on</w:t>
      </w:r>
    </w:p>
    <w:p>
      <w:pPr/>
      <w:r>
        <w:pict>
          <v:shape id="_x0000_s1007"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p>
      <w:pPr>
        <w:pStyle w:val="Heading5"/>
      </w:pPr>
      <w:r>
        <w:rPr>
          <w:color w:val="ff0000"/>
          <w:b/>
        </w:rPr>
        <w:t xml:space="preserve">No projects were mentioned</w:t>
      </w:r>
    </w:p>
    <w:p/>
    <w:p>
      <w:pPr>
        <w:pStyle w:val="Heading2"/>
      </w:pPr>
      <w:r>
        <w:rPr>
          <w:color w:val="175EA8"/>
          <w:sz w:val="32"/>
          <w:szCs w:val="32"/>
          <w:b/>
        </w:rPr>
        <w:t xml:space="preserve">Outstanding Action plans by project</w:t>
      </w:r>
    </w:p>
    <w:p>
      <w:pPr/>
      <w:r>
        <w:pict>
          <v:shape id="_x0000_s1011"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p>
      <w:pPr>
        <w:pStyle w:val="Heading5"/>
      </w:pPr>
      <w:r>
        <w:rPr>
          <w:color w:val="175EA8"/>
          <w:b/>
        </w:rPr>
        <w:t xml:space="preserve">Q2 National Salary Survey - Manager: Batsirai Soko</w:t>
      </w:r>
    </w:p>
    <w:p>
      <w:pPr>
        <w:numPr>
          <w:ilvl w:val="0"/>
          <w:numId w:val="5"/>
        </w:numPr>
      </w:pPr>
      <w:r>
        <w:rPr/>
        <w:t xml:space="preserve">Sending out data collection templates to all participants (50%)</w:t>
      </w:r>
    </w:p>
    <w:p>
      <w:pPr>
        <w:numPr>
          <w:ilvl w:val="0"/>
          <w:numId w:val="5"/>
        </w:numPr>
      </w:pPr>
      <w:r>
        <w:rPr/>
        <w:t xml:space="preserve">Iperform presentation with client (0%)</w:t>
      </w:r>
    </w:p>
    <w:p/>
    <w:p>
      <w:pPr>
        <w:pStyle w:val="Heading2"/>
      </w:pPr>
      <w:r>
        <w:rPr>
          <w:color w:val="175EA8"/>
          <w:sz w:val="32"/>
          <w:szCs w:val="32"/>
          <w:b/>
        </w:rPr>
        <w:t xml:space="preserve">Performance Improvement plans offered</w:t>
      </w:r>
    </w:p>
    <w:p>
      <w:pPr/>
      <w:r>
        <w:pict>
          <v:shape id="_x0000_s1017"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p>
      <w:pPr>
        <w:pStyle w:val="Heading5"/>
      </w:pPr>
      <w:r>
        <w:rPr>
          <w:color w:val="008140"/>
          <w:b/>
        </w:rPr>
        <w:t xml:space="preserve">No outstanding performance improvement plans were given</w:t>
      </w:r>
    </w:p>
    <w:p>
      <w:pPr>
        <w:pStyle w:val="Heading2"/>
      </w:pPr>
      <w:r>
        <w:rPr>
          <w:color w:val="175EA8"/>
          <w:sz w:val="32"/>
          <w:szCs w:val="32"/>
          <w:b/>
        </w:rPr>
        <w:t xml:space="preserve">Top Ten performers</w:t>
      </w:r>
    </w:p>
    <w:p>
      <w:pPr/>
      <w:r>
        <w:pict>
          <v:shape id="_x0000_s1020"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p>
      <w:r>
        <w:br w:type="page"/>
      </w:r>
    </w:p>
    <w:p>
      <w:pPr>
        <w:pStyle w:val="Heading2"/>
      </w:pPr>
    </w:p>
    <w:p>
      <w:pPr/>
      <w:r>
        <w:pict>
          <v:shape id="_x0000_s1023"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p>
      <w:r>
        <w:br w:type="page"/>
      </w:r>
    </w:p>
    <w:p>
      <w:pPr>
        <w:pStyle w:val="Heading2"/>
      </w:pPr>
      <w:r>
        <w:rPr>
          <w:color w:val="175EA8"/>
          <w:sz w:val="32"/>
          <w:szCs w:val="32"/>
          <w:b/>
        </w:rPr>
        <w:t xml:space="preserve">Correlation on goals over time</w:t>
      </w:r>
    </w:p>
    <w:p>
      <w:pPr/>
      <w:r>
        <w:pict>
          <v:shape id="_x0000_s1026" type="#_x0000_t32" style="width:600px; height:0px; margin-left:0px; margin-top:0px; position:absolute; mso-position-horizontal:left; mso-position-vertical:top; mso-position-horizontal-relative:char; mso-position-vertical-relative:line;">
            <w10:wrap type="inline" anchorx="page" anchory="page"/>
            <v:stroke weight="2pt" color="#175EA8"/>
          </v:shape>
        </w:pic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type id="_x0000_t32" coordsize="21600,21600" o:spt="32" o:oned="t" path="m,l21600,21600e" filled="f">
          <v:path arrowok="t" fillok="f" o:connecttype="none"/>
          <o:lock v:ext="edit" shapetype="t"/>
        </v:shapetype>
        <v:shape id="_x0000_s1001" type="#_x0000_t32" style="width:600px; height:0px; margin-left:0px; margin-top:0px; position:absolute; mso-position-horizontal:left; mso-position-vertical:top; mso-position-horizontal-relative:char; mso-position-vertical-relative:line;">
          <w10:wrap type="inline" anchorx="page" anchory="page"/>
          <v:stroke weight="3pt" color="#175EA8"/>
        </v:shape>
      </w:pict>
    </w:r>
  </w:p>
  <w:p>
    <w:pPr>
      <w:jc w:val="left"/>
    </w:pPr>
    <w:r>
      <w:rPr>
        <w:sz w:val="20"/>
        <w:szCs w:val="20"/>
      </w:rPr>
      <w:t xml:space="preserve">Prepared by Industrial Psychology Consultants. Email: ipc@ipcconsultants.com</w:t>
    </w:r>
  </w:p>
  <w:p>
    <w:pPr>
      <w:jc w:val="right"/>
    </w:pPr>
    <w:r>
      <w:fldChar w:fldCharType="begin"/>
    </w:r>
    <w:r>
      <w:rPr>
        <w:sz w:val="22"/>
        <w:szCs w:val="22"/>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500" w:type="dxa"/>
    </w:tblGrid>
    <w:tr>
      <w:trPr/>
      <w:tc>
        <w:tcPr>
          <w:tcW w:w="4500" w:type="dxa"/>
        </w:tcPr>
        <w:p>
          <w:r>
            <w:rPr/>
            <w:t xml:space="preserve"/>
          </w:r>
        </w:p>
      </w:tc>
    </w:tr>
  </w:tbl>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rPr>
        <w:sz w:val="22"/>
        <w:szCs w:val="22"/>
      </w:rPr>
      <w:t xml:space="preserve">IPC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nsid w:val="E76406F8"/>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5">
    <w:abstractNumId w:val="5"/>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name="compatibilityMode" w:uri="http://schemas.microsoft.com/office/word" w:val="12"/>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Palatino Linotype" w:hAnsi="Palatino Linotype" w:eastAsia="Palatino Linotype" w:cs="Palatino Linotype"/>
        <w:sz w:val="24"/>
        <w:szCs w:val="24"/>
      </w:rPr>
    </w:rPrDefault>
  </w:docDefaults>
  <w:style w:type="paragraph" w:default="1" w:styleId="Normal">
    <w:name w:val="Normal"/>
    <w:pPr>
      <w:jc w:val="both"/>
    </w:pPr>
  </w:style>
  <w:style w:type="character" w:styleId="FootnoteReference">
    <w:name w:val="Footnote Reference"/>
    <w:semiHidden/>
    <w:unhideWhenUsed/>
    <w:rPr>
      <w:vertAlign w:val="superscript"/>
    </w:rPr>
  </w:style>
  <w:style w:type="paragraph" w:styleId="Heading1">
    <w:link w:val="Heading1Char"/>
    <w:name w:val="heading 1"/>
    <w:basedOn w:val="Normal"/>
    <w:pPr>
      <w:jc w:val="center"/>
    </w:pPr>
    <w:rPr>
      <w:sz w:val="73"/>
      <w:szCs w:val="73"/>
    </w:rPr>
  </w:style>
  <w:style w:type="paragraph" w:styleId="Heading2">
    <w:link w:val="Heading2Char"/>
    <w:name w:val="heading 2"/>
    <w:basedOn w:val="Normal"/>
    <w:pPr>
      <w:jc w:val="left"/>
    </w:pPr>
    <w:rPr/>
  </w:style>
  <w:style w:type="paragraph" w:styleId="Heading3">
    <w:link w:val="Heading3Char"/>
    <w:name w:val="heading 3"/>
    <w:basedOn w:val="Normal"/>
    <w:pPr>
      <w:jc w:val="left"/>
    </w:pPr>
    <w:rPr>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2020-07-02T11:55:36+02:00</dcterms:created>
  <dcterms:modified xsi:type="dcterms:W3CDTF">2020-07-02T11:55:36+02:00</dcterms:modified>
</cp:coreProperties>
</file>

<file path=docProps/custom.xml><?xml version="1.0" encoding="utf-8"?>
<Properties xmlns="http://schemas.openxmlformats.org/officeDocument/2006/custom-properties" xmlns:vt="http://schemas.openxmlformats.org/officeDocument/2006/docPropsVTypes"/>
</file>