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Teaching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2020-04-23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Absolute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0%</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7"/>
      </w:pPr>
      <w:r>
        <w:rPr>
          <w:color w:val="175EA8"/>
          <w:sz w:val="32"/>
          <w:szCs w:val="32"/>
          <w:b/>
        </w:rPr>
        <w:t xml:space="preserve">Projects Worked on</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
      <w:pPr>
        <w:pStyle w:val="Heading2"/>
      </w:pPr>
      <w:r>
        <w:rPr>
          <w:color w:val="175EA8"/>
          <w:sz w:val="32"/>
          <w:szCs w:val="32"/>
          <w:b/>
        </w:rPr>
        <w:t xml:space="preserve">Performance Improvement plans offered</w:t>
      </w:r>
    </w:p>
    <w:p>
      <w:pPr/>
      <w:r>
        <w:pict>
          <v:shape id="_x0000_s1014"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Teaching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83686EB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2020-04-23T19:12:29+02:00</dcterms:created>
  <dcterms:modified xsi:type="dcterms:W3CDTF">2020-04-23T19:12:29+02:00</dcterms:modified>
</cp:coreProperties>
</file>

<file path=docProps/custom.xml><?xml version="1.0" encoding="utf-8"?>
<Properties xmlns="http://schemas.openxmlformats.org/officeDocument/2006/custom-properties" xmlns:vt="http://schemas.openxmlformats.org/officeDocument/2006/docPropsVTypes"/>
</file>