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5039" w14:textId="77777777" w:rsidR="00B104FF" w:rsidRDefault="00B104FF" w:rsidP="00B104FF">
      <w:pPr>
        <w:shd w:val="clear" w:color="auto" w:fill="FFFFFF"/>
        <w:spacing w:before="100" w:beforeAutospacing="1" w:after="100" w:afterAutospacing="1" w:line="240" w:lineRule="auto"/>
        <w:jc w:val="center"/>
        <w:outlineLvl w:val="0"/>
        <w:rPr>
          <w:rFonts w:ascii="Arial" w:eastAsia="Times New Roman" w:hAnsi="Arial" w:cs="Arial"/>
          <w:b/>
          <w:bCs/>
          <w:color w:val="222222"/>
          <w:kern w:val="36"/>
          <w:sz w:val="48"/>
          <w:szCs w:val="48"/>
          <w:lang w:eastAsia="es-CL"/>
          <w14:ligatures w14:val="none"/>
        </w:rPr>
      </w:pPr>
      <w:r w:rsidRPr="00B104FF">
        <w:rPr>
          <w:rFonts w:ascii="Arial" w:eastAsia="Times New Roman" w:hAnsi="Arial" w:cs="Arial"/>
          <w:b/>
          <w:bCs/>
          <w:color w:val="222222"/>
          <w:kern w:val="36"/>
          <w:sz w:val="48"/>
          <w:szCs w:val="48"/>
          <w:lang w:eastAsia="es-CL"/>
          <w14:ligatures w14:val="none"/>
        </w:rPr>
        <w:t>ESPECIFICACIONES TÉCNICAS</w:t>
      </w:r>
    </w:p>
    <w:p w14:paraId="3D8D4476" w14:textId="77777777" w:rsidR="00B104FF" w:rsidRPr="00B104FF" w:rsidRDefault="00B104FF" w:rsidP="00B104FF">
      <w:pPr>
        <w:shd w:val="clear" w:color="auto" w:fill="FFFFFF"/>
        <w:spacing w:before="100" w:beforeAutospacing="1" w:after="100" w:afterAutospacing="1" w:line="240" w:lineRule="auto"/>
        <w:jc w:val="center"/>
        <w:outlineLvl w:val="0"/>
        <w:rPr>
          <w:rFonts w:ascii="Arial" w:eastAsia="Times New Roman" w:hAnsi="Arial" w:cs="Arial"/>
          <w:b/>
          <w:bCs/>
          <w:color w:val="222222"/>
          <w:kern w:val="36"/>
          <w:sz w:val="48"/>
          <w:szCs w:val="48"/>
          <w:lang w:eastAsia="es-CL"/>
          <w14:ligatures w14:val="none"/>
        </w:rPr>
      </w:pPr>
    </w:p>
    <w:p w14:paraId="02D5595A" w14:textId="77777777" w:rsidR="00B104FF" w:rsidRPr="00B104FF" w:rsidRDefault="00B104FF" w:rsidP="00B104FF">
      <w:pPr>
        <w:shd w:val="clear" w:color="auto" w:fill="FFFFFF"/>
        <w:spacing w:before="100" w:beforeAutospacing="1" w:after="100" w:afterAutospacing="1" w:line="240" w:lineRule="auto"/>
        <w:jc w:val="both"/>
        <w:outlineLvl w:val="1"/>
        <w:rPr>
          <w:rFonts w:ascii="Arial" w:eastAsia="Times New Roman" w:hAnsi="Arial" w:cs="Arial"/>
          <w:b/>
          <w:bCs/>
          <w:color w:val="222222"/>
          <w:kern w:val="0"/>
          <w:sz w:val="36"/>
          <w:szCs w:val="36"/>
          <w:lang w:eastAsia="es-CL"/>
          <w14:ligatures w14:val="none"/>
        </w:rPr>
      </w:pPr>
      <w:r w:rsidRPr="00B104FF">
        <w:rPr>
          <w:rFonts w:ascii="Arial" w:eastAsia="Times New Roman" w:hAnsi="Arial" w:cs="Arial"/>
          <w:b/>
          <w:bCs/>
          <w:color w:val="222222"/>
          <w:kern w:val="0"/>
          <w:sz w:val="36"/>
          <w:szCs w:val="36"/>
          <w:lang w:eastAsia="es-CL"/>
          <w14:ligatures w14:val="none"/>
        </w:rPr>
        <w:t xml:space="preserve">Adquisición de UPS Online de 1 </w:t>
      </w:r>
      <w:proofErr w:type="spellStart"/>
      <w:r w:rsidRPr="00B104FF">
        <w:rPr>
          <w:rFonts w:ascii="Arial" w:eastAsia="Times New Roman" w:hAnsi="Arial" w:cs="Arial"/>
          <w:b/>
          <w:bCs/>
          <w:color w:val="222222"/>
          <w:kern w:val="0"/>
          <w:sz w:val="36"/>
          <w:szCs w:val="36"/>
          <w:lang w:eastAsia="es-CL"/>
          <w14:ligatures w14:val="none"/>
        </w:rPr>
        <w:t>kVA</w:t>
      </w:r>
      <w:proofErr w:type="spellEnd"/>
      <w:r w:rsidRPr="00B104FF">
        <w:rPr>
          <w:rFonts w:ascii="Arial" w:eastAsia="Times New Roman" w:hAnsi="Arial" w:cs="Arial"/>
          <w:b/>
          <w:bCs/>
          <w:color w:val="222222"/>
          <w:kern w:val="0"/>
          <w:sz w:val="36"/>
          <w:szCs w:val="36"/>
          <w:lang w:eastAsia="es-CL"/>
          <w14:ligatures w14:val="none"/>
        </w:rPr>
        <w:t xml:space="preserve"> para Ecógrafos</w:t>
      </w:r>
    </w:p>
    <w:p w14:paraId="4DD17F7A"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1. Objeto de la contratación</w:t>
      </w:r>
    </w:p>
    <w:p w14:paraId="7914447C"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El Hospital Base de Linares requiere la adquisición de dos (02) Sistemas de Alimentación Ininterrumpida (UPS) tipo Online de Doble Conversión, destinados a proteger ecógrafos utilizados en la atención clínica, asegurando la continuidad operativa frente a interrupciones, variaciones y perturbaciones del suministro eléctrico.</w:t>
      </w:r>
    </w:p>
    <w:p w14:paraId="19943FBC"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2. Cantidad requerida</w:t>
      </w:r>
    </w:p>
    <w:p w14:paraId="675DDE58" w14:textId="77777777" w:rsidR="00B104FF" w:rsidRPr="00B104FF" w:rsidRDefault="00B104FF" w:rsidP="00B104FF">
      <w:pPr>
        <w:numPr>
          <w:ilvl w:val="0"/>
          <w:numId w:val="1"/>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 xml:space="preserve">02 UPS Online de Doble Conversión de 1 </w:t>
      </w:r>
      <w:proofErr w:type="spellStart"/>
      <w:r w:rsidRPr="00B104FF">
        <w:rPr>
          <w:rFonts w:ascii="Arial" w:eastAsia="Times New Roman" w:hAnsi="Arial" w:cs="Arial"/>
          <w:color w:val="222222"/>
          <w:kern w:val="0"/>
          <w:lang w:eastAsia="es-CL"/>
          <w14:ligatures w14:val="none"/>
        </w:rPr>
        <w:t>kVA</w:t>
      </w:r>
      <w:proofErr w:type="spellEnd"/>
      <w:r w:rsidRPr="00B104FF">
        <w:rPr>
          <w:rFonts w:ascii="Arial" w:eastAsia="Times New Roman" w:hAnsi="Arial" w:cs="Arial"/>
          <w:color w:val="222222"/>
          <w:kern w:val="0"/>
          <w:lang w:eastAsia="es-CL"/>
          <w14:ligatures w14:val="none"/>
        </w:rPr>
        <w:t>.</w:t>
      </w:r>
    </w:p>
    <w:p w14:paraId="1727C803"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3. Especificaciones técnicas mínimas</w:t>
      </w:r>
    </w:p>
    <w:p w14:paraId="6C30E019"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Las UPS ofertadas deberán cumplir, como mínimo, con las siguientes características:</w:t>
      </w:r>
    </w:p>
    <w:p w14:paraId="2A120416"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Tecnología Online de Doble Conversión (True Online).</w:t>
      </w:r>
    </w:p>
    <w:p w14:paraId="10339424"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 xml:space="preserve">Potencia nominal mínima: 1 </w:t>
      </w:r>
      <w:proofErr w:type="spellStart"/>
      <w:r w:rsidRPr="00B104FF">
        <w:rPr>
          <w:rFonts w:ascii="Arial" w:eastAsia="Times New Roman" w:hAnsi="Arial" w:cs="Arial"/>
          <w:color w:val="222222"/>
          <w:kern w:val="0"/>
          <w:lang w:eastAsia="es-CL"/>
          <w14:ligatures w14:val="none"/>
        </w:rPr>
        <w:t>kVA</w:t>
      </w:r>
      <w:proofErr w:type="spellEnd"/>
      <w:r w:rsidRPr="00B104FF">
        <w:rPr>
          <w:rFonts w:ascii="Arial" w:eastAsia="Times New Roman" w:hAnsi="Arial" w:cs="Arial"/>
          <w:color w:val="222222"/>
          <w:kern w:val="0"/>
          <w:lang w:eastAsia="es-CL"/>
          <w14:ligatures w14:val="none"/>
        </w:rPr>
        <w:t>.</w:t>
      </w:r>
    </w:p>
    <w:p w14:paraId="25C6DBE2"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Potencia activa mínima: 900 W.</w:t>
      </w:r>
    </w:p>
    <w:p w14:paraId="58EE266C"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 xml:space="preserve">Tensión de entrada: 220–240 </w:t>
      </w:r>
      <w:proofErr w:type="spellStart"/>
      <w:r w:rsidRPr="00B104FF">
        <w:rPr>
          <w:rFonts w:ascii="Arial" w:eastAsia="Times New Roman" w:hAnsi="Arial" w:cs="Arial"/>
          <w:color w:val="222222"/>
          <w:kern w:val="0"/>
          <w:lang w:eastAsia="es-CL"/>
          <w14:ligatures w14:val="none"/>
        </w:rPr>
        <w:t>Vac</w:t>
      </w:r>
      <w:proofErr w:type="spellEnd"/>
      <w:r w:rsidRPr="00B104FF">
        <w:rPr>
          <w:rFonts w:ascii="Arial" w:eastAsia="Times New Roman" w:hAnsi="Arial" w:cs="Arial"/>
          <w:color w:val="222222"/>
          <w:kern w:val="0"/>
          <w:lang w:eastAsia="es-CL"/>
          <w14:ligatures w14:val="none"/>
        </w:rPr>
        <w:t>.</w:t>
      </w:r>
    </w:p>
    <w:p w14:paraId="4344D55A"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Frecuencia de entrada: 50/60 Hz con detección automática.</w:t>
      </w:r>
    </w:p>
    <w:p w14:paraId="42B9A88D"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 xml:space="preserve">Tensión de salida: 220–240 </w:t>
      </w:r>
      <w:proofErr w:type="spellStart"/>
      <w:r w:rsidRPr="00B104FF">
        <w:rPr>
          <w:rFonts w:ascii="Arial" w:eastAsia="Times New Roman" w:hAnsi="Arial" w:cs="Arial"/>
          <w:color w:val="222222"/>
          <w:kern w:val="0"/>
          <w:lang w:eastAsia="es-CL"/>
          <w14:ligatures w14:val="none"/>
        </w:rPr>
        <w:t>Vac</w:t>
      </w:r>
      <w:proofErr w:type="spellEnd"/>
      <w:r w:rsidRPr="00B104FF">
        <w:rPr>
          <w:rFonts w:ascii="Arial" w:eastAsia="Times New Roman" w:hAnsi="Arial" w:cs="Arial"/>
          <w:color w:val="222222"/>
          <w:kern w:val="0"/>
          <w:lang w:eastAsia="es-CL"/>
          <w14:ligatures w14:val="none"/>
        </w:rPr>
        <w:t>.</w:t>
      </w:r>
    </w:p>
    <w:p w14:paraId="6783EE4E"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Frecuencia de salida: 50/60 Hz.</w:t>
      </w:r>
    </w:p>
    <w:p w14:paraId="4B5A124F"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Onda sinusoidal pura en modo batería.</w:t>
      </w:r>
    </w:p>
    <w:p w14:paraId="597D30B9"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Factor de potencia de salida igual o superior a 0,9.</w:t>
      </w:r>
    </w:p>
    <w:p w14:paraId="32C302BF"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Tiempo de transferencia: 0 ms.</w:t>
      </w:r>
    </w:p>
    <w:p w14:paraId="7E4D358C"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Baterías internas selladas, libres de mantenimiento.</w:t>
      </w:r>
    </w:p>
    <w:p w14:paraId="730C25BB"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 xml:space="preserve">Protección contra sobretensión, </w:t>
      </w:r>
      <w:proofErr w:type="spellStart"/>
      <w:r w:rsidRPr="00B104FF">
        <w:rPr>
          <w:rFonts w:ascii="Arial" w:eastAsia="Times New Roman" w:hAnsi="Arial" w:cs="Arial"/>
          <w:color w:val="222222"/>
          <w:kern w:val="0"/>
          <w:lang w:eastAsia="es-CL"/>
          <w14:ligatures w14:val="none"/>
        </w:rPr>
        <w:t>subtensión</w:t>
      </w:r>
      <w:proofErr w:type="spellEnd"/>
      <w:r w:rsidRPr="00B104FF">
        <w:rPr>
          <w:rFonts w:ascii="Arial" w:eastAsia="Times New Roman" w:hAnsi="Arial" w:cs="Arial"/>
          <w:color w:val="222222"/>
          <w:kern w:val="0"/>
          <w:lang w:eastAsia="es-CL"/>
          <w14:ligatures w14:val="none"/>
        </w:rPr>
        <w:t>, sobrecarga y cortocircuito.</w:t>
      </w:r>
    </w:p>
    <w:p w14:paraId="34106A19"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Protección contra variaciones de voltaje.</w:t>
      </w:r>
    </w:p>
    <w:p w14:paraId="74C321F6"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Puerto de comunicación USB y/o RS-232.</w:t>
      </w:r>
    </w:p>
    <w:p w14:paraId="7CFAD53F"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Pantalla LCD o LED con indicación del estado operativo.</w:t>
      </w:r>
    </w:p>
    <w:p w14:paraId="3DD3CDE5"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Alarma audible por falla, funcionamiento en batería y batería baja.</w:t>
      </w:r>
    </w:p>
    <w:p w14:paraId="018E9559"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Encendido en frío (</w:t>
      </w:r>
      <w:proofErr w:type="spellStart"/>
      <w:r w:rsidRPr="00B104FF">
        <w:rPr>
          <w:rFonts w:ascii="Arial" w:eastAsia="Times New Roman" w:hAnsi="Arial" w:cs="Arial"/>
          <w:color w:val="222222"/>
          <w:kern w:val="0"/>
          <w:lang w:eastAsia="es-CL"/>
          <w14:ligatures w14:val="none"/>
        </w:rPr>
        <w:t>Cold</w:t>
      </w:r>
      <w:proofErr w:type="spellEnd"/>
      <w:r w:rsidRPr="00B104FF">
        <w:rPr>
          <w:rFonts w:ascii="Arial" w:eastAsia="Times New Roman" w:hAnsi="Arial" w:cs="Arial"/>
          <w:color w:val="222222"/>
          <w:kern w:val="0"/>
          <w:lang w:eastAsia="es-CL"/>
          <w14:ligatures w14:val="none"/>
        </w:rPr>
        <w:t xml:space="preserve"> Start).</w:t>
      </w:r>
    </w:p>
    <w:p w14:paraId="560431ED"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Reinicio automático al retorno de la energía eléctrica.</w:t>
      </w:r>
    </w:p>
    <w:p w14:paraId="79FC2C95" w14:textId="77777777" w:rsidR="00B104FF" w:rsidRPr="00B104FF" w:rsidRDefault="00B104FF" w:rsidP="00B104FF">
      <w:pPr>
        <w:numPr>
          <w:ilvl w:val="0"/>
          <w:numId w:val="2"/>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Autonomía mínima de 10 minutos al 70 % de carga.</w:t>
      </w:r>
    </w:p>
    <w:p w14:paraId="5A47537A"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4. Compatibilidad</w:t>
      </w:r>
    </w:p>
    <w:p w14:paraId="7D5A5931" w14:textId="77777777" w:rsid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Las UPS deberán ser compatibles con equipos médicos electrónicos sensibles, tales como ecógrafos, proporcionando alimentación estabilizada y continua sin interrupciones durante fallas del suministro eléctrico.</w:t>
      </w:r>
    </w:p>
    <w:p w14:paraId="588DBD6D" w14:textId="77777777" w:rsid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p>
    <w:p w14:paraId="787892E0" w14:textId="77777777" w:rsid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p>
    <w:p w14:paraId="69AFB50D"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p>
    <w:p w14:paraId="0E1C9FE5"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lastRenderedPageBreak/>
        <w:t>5. Accesorios</w:t>
      </w:r>
    </w:p>
    <w:p w14:paraId="7B2EC7AA"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Cada UPS deberá incluir como mínimo:</w:t>
      </w:r>
    </w:p>
    <w:p w14:paraId="4CAEBCCB" w14:textId="77777777" w:rsidR="00B104FF" w:rsidRPr="00B104FF" w:rsidRDefault="00B104FF" w:rsidP="00B104FF">
      <w:pPr>
        <w:numPr>
          <w:ilvl w:val="0"/>
          <w:numId w:val="3"/>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Cable de alimentación.</w:t>
      </w:r>
    </w:p>
    <w:p w14:paraId="668D9149" w14:textId="77777777" w:rsidR="00B104FF" w:rsidRPr="00B104FF" w:rsidRDefault="00B104FF" w:rsidP="00B104FF">
      <w:pPr>
        <w:numPr>
          <w:ilvl w:val="0"/>
          <w:numId w:val="3"/>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Cable(s) de salida según configuración del fabricante.</w:t>
      </w:r>
    </w:p>
    <w:p w14:paraId="600B79AE" w14:textId="77777777" w:rsidR="00B104FF" w:rsidRPr="00B104FF" w:rsidRDefault="00B104FF" w:rsidP="00B104FF">
      <w:pPr>
        <w:numPr>
          <w:ilvl w:val="0"/>
          <w:numId w:val="3"/>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Manual de usuario en español o inglés.</w:t>
      </w:r>
    </w:p>
    <w:p w14:paraId="3347F216" w14:textId="77777777" w:rsidR="00B104FF" w:rsidRPr="00B104FF" w:rsidRDefault="00B104FF" w:rsidP="00B104FF">
      <w:pPr>
        <w:numPr>
          <w:ilvl w:val="0"/>
          <w:numId w:val="3"/>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Software de monitoreo (si corresponde).</w:t>
      </w:r>
    </w:p>
    <w:p w14:paraId="6A1F02B7" w14:textId="77777777" w:rsidR="00B104FF" w:rsidRPr="00B104FF" w:rsidRDefault="00B104FF" w:rsidP="00B104FF">
      <w:pPr>
        <w:numPr>
          <w:ilvl w:val="0"/>
          <w:numId w:val="3"/>
        </w:numPr>
        <w:shd w:val="clear" w:color="auto" w:fill="FFFFFF"/>
        <w:spacing w:before="100" w:beforeAutospacing="1" w:after="100" w:afterAutospacing="1" w:line="240" w:lineRule="auto"/>
        <w:ind w:left="945"/>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Todos los accesorios necesarios para su correcta instalación y funcionamiento.</w:t>
      </w:r>
    </w:p>
    <w:p w14:paraId="42B826AF"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6. Garantía</w:t>
      </w:r>
    </w:p>
    <w:p w14:paraId="2DB0D93F"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El proveedor deberá otorgar una garantía mínima de 24 meses contra defectos de fabricación, incluyendo reparación o reemplazo del equipo cuando corresponda.</w:t>
      </w:r>
    </w:p>
    <w:p w14:paraId="748B1F46"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7. Entrega</w:t>
      </w:r>
    </w:p>
    <w:p w14:paraId="183BB505"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Los equipos deberán entregarse nuevos, sin uso, en su embalaje original y con todos los accesorios suministrados por el fabricante.</w:t>
      </w:r>
    </w:p>
    <w:p w14:paraId="459C4C92"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8. Criterio de aceptación</w:t>
      </w:r>
    </w:p>
    <w:p w14:paraId="18324905"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La recepción conforme se realizará una vez verificado que los equipos cumplen las especificaciones técnicas solicitadas, se encuentran operativos y sin daños físicos.</w:t>
      </w:r>
    </w:p>
    <w:p w14:paraId="5C27FF56" w14:textId="77777777" w:rsidR="00B104FF" w:rsidRPr="00B104FF" w:rsidRDefault="00B104FF" w:rsidP="00B104FF">
      <w:pPr>
        <w:shd w:val="clear" w:color="auto" w:fill="FFFFFF"/>
        <w:spacing w:before="100" w:beforeAutospacing="1" w:after="100" w:afterAutospacing="1" w:line="240" w:lineRule="auto"/>
        <w:jc w:val="both"/>
        <w:outlineLvl w:val="2"/>
        <w:rPr>
          <w:rFonts w:ascii="Arial" w:eastAsia="Times New Roman" w:hAnsi="Arial" w:cs="Arial"/>
          <w:b/>
          <w:bCs/>
          <w:color w:val="222222"/>
          <w:kern w:val="0"/>
          <w:sz w:val="27"/>
          <w:szCs w:val="27"/>
          <w:lang w:eastAsia="es-CL"/>
          <w14:ligatures w14:val="none"/>
        </w:rPr>
      </w:pPr>
      <w:r w:rsidRPr="00B104FF">
        <w:rPr>
          <w:rFonts w:ascii="Arial" w:eastAsia="Times New Roman" w:hAnsi="Arial" w:cs="Arial"/>
          <w:b/>
          <w:bCs/>
          <w:color w:val="222222"/>
          <w:kern w:val="0"/>
          <w:sz w:val="27"/>
          <w:szCs w:val="27"/>
          <w:lang w:eastAsia="es-CL"/>
          <w14:ligatures w14:val="none"/>
        </w:rPr>
        <w:t>9. Justificación técnica</w:t>
      </w:r>
    </w:p>
    <w:p w14:paraId="057B5AC4" w14:textId="77777777" w:rsidR="00B104FF" w:rsidRPr="00B104FF" w:rsidRDefault="00B104FF" w:rsidP="00B104FF">
      <w:pPr>
        <w:shd w:val="clear" w:color="auto" w:fill="FFFFFF"/>
        <w:spacing w:before="100" w:beforeAutospacing="1" w:after="100" w:afterAutospacing="1" w:line="240" w:lineRule="auto"/>
        <w:jc w:val="both"/>
        <w:rPr>
          <w:rFonts w:ascii="Arial" w:eastAsia="Times New Roman" w:hAnsi="Arial" w:cs="Arial"/>
          <w:color w:val="222222"/>
          <w:kern w:val="0"/>
          <w:lang w:eastAsia="es-CL"/>
          <w14:ligatures w14:val="none"/>
        </w:rPr>
      </w:pPr>
      <w:r w:rsidRPr="00B104FF">
        <w:rPr>
          <w:rFonts w:ascii="Arial" w:eastAsia="Times New Roman" w:hAnsi="Arial" w:cs="Arial"/>
          <w:color w:val="222222"/>
          <w:kern w:val="0"/>
          <w:lang w:eastAsia="es-CL"/>
          <w14:ligatures w14:val="none"/>
        </w:rPr>
        <w:t>La adquisición de estas UPS resulta indispensable para asegurar la continuidad operacional de dos ecógrafos utilizados en la atención de pacientes. Actualmente, uno de los equipos presenta una UPS defectuosa que impide su utilización, mientras que el segundo ecógrafo requiere protección eléctrica para prevenir daños asociados a variaciones o interrupciones del suministro eléctrico, resguardando la seguridad del equipamiento y la continuidad de las prestaciones clínicas.</w:t>
      </w:r>
    </w:p>
    <w:p w14:paraId="7AF6374A" w14:textId="77777777" w:rsidR="0033525B" w:rsidRDefault="0033525B" w:rsidP="00B104FF">
      <w:pPr>
        <w:jc w:val="both"/>
      </w:pPr>
    </w:p>
    <w:sectPr w:rsidR="0033525B" w:rsidSect="00F40AFE">
      <w:pgSz w:w="12240" w:h="18720" w:code="14"/>
      <w:pgMar w:top="1418" w:right="1701" w:bottom="1418" w:left="1701" w:header="709" w:footer="709" w:gutter="0"/>
      <w:paperSrc w:first="1" w:other="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287"/>
    <w:multiLevelType w:val="multilevel"/>
    <w:tmpl w:val="F50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F5469"/>
    <w:multiLevelType w:val="multilevel"/>
    <w:tmpl w:val="2148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4B5243"/>
    <w:multiLevelType w:val="multilevel"/>
    <w:tmpl w:val="4C7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13011">
    <w:abstractNumId w:val="0"/>
  </w:num>
  <w:num w:numId="2" w16cid:durableId="1172573757">
    <w:abstractNumId w:val="1"/>
  </w:num>
  <w:num w:numId="3" w16cid:durableId="424345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FF"/>
    <w:rsid w:val="002F00AA"/>
    <w:rsid w:val="0033525B"/>
    <w:rsid w:val="00464018"/>
    <w:rsid w:val="006A2AA3"/>
    <w:rsid w:val="00B104FF"/>
    <w:rsid w:val="00F40A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6B"/>
  <w15:chartTrackingRefBased/>
  <w15:docId w15:val="{C508DEA5-7099-4E1A-8564-140C2D23E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0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04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04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04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04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04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04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04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04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04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04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04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04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04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04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04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04FF"/>
    <w:rPr>
      <w:rFonts w:eastAsiaTheme="majorEastAsia" w:cstheme="majorBidi"/>
      <w:color w:val="272727" w:themeColor="text1" w:themeTint="D8"/>
    </w:rPr>
  </w:style>
  <w:style w:type="paragraph" w:styleId="Ttulo">
    <w:name w:val="Title"/>
    <w:basedOn w:val="Normal"/>
    <w:next w:val="Normal"/>
    <w:link w:val="TtuloCar"/>
    <w:uiPriority w:val="10"/>
    <w:qFormat/>
    <w:rsid w:val="00B10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04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04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04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04FF"/>
    <w:pPr>
      <w:spacing w:before="160"/>
      <w:jc w:val="center"/>
    </w:pPr>
    <w:rPr>
      <w:i/>
      <w:iCs/>
      <w:color w:val="404040" w:themeColor="text1" w:themeTint="BF"/>
    </w:rPr>
  </w:style>
  <w:style w:type="character" w:customStyle="1" w:styleId="CitaCar">
    <w:name w:val="Cita Car"/>
    <w:basedOn w:val="Fuentedeprrafopredeter"/>
    <w:link w:val="Cita"/>
    <w:uiPriority w:val="29"/>
    <w:rsid w:val="00B104FF"/>
    <w:rPr>
      <w:i/>
      <w:iCs/>
      <w:color w:val="404040" w:themeColor="text1" w:themeTint="BF"/>
    </w:rPr>
  </w:style>
  <w:style w:type="paragraph" w:styleId="Prrafodelista">
    <w:name w:val="List Paragraph"/>
    <w:basedOn w:val="Normal"/>
    <w:uiPriority w:val="34"/>
    <w:qFormat/>
    <w:rsid w:val="00B104FF"/>
    <w:pPr>
      <w:ind w:left="720"/>
      <w:contextualSpacing/>
    </w:pPr>
  </w:style>
  <w:style w:type="character" w:styleId="nfasisintenso">
    <w:name w:val="Intense Emphasis"/>
    <w:basedOn w:val="Fuentedeprrafopredeter"/>
    <w:uiPriority w:val="21"/>
    <w:qFormat/>
    <w:rsid w:val="00B104FF"/>
    <w:rPr>
      <w:i/>
      <w:iCs/>
      <w:color w:val="0F4761" w:themeColor="accent1" w:themeShade="BF"/>
    </w:rPr>
  </w:style>
  <w:style w:type="paragraph" w:styleId="Citadestacada">
    <w:name w:val="Intense Quote"/>
    <w:basedOn w:val="Normal"/>
    <w:next w:val="Normal"/>
    <w:link w:val="CitadestacadaCar"/>
    <w:uiPriority w:val="30"/>
    <w:qFormat/>
    <w:rsid w:val="00B10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04FF"/>
    <w:rPr>
      <w:i/>
      <w:iCs/>
      <w:color w:val="0F4761" w:themeColor="accent1" w:themeShade="BF"/>
    </w:rPr>
  </w:style>
  <w:style w:type="character" w:styleId="Referenciaintensa">
    <w:name w:val="Intense Reference"/>
    <w:basedOn w:val="Fuentedeprrafopredeter"/>
    <w:uiPriority w:val="32"/>
    <w:qFormat/>
    <w:rsid w:val="00B10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2541</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vpincheira_hospitaldelinares.cl</dc:creator>
  <cp:keywords/>
  <dc:description/>
  <cp:lastModifiedBy>vpincheira_hospitaldelinares.cl</cp:lastModifiedBy>
  <cp:revision>2</cp:revision>
  <cp:lastPrinted>2026-06-30T14:41:00Z</cp:lastPrinted>
  <dcterms:created xsi:type="dcterms:W3CDTF">2026-06-30T14:32:00Z</dcterms:created>
  <dcterms:modified xsi:type="dcterms:W3CDTF">2026-06-30T14:41:00Z</dcterms:modified>
</cp:coreProperties>
</file>