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F6A4" w14:textId="77777777" w:rsidR="006853F0" w:rsidRPr="00130965" w:rsidRDefault="006853F0" w:rsidP="00130965">
      <w:pPr>
        <w:pStyle w:val="Ttulo1"/>
        <w:jc w:val="center"/>
        <w:rPr>
          <w:rFonts w:ascii="Arial" w:hAnsi="Arial" w:cs="Arial"/>
          <w:b/>
          <w:sz w:val="28"/>
          <w:szCs w:val="24"/>
        </w:rPr>
      </w:pPr>
      <w:r w:rsidRPr="00130965">
        <w:rPr>
          <w:rFonts w:ascii="Arial" w:hAnsi="Arial" w:cs="Arial"/>
          <w:b/>
          <w:sz w:val="28"/>
          <w:szCs w:val="24"/>
        </w:rPr>
        <w:t>Multas y sanciones para procedimientos de compra ágil</w:t>
      </w:r>
    </w:p>
    <w:p w14:paraId="34D4A9DA" w14:textId="77777777" w:rsidR="006853F0" w:rsidRPr="00130965" w:rsidRDefault="006853F0" w:rsidP="006853F0">
      <w:pPr>
        <w:rPr>
          <w:rFonts w:ascii="Arial" w:hAnsi="Arial" w:cs="Arial"/>
          <w:sz w:val="24"/>
          <w:szCs w:val="24"/>
        </w:rPr>
      </w:pPr>
    </w:p>
    <w:p w14:paraId="5D84D37B" w14:textId="77777777" w:rsidR="006853F0" w:rsidRPr="00130965" w:rsidRDefault="00130965">
      <w:pPr>
        <w:rPr>
          <w:rFonts w:ascii="Arial" w:hAnsi="Arial" w:cs="Arial"/>
          <w:b/>
          <w:sz w:val="24"/>
          <w:szCs w:val="24"/>
        </w:rPr>
      </w:pPr>
      <w:r w:rsidRPr="00130965">
        <w:rPr>
          <w:rFonts w:ascii="Arial" w:hAnsi="Arial" w:cs="Arial"/>
          <w:b/>
          <w:sz w:val="24"/>
          <w:szCs w:val="24"/>
        </w:rPr>
        <w:t>Multas y Sanciones</w:t>
      </w:r>
    </w:p>
    <w:p w14:paraId="4BB1F3DE" w14:textId="77777777" w:rsidR="00130965" w:rsidRPr="00130965" w:rsidRDefault="006853F0" w:rsidP="00130965">
      <w:pPr>
        <w:jc w:val="both"/>
        <w:rPr>
          <w:rFonts w:ascii="Arial" w:hAnsi="Arial" w:cs="Arial"/>
          <w:sz w:val="24"/>
          <w:szCs w:val="24"/>
        </w:rPr>
      </w:pPr>
      <w:r w:rsidRPr="00130965">
        <w:rPr>
          <w:rFonts w:ascii="Arial" w:hAnsi="Arial" w:cs="Arial"/>
          <w:sz w:val="24"/>
          <w:szCs w:val="24"/>
        </w:rPr>
        <w:t xml:space="preserve">En casos de incumplimientos se aplicarán las siguientes multas: </w:t>
      </w:r>
    </w:p>
    <w:p w14:paraId="04E571DB" w14:textId="77777777" w:rsidR="00130965" w:rsidRPr="00130965" w:rsidRDefault="006853F0" w:rsidP="00130965">
      <w:pPr>
        <w:jc w:val="both"/>
        <w:rPr>
          <w:rFonts w:ascii="Arial" w:hAnsi="Arial" w:cs="Arial"/>
          <w:sz w:val="24"/>
          <w:szCs w:val="24"/>
        </w:rPr>
      </w:pPr>
      <w:r w:rsidRPr="00130965">
        <w:rPr>
          <w:rFonts w:ascii="Arial" w:hAnsi="Arial" w:cs="Arial"/>
          <w:sz w:val="24"/>
          <w:szCs w:val="24"/>
        </w:rPr>
        <w:t xml:space="preserve">Atraso en la entrega de los productos o prestación de los servicios: la </w:t>
      </w:r>
      <w:r w:rsidR="00130965" w:rsidRPr="00130965">
        <w:rPr>
          <w:rFonts w:ascii="Arial" w:hAnsi="Arial" w:cs="Arial"/>
          <w:sz w:val="24"/>
          <w:szCs w:val="24"/>
        </w:rPr>
        <w:t>Ilustre Municipalidad de Santiago</w:t>
      </w:r>
      <w:r w:rsidRPr="00130965">
        <w:rPr>
          <w:rFonts w:ascii="Arial" w:hAnsi="Arial" w:cs="Arial"/>
          <w:sz w:val="24"/>
          <w:szCs w:val="24"/>
        </w:rPr>
        <w:t xml:space="preserve"> está facultada para el cobro una multa por cada día de atraso en la entrega de los productos o prestación de los servicios (incluyendo días inhábiles). La multa será el equivalente al 1% del total de la contratación (</w:t>
      </w:r>
      <w:proofErr w:type="spellStart"/>
      <w:r w:rsidRPr="00130965">
        <w:rPr>
          <w:rFonts w:ascii="Arial" w:hAnsi="Arial" w:cs="Arial"/>
          <w:sz w:val="24"/>
          <w:szCs w:val="24"/>
        </w:rPr>
        <w:t>iva</w:t>
      </w:r>
      <w:proofErr w:type="spellEnd"/>
      <w:r w:rsidRPr="00130965">
        <w:rPr>
          <w:rFonts w:ascii="Arial" w:hAnsi="Arial" w:cs="Arial"/>
          <w:sz w:val="24"/>
          <w:szCs w:val="24"/>
        </w:rPr>
        <w:t xml:space="preserve"> incluido) por cada día d</w:t>
      </w:r>
      <w:r w:rsidR="00130965" w:rsidRPr="00130965">
        <w:rPr>
          <w:rFonts w:ascii="Arial" w:hAnsi="Arial" w:cs="Arial"/>
          <w:sz w:val="24"/>
          <w:szCs w:val="24"/>
        </w:rPr>
        <w:t>e atraso, con un tope de 10</w:t>
      </w:r>
      <w:r w:rsidRPr="00130965">
        <w:rPr>
          <w:rFonts w:ascii="Arial" w:hAnsi="Arial" w:cs="Arial"/>
          <w:sz w:val="24"/>
          <w:szCs w:val="24"/>
        </w:rPr>
        <w:t xml:space="preserve"> días. </w:t>
      </w:r>
    </w:p>
    <w:p w14:paraId="714D88BE" w14:textId="77777777" w:rsidR="00130965" w:rsidRPr="00130965" w:rsidRDefault="006853F0" w:rsidP="00130965">
      <w:pPr>
        <w:jc w:val="both"/>
        <w:rPr>
          <w:rFonts w:ascii="Arial" w:hAnsi="Arial" w:cs="Arial"/>
          <w:sz w:val="24"/>
          <w:szCs w:val="24"/>
        </w:rPr>
      </w:pPr>
      <w:r w:rsidRPr="00130965">
        <w:rPr>
          <w:rFonts w:ascii="Arial" w:hAnsi="Arial" w:cs="Arial"/>
          <w:sz w:val="24"/>
          <w:szCs w:val="24"/>
        </w:rPr>
        <w:t>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130965">
        <w:rPr>
          <w:rFonts w:ascii="Arial" w:hAnsi="Arial" w:cs="Arial"/>
          <w:sz w:val="24"/>
          <w:szCs w:val="24"/>
        </w:rPr>
        <w:t>iva</w:t>
      </w:r>
      <w:proofErr w:type="spellEnd"/>
      <w:r w:rsidRPr="00130965">
        <w:rPr>
          <w:rFonts w:ascii="Arial" w:hAnsi="Arial" w:cs="Arial"/>
          <w:sz w:val="24"/>
          <w:szCs w:val="24"/>
        </w:rPr>
        <w:t xml:space="preserve"> incluido)</w:t>
      </w:r>
      <w:r w:rsidR="000B240D">
        <w:rPr>
          <w:rFonts w:ascii="Arial" w:hAnsi="Arial" w:cs="Arial"/>
          <w:sz w:val="24"/>
          <w:szCs w:val="24"/>
        </w:rPr>
        <w:t xml:space="preserve"> por evento causal de incumplimiento</w:t>
      </w:r>
      <w:r w:rsidRPr="00130965">
        <w:rPr>
          <w:rFonts w:ascii="Arial" w:hAnsi="Arial" w:cs="Arial"/>
          <w:sz w:val="24"/>
          <w:szCs w:val="24"/>
        </w:rPr>
        <w:t xml:space="preserve">. El proveedor tendrá la obligación de corregir las falencias y realizar la entrega nuevamente, a sus expensas, en un plazo no superior a 03 días hábiles, contado desde la fecha de notificación del rechazo de los productos o servicios. </w:t>
      </w:r>
    </w:p>
    <w:p w14:paraId="4683C4FA" w14:textId="77777777" w:rsidR="00130965" w:rsidRPr="00130965" w:rsidRDefault="006853F0" w:rsidP="00130965">
      <w:pPr>
        <w:jc w:val="both"/>
        <w:rPr>
          <w:rFonts w:ascii="Arial" w:hAnsi="Arial" w:cs="Arial"/>
          <w:sz w:val="24"/>
          <w:szCs w:val="24"/>
        </w:rPr>
      </w:pPr>
      <w:r w:rsidRPr="00130965">
        <w:rPr>
          <w:rFonts w:ascii="Arial" w:hAnsi="Arial" w:cs="Arial"/>
          <w:sz w:val="24"/>
          <w:szCs w:val="24"/>
        </w:rPr>
        <w:t>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130965">
        <w:rPr>
          <w:rFonts w:ascii="Arial" w:hAnsi="Arial" w:cs="Arial"/>
          <w:sz w:val="24"/>
          <w:szCs w:val="24"/>
        </w:rPr>
        <w:t>iva</w:t>
      </w:r>
      <w:proofErr w:type="spellEnd"/>
      <w:r w:rsidRPr="00130965">
        <w:rPr>
          <w:rFonts w:ascii="Arial" w:hAnsi="Arial" w:cs="Arial"/>
          <w:sz w:val="24"/>
          <w:szCs w:val="24"/>
        </w:rPr>
        <w:t xml:space="preserve"> incluido) por cada</w:t>
      </w:r>
      <w:r w:rsidR="00130965" w:rsidRPr="00130965">
        <w:rPr>
          <w:rFonts w:ascii="Arial" w:hAnsi="Arial" w:cs="Arial"/>
          <w:sz w:val="24"/>
          <w:szCs w:val="24"/>
        </w:rPr>
        <w:t xml:space="preserve"> día de atraso, con un tope de 10</w:t>
      </w:r>
      <w:r w:rsidRPr="00130965">
        <w:rPr>
          <w:rFonts w:ascii="Arial" w:hAnsi="Arial" w:cs="Arial"/>
          <w:sz w:val="24"/>
          <w:szCs w:val="24"/>
        </w:rPr>
        <w:t xml:space="preserve"> días. Con todo, la aplicación de las multas al p</w:t>
      </w:r>
      <w:r w:rsidR="00130965" w:rsidRPr="00130965">
        <w:rPr>
          <w:rFonts w:ascii="Arial" w:hAnsi="Arial" w:cs="Arial"/>
          <w:sz w:val="24"/>
          <w:szCs w:val="24"/>
        </w:rPr>
        <w:t>roveedor no podrá exceder del 10</w:t>
      </w:r>
      <w:r w:rsidRPr="00130965">
        <w:rPr>
          <w:rFonts w:ascii="Arial" w:hAnsi="Arial" w:cs="Arial"/>
          <w:sz w:val="24"/>
          <w:szCs w:val="24"/>
        </w:rPr>
        <w:t xml:space="preserve">% del monto total de la contratación (I.V.A incluido), cualquiera sea el periodo de contratación. Si excediere dicha cantidad, el Servicio podrá poner término anticipado a la contratación. </w:t>
      </w:r>
    </w:p>
    <w:p w14:paraId="482890A6" w14:textId="77777777" w:rsidR="00130965" w:rsidRPr="00130965" w:rsidRDefault="00130965">
      <w:pPr>
        <w:rPr>
          <w:rFonts w:ascii="Arial" w:hAnsi="Arial" w:cs="Arial"/>
          <w:b/>
          <w:sz w:val="24"/>
          <w:szCs w:val="24"/>
        </w:rPr>
      </w:pPr>
      <w:r w:rsidRPr="00130965">
        <w:rPr>
          <w:rFonts w:ascii="Arial" w:hAnsi="Arial" w:cs="Arial"/>
          <w:b/>
          <w:sz w:val="24"/>
          <w:szCs w:val="24"/>
        </w:rPr>
        <w:t>Procedimiento para la aplicación de multas</w:t>
      </w:r>
      <w:r w:rsidR="006853F0" w:rsidRPr="00130965">
        <w:rPr>
          <w:rFonts w:ascii="Arial" w:hAnsi="Arial" w:cs="Arial"/>
          <w:b/>
          <w:sz w:val="24"/>
          <w:szCs w:val="24"/>
        </w:rPr>
        <w:t xml:space="preserve">: </w:t>
      </w:r>
    </w:p>
    <w:p w14:paraId="57420460" w14:textId="77777777" w:rsidR="00130965" w:rsidRPr="00130965" w:rsidRDefault="006853F0" w:rsidP="00130965">
      <w:pPr>
        <w:jc w:val="both"/>
        <w:rPr>
          <w:rFonts w:ascii="Arial" w:hAnsi="Arial" w:cs="Arial"/>
          <w:sz w:val="24"/>
          <w:szCs w:val="24"/>
        </w:rPr>
      </w:pPr>
      <w:r w:rsidRPr="00130965">
        <w:rPr>
          <w:rFonts w:ascii="Arial" w:hAnsi="Arial" w:cs="Arial"/>
          <w:sz w:val="24"/>
          <w:szCs w:val="24"/>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Vencido el plazo indicado en el número anterior sin que se hayan presentado descargos, se aplicará la correspondiente </w:t>
      </w:r>
      <w:r w:rsidRPr="00130965">
        <w:rPr>
          <w:rFonts w:ascii="Arial" w:hAnsi="Arial" w:cs="Arial"/>
          <w:sz w:val="24"/>
          <w:szCs w:val="24"/>
        </w:rPr>
        <w:lastRenderedPageBreak/>
        <w:t xml:space="preserve">sanción por medio de una resolución fundada. Si el adjudicado ha presentado descargos dentro del plazo establecido para estos efectos, </w:t>
      </w:r>
      <w:r w:rsidR="00130965" w:rsidRPr="00130965">
        <w:rPr>
          <w:rFonts w:ascii="Arial" w:hAnsi="Arial" w:cs="Arial"/>
          <w:sz w:val="24"/>
          <w:szCs w:val="24"/>
        </w:rPr>
        <w:t>la Ilustre Municipalidad de Santiago</w:t>
      </w:r>
      <w:r w:rsidRPr="00130965">
        <w:rPr>
          <w:rFonts w:ascii="Arial" w:hAnsi="Arial" w:cs="Arial"/>
          <w:sz w:val="24"/>
          <w:szCs w:val="24"/>
        </w:rPr>
        <w:t xml:space="preserve"> tendrá un plazo de 30 días hábiles, contados desde la recepción del descargo para rechazarlos o acogerlos, total o parcialmente. </w:t>
      </w:r>
    </w:p>
    <w:p w14:paraId="1AAEA913" w14:textId="77777777" w:rsidR="00130965" w:rsidRDefault="006853F0" w:rsidP="00130965">
      <w:pPr>
        <w:jc w:val="both"/>
        <w:rPr>
          <w:rFonts w:ascii="Arial" w:hAnsi="Arial" w:cs="Arial"/>
          <w:sz w:val="24"/>
          <w:szCs w:val="24"/>
        </w:rPr>
      </w:pPr>
      <w:r w:rsidRPr="00130965">
        <w:rPr>
          <w:rFonts w:ascii="Arial" w:hAnsi="Arial" w:cs="Arial"/>
          <w:sz w:val="24"/>
          <w:szCs w:val="24"/>
        </w:rPr>
        <w:t xml:space="preserve">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w:t>
      </w:r>
      <w:r w:rsidR="00130965" w:rsidRPr="00130965">
        <w:rPr>
          <w:rFonts w:ascii="Arial" w:hAnsi="Arial" w:cs="Arial"/>
          <w:sz w:val="24"/>
          <w:szCs w:val="24"/>
        </w:rPr>
        <w:t>La Ilustre Municipalidad de Santiago</w:t>
      </w:r>
      <w:r w:rsidRPr="00130965">
        <w:rPr>
          <w:rFonts w:ascii="Arial" w:hAnsi="Arial" w:cs="Arial"/>
          <w:sz w:val="24"/>
          <w:szCs w:val="24"/>
        </w:rPr>
        <w:t xml:space="preserve"> tendrá un plazo no superior a 30 días hábiles para resolver el citado recurso. </w:t>
      </w:r>
    </w:p>
    <w:p w14:paraId="3998FB58" w14:textId="77777777" w:rsidR="00130965" w:rsidRDefault="006853F0" w:rsidP="00130965">
      <w:pPr>
        <w:jc w:val="both"/>
        <w:rPr>
          <w:rFonts w:ascii="Arial" w:hAnsi="Arial" w:cs="Arial"/>
          <w:sz w:val="24"/>
          <w:szCs w:val="24"/>
        </w:rPr>
      </w:pPr>
      <w:r w:rsidRPr="00130965">
        <w:rPr>
          <w:rFonts w:ascii="Arial" w:hAnsi="Arial" w:cs="Arial"/>
          <w:sz w:val="24"/>
          <w:szCs w:val="24"/>
        </w:rPr>
        <w:t>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w:t>
      </w:r>
      <w:r w:rsidR="00130965">
        <w:rPr>
          <w:rFonts w:ascii="Arial" w:hAnsi="Arial" w:cs="Arial"/>
          <w:sz w:val="24"/>
          <w:szCs w:val="24"/>
        </w:rPr>
        <w:t>.</w:t>
      </w:r>
      <w:r w:rsidRPr="00130965">
        <w:rPr>
          <w:rFonts w:ascii="Arial" w:hAnsi="Arial" w:cs="Arial"/>
          <w:sz w:val="24"/>
          <w:szCs w:val="24"/>
        </w:rPr>
        <w:t xml:space="preserve"> </w:t>
      </w:r>
    </w:p>
    <w:p w14:paraId="3CEF36B6" w14:textId="77777777" w:rsidR="00F20208" w:rsidRPr="00130965" w:rsidRDefault="006853F0" w:rsidP="00130965">
      <w:pPr>
        <w:jc w:val="both"/>
        <w:rPr>
          <w:rFonts w:ascii="Arial" w:hAnsi="Arial" w:cs="Arial"/>
          <w:sz w:val="24"/>
          <w:szCs w:val="24"/>
        </w:rPr>
      </w:pPr>
      <w:r w:rsidRPr="00130965">
        <w:rPr>
          <w:rFonts w:ascii="Arial" w:hAnsi="Arial" w:cs="Arial"/>
          <w:sz w:val="24"/>
          <w:szCs w:val="24"/>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sectPr w:rsidR="00F20208" w:rsidRPr="00130965" w:rsidSect="006853F0">
      <w:headerReference w:type="default" r:id="rId6"/>
      <w:pgSz w:w="12240" w:h="15840"/>
      <w:pgMar w:top="1417" w:right="1701" w:bottom="1417" w:left="1701" w:header="158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8958" w14:textId="77777777" w:rsidR="00A560B7" w:rsidRDefault="00A560B7" w:rsidP="006853F0">
      <w:pPr>
        <w:spacing w:after="0" w:line="240" w:lineRule="auto"/>
      </w:pPr>
      <w:r>
        <w:separator/>
      </w:r>
    </w:p>
  </w:endnote>
  <w:endnote w:type="continuationSeparator" w:id="0">
    <w:p w14:paraId="57A4CD1D" w14:textId="77777777" w:rsidR="00A560B7" w:rsidRDefault="00A560B7" w:rsidP="0068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D31A" w14:textId="77777777" w:rsidR="00A560B7" w:rsidRDefault="00A560B7" w:rsidP="006853F0">
      <w:pPr>
        <w:spacing w:after="0" w:line="240" w:lineRule="auto"/>
      </w:pPr>
      <w:r>
        <w:separator/>
      </w:r>
    </w:p>
  </w:footnote>
  <w:footnote w:type="continuationSeparator" w:id="0">
    <w:p w14:paraId="380B0801" w14:textId="77777777" w:rsidR="00A560B7" w:rsidRDefault="00A560B7" w:rsidP="00685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891" w14:textId="323052F1" w:rsidR="006853F0" w:rsidRDefault="00FD49FC" w:rsidP="006853F0">
    <w:pPr>
      <w:pStyle w:val="Encabezado"/>
      <w:tabs>
        <w:tab w:val="clear" w:pos="4419"/>
        <w:tab w:val="clear" w:pos="8838"/>
        <w:tab w:val="left" w:pos="1275"/>
      </w:tabs>
    </w:pPr>
    <w:r>
      <w:rPr>
        <w:noProof/>
      </w:rPr>
      <w:drawing>
        <wp:anchor distT="0" distB="0" distL="114300" distR="114300" simplePos="0" relativeHeight="251662336" behindDoc="1" locked="0" layoutInCell="1" allowOverlap="1" wp14:anchorId="28661062" wp14:editId="6645E45D">
          <wp:simplePos x="0" y="0"/>
          <wp:positionH relativeFrom="margin">
            <wp:posOffset>-171450</wp:posOffset>
          </wp:positionH>
          <wp:positionV relativeFrom="paragraph">
            <wp:posOffset>-1188720</wp:posOffset>
          </wp:positionV>
          <wp:extent cx="1645920" cy="1073150"/>
          <wp:effectExtent l="0" t="0" r="0" b="0"/>
          <wp:wrapTopAndBottom/>
          <wp:docPr id="430387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1073150"/>
                  </a:xfrm>
                  <a:prstGeom prst="rect">
                    <a:avLst/>
                  </a:prstGeom>
                  <a:noFill/>
                </pic:spPr>
              </pic:pic>
            </a:graphicData>
          </a:graphic>
        </wp:anchor>
      </w:drawing>
    </w:r>
    <w:r w:rsidR="006853F0" w:rsidRPr="00B13C64">
      <w:rPr>
        <w:rFonts w:ascii="Arial" w:hAnsi="Arial" w:cs="Arial"/>
        <w:b/>
        <w:noProof/>
        <w:sz w:val="32"/>
        <w:szCs w:val="36"/>
        <w:lang w:eastAsia="es-CL"/>
      </w:rPr>
      <mc:AlternateContent>
        <mc:Choice Requires="wps">
          <w:drawing>
            <wp:anchor distT="0" distB="0" distL="114300" distR="114300" simplePos="0" relativeHeight="251661312" behindDoc="0" locked="1" layoutInCell="1" allowOverlap="1" wp14:anchorId="5297377B" wp14:editId="40B0110E">
              <wp:simplePos x="0" y="0"/>
              <wp:positionH relativeFrom="page">
                <wp:align>right</wp:align>
              </wp:positionH>
              <wp:positionV relativeFrom="topMargin">
                <wp:posOffset>323850</wp:posOffset>
              </wp:positionV>
              <wp:extent cx="5191125" cy="39179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391795"/>
                      </a:xfrm>
                      <a:prstGeom prst="rect">
                        <a:avLst/>
                      </a:prstGeom>
                      <a:noFill/>
                      <a:ln w="9525">
                        <a:noFill/>
                        <a:miter lim="800000"/>
                        <a:headEnd/>
                        <a:tailEnd/>
                      </a:ln>
                    </wps:spPr>
                    <wps:txbx>
                      <w:txbxContent>
                        <w:p w14:paraId="64DFA28B" w14:textId="77777777" w:rsidR="006853F0" w:rsidRPr="00C97CF0" w:rsidRDefault="006853F0" w:rsidP="006853F0">
                          <w:pPr>
                            <w:jc w:val="center"/>
                            <w:rPr>
                              <w:rFonts w:ascii="Arial" w:hAnsi="Arial" w:cs="Arial"/>
                              <w:sz w:val="14"/>
                              <w:szCs w:val="18"/>
                            </w:rPr>
                          </w:pPr>
                          <w:r>
                            <w:rPr>
                              <w:rFonts w:ascii="Arial" w:hAnsi="Arial" w:cs="Arial"/>
                              <w:b/>
                              <w:bCs/>
                              <w:color w:val="585858"/>
                              <w:sz w:val="14"/>
                              <w:szCs w:val="18"/>
                            </w:rPr>
                            <w:t xml:space="preserve">                                                                                                                 DIRECCIÓN DE ADMINISTRACIÓN Y FINANZAS</w:t>
                          </w:r>
                          <w:r w:rsidRPr="00C97CF0">
                            <w:rPr>
                              <w:rFonts w:ascii="Arial" w:hAnsi="Arial" w:cs="Arial"/>
                              <w:b/>
                              <w:bCs/>
                              <w:color w:val="585858"/>
                              <w:sz w:val="14"/>
                              <w:szCs w:val="18"/>
                            </w:rPr>
                            <w:br/>
                          </w:r>
                          <w:r>
                            <w:rPr>
                              <w:rFonts w:ascii="Arial" w:hAnsi="Arial" w:cs="Arial"/>
                              <w:color w:val="7E7E7E"/>
                              <w:sz w:val="14"/>
                              <w:szCs w:val="18"/>
                            </w:rPr>
                            <w:t xml:space="preserve">                                                                SUB – DIRECCIÓN DE ADQUISICIONES – DEPTO. DE APROVISIONAMIENTOS</w:t>
                          </w:r>
                          <w:r>
                            <w:rPr>
                              <w:rFonts w:ascii="Arial" w:hAnsi="Arial" w:cs="Arial"/>
                              <w:color w:val="7E7E7E"/>
                              <w:sz w:val="14"/>
                              <w:szCs w:val="18"/>
                            </w:rPr>
                            <w:br/>
                          </w:r>
                          <w:r w:rsidRPr="0006440B">
                            <w:rPr>
                              <w:rFonts w:ascii="Arial" w:hAnsi="Arial" w:cs="Arial"/>
                              <w:b/>
                              <w:bCs/>
                              <w:color w:val="BEBEBE"/>
                              <w:sz w:val="52"/>
                              <w:szCs w:val="7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97377B" id="_x0000_t202" coordsize="21600,21600" o:spt="202" path="m,l,21600r21600,l21600,xe">
              <v:stroke joinstyle="miter"/>
              <v:path gradientshapeok="t" o:connecttype="rect"/>
            </v:shapetype>
            <v:shape id="Cuadro de texto 2" o:spid="_x0000_s1026" type="#_x0000_t202" style="position:absolute;margin-left:357.55pt;margin-top:25.5pt;width:408.75pt;height:30.8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" filled="f" stroked="f">
              <v:textbox>
                <w:txbxContent>
                  <w:p w14:paraId="64DFA28B" w14:textId="77777777" w:rsidR="006853F0" w:rsidRPr="00C97CF0" w:rsidRDefault="006853F0" w:rsidP="006853F0">
                    <w:pPr>
                      <w:jc w:val="center"/>
                      <w:rPr>
                        <w:rFonts w:ascii="Arial" w:hAnsi="Arial" w:cs="Arial"/>
                        <w:sz w:val="14"/>
                        <w:szCs w:val="18"/>
                      </w:rPr>
                    </w:pPr>
                    <w:r>
                      <w:rPr>
                        <w:rFonts w:ascii="Arial" w:hAnsi="Arial" w:cs="Arial"/>
                        <w:b/>
                        <w:bCs/>
                        <w:color w:val="585858"/>
                        <w:sz w:val="14"/>
                        <w:szCs w:val="18"/>
                      </w:rPr>
                      <w:t xml:space="preserve">                                                                                                                 DIRECCIÓN DE ADMINISTRACIÓN Y FINANZAS</w:t>
                    </w:r>
                    <w:r w:rsidRPr="00C97CF0">
                      <w:rPr>
                        <w:rFonts w:ascii="Arial" w:hAnsi="Arial" w:cs="Arial"/>
                        <w:b/>
                        <w:bCs/>
                        <w:color w:val="585858"/>
                        <w:sz w:val="14"/>
                        <w:szCs w:val="18"/>
                      </w:rPr>
                      <w:br/>
                    </w:r>
                    <w:r>
                      <w:rPr>
                        <w:rFonts w:ascii="Arial" w:hAnsi="Arial" w:cs="Arial"/>
                        <w:color w:val="7E7E7E"/>
                        <w:sz w:val="14"/>
                        <w:szCs w:val="18"/>
                      </w:rPr>
                      <w:t xml:space="preserve">                                                                SUB – DIRECCIÓN DE ADQUISICIONES – DEPTO. DE APROVISIONAMIENTOS</w:t>
                    </w:r>
                    <w:r>
                      <w:rPr>
                        <w:rFonts w:ascii="Arial" w:hAnsi="Arial" w:cs="Arial"/>
                        <w:color w:val="7E7E7E"/>
                        <w:sz w:val="14"/>
                        <w:szCs w:val="18"/>
                      </w:rPr>
                      <w:br/>
                    </w:r>
                    <w:r w:rsidRPr="0006440B">
                      <w:rPr>
                        <w:rFonts w:ascii="Arial" w:hAnsi="Arial" w:cs="Arial"/>
                        <w:b/>
                        <w:bCs/>
                        <w:color w:val="BEBEBE"/>
                        <w:sz w:val="52"/>
                        <w:szCs w:val="72"/>
                      </w:rPr>
                      <w:t>¯</w:t>
                    </w:r>
                  </w:p>
                </w:txbxContent>
              </v:textbox>
              <w10:wrap anchorx="page" anchory="margin"/>
              <w10:anchorlock/>
            </v:shape>
          </w:pict>
        </mc:Fallback>
      </mc:AlternateContent>
    </w:r>
    <w:r w:rsidR="006853F0">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236"/>
    <w:rsid w:val="000B240D"/>
    <w:rsid w:val="00130965"/>
    <w:rsid w:val="00667B96"/>
    <w:rsid w:val="006853F0"/>
    <w:rsid w:val="00772236"/>
    <w:rsid w:val="00A560B7"/>
    <w:rsid w:val="00B86C60"/>
    <w:rsid w:val="00E5222B"/>
    <w:rsid w:val="00EF7FC8"/>
    <w:rsid w:val="00F20208"/>
    <w:rsid w:val="00F90EA5"/>
    <w:rsid w:val="00FD49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1980C"/>
  <w15:chartTrackingRefBased/>
  <w15:docId w15:val="{AF4465C6-5437-4538-A239-5E0C5FF1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53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53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53F0"/>
  </w:style>
  <w:style w:type="paragraph" w:styleId="Piedepgina">
    <w:name w:val="footer"/>
    <w:basedOn w:val="Normal"/>
    <w:link w:val="PiedepginaCar"/>
    <w:uiPriority w:val="99"/>
    <w:unhideWhenUsed/>
    <w:rsid w:val="006853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53F0"/>
  </w:style>
  <w:style w:type="character" w:customStyle="1" w:styleId="Ttulo1Car">
    <w:name w:val="Título 1 Car"/>
    <w:basedOn w:val="Fuentedeprrafopredeter"/>
    <w:link w:val="Ttulo1"/>
    <w:uiPriority w:val="9"/>
    <w:rsid w:val="006853F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731</Words>
  <Characters>4026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Farias Herrera</dc:creator>
  <cp:keywords/>
  <dc:description/>
  <cp:lastModifiedBy>Oscar Antonio Quiroz Martínez</cp:lastModifiedBy>
  <cp:revision>2</cp:revision>
  <dcterms:created xsi:type="dcterms:W3CDTF">2025-02-17T19:38:00Z</dcterms:created>
  <dcterms:modified xsi:type="dcterms:W3CDTF">2025-02-17T19:38:00Z</dcterms:modified>
</cp:coreProperties>
</file>