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6821" w:rsidRDefault="00261E90">
      <w:pPr>
        <w:tabs>
          <w:tab w:val="left" w:pos="2340"/>
        </w:tabs>
        <w:ind w:left="-284"/>
        <w:jc w:val="center"/>
        <w:rPr>
          <w:rFonts w:ascii="Calibri" w:eastAsia="Calibri" w:hAnsi="Calibri" w:cs="Calibri"/>
          <w:b/>
          <w:bCs/>
          <w:sz w:val="24"/>
          <w:szCs w:val="24"/>
        </w:rPr>
      </w:pPr>
      <w:r>
        <w:rPr>
          <w:rFonts w:ascii="Calibri" w:eastAsia="Calibri" w:hAnsi="Calibri" w:cs="Calibri"/>
          <w:b/>
          <w:bCs/>
          <w:sz w:val="24"/>
          <w:szCs w:val="24"/>
        </w:rPr>
        <w:t xml:space="preserve">ESPECIFICACIONES TÉCNICAS </w:t>
      </w:r>
    </w:p>
    <w:p w:rsidR="00B56821" w:rsidRDefault="00261E90">
      <w:pPr>
        <w:ind w:left="-284"/>
        <w:jc w:val="center"/>
        <w:rPr>
          <w:rFonts w:ascii="Calibri" w:eastAsia="Calibri" w:hAnsi="Calibri" w:cs="Calibri"/>
          <w:b/>
          <w:bCs/>
          <w:sz w:val="24"/>
          <w:szCs w:val="24"/>
        </w:rPr>
      </w:pPr>
      <w:r>
        <w:rPr>
          <w:rFonts w:ascii="Calibri" w:eastAsia="Calibri" w:hAnsi="Calibri" w:cs="Calibri"/>
          <w:b/>
          <w:bCs/>
          <w:sz w:val="24"/>
          <w:szCs w:val="24"/>
        </w:rPr>
        <w:t>“REVISIÓN INSTALACIONES INTERIORES DE GAS PARA SALA CUNA SOL DE HUECHURABA (RENOVACIÓN SELLO VERDE)”</w:t>
      </w:r>
    </w:p>
    <w:p w:rsidR="00B56821" w:rsidRDefault="00B56821">
      <w:pPr>
        <w:ind w:left="0"/>
        <w:rPr>
          <w:rFonts w:ascii="Calibri" w:eastAsia="Calibri" w:hAnsi="Calibri" w:cs="Calibri"/>
        </w:rPr>
      </w:pPr>
    </w:p>
    <w:p w:rsidR="00B56821" w:rsidRDefault="00261E90">
      <w:pPr>
        <w:numPr>
          <w:ilvl w:val="0"/>
          <w:numId w:val="1"/>
        </w:numPr>
        <w:pBdr>
          <w:top w:val="nil"/>
          <w:left w:val="nil"/>
          <w:bottom w:val="nil"/>
          <w:right w:val="nil"/>
          <w:between w:val="nil"/>
        </w:pBdr>
        <w:ind w:hanging="10"/>
        <w:jc w:val="left"/>
        <w:rPr>
          <w:rFonts w:ascii="Calibri" w:eastAsia="Calibri" w:hAnsi="Calibri" w:cs="Calibri"/>
          <w:b/>
          <w:bCs/>
          <w:color w:val="000000"/>
        </w:rPr>
      </w:pPr>
      <w:r>
        <w:rPr>
          <w:rFonts w:ascii="Calibri" w:eastAsia="Calibri" w:hAnsi="Calibri" w:cs="Calibri"/>
          <w:b/>
          <w:bCs/>
          <w:color w:val="000000"/>
        </w:rPr>
        <w:t>ANTECEDENTES GENERALES</w:t>
      </w:r>
      <w:r>
        <w:rPr>
          <w:rFonts w:ascii="Calibri" w:eastAsia="Calibri" w:hAnsi="Calibri" w:cs="Calibri"/>
          <w:b/>
          <w:bCs/>
          <w:color w:val="000000"/>
        </w:rPr>
        <w:tab/>
      </w:r>
    </w:p>
    <w:p w:rsidR="00B56821" w:rsidRDefault="00B56821">
      <w:pPr>
        <w:ind w:left="0"/>
        <w:jc w:val="left"/>
      </w:pPr>
    </w:p>
    <w:p w:rsidR="00B56821" w:rsidRDefault="00261E90">
      <w:pPr>
        <w:ind w:left="0"/>
        <w:jc w:val="left"/>
        <w:rPr>
          <w:rFonts w:ascii="Calibri" w:eastAsia="Calibri" w:hAnsi="Calibri" w:cs="Calibri"/>
          <w:b/>
          <w:bCs/>
        </w:rPr>
      </w:pPr>
      <w:r>
        <w:t xml:space="preserve">Se requiere contratar el servicio de renovación de sello verde para Sala Cuna </w:t>
      </w:r>
      <w:r>
        <w:rPr>
          <w:b/>
          <w:bCs/>
        </w:rPr>
        <w:t>SOL DE HUECHURABA</w:t>
      </w:r>
      <w:r>
        <w:t>. Se requiere revisar las instalaciones interiores de gas para verificar que cumplen con la normativa de seguridad vigente establecida por la Superintendencia de Electricidad y Combustibles (SEC).</w:t>
      </w:r>
    </w:p>
    <w:p w:rsidR="00B56821" w:rsidRDefault="00261E90">
      <w:r>
        <w:t xml:space="preserve">El proveedor deberá realizar revisiones en: </w:t>
      </w:r>
    </w:p>
    <w:p w:rsidR="00B56821" w:rsidRDefault="00B56821"/>
    <w:p w:rsidR="00B56821" w:rsidRDefault="00261E90">
      <w:pPr>
        <w:numPr>
          <w:ilvl w:val="0"/>
          <w:numId w:val="2"/>
        </w:numPr>
        <w:pBdr>
          <w:top w:val="nil"/>
          <w:left w:val="nil"/>
          <w:bottom w:val="nil"/>
          <w:right w:val="nil"/>
          <w:between w:val="nil"/>
        </w:pBdr>
        <w:rPr>
          <w:color w:val="000000"/>
        </w:rPr>
      </w:pPr>
      <w:r>
        <w:rPr>
          <w:b/>
          <w:bCs/>
          <w:color w:val="000000"/>
        </w:rPr>
        <w:t>Medidor de ga</w:t>
      </w:r>
      <w:r>
        <w:rPr>
          <w:b/>
          <w:bCs/>
          <w:color w:val="000000"/>
        </w:rPr>
        <w:t>s o cilindros:</w:t>
      </w:r>
      <w:r>
        <w:rPr>
          <w:color w:val="000000"/>
        </w:rPr>
        <w:t xml:space="preserve"> Se verifica su correcta instalación y estado. </w:t>
      </w:r>
    </w:p>
    <w:p w:rsidR="00B56821" w:rsidRDefault="00261E90">
      <w:pPr>
        <w:numPr>
          <w:ilvl w:val="0"/>
          <w:numId w:val="2"/>
        </w:numPr>
        <w:pBdr>
          <w:top w:val="nil"/>
          <w:left w:val="nil"/>
          <w:bottom w:val="nil"/>
          <w:right w:val="nil"/>
          <w:between w:val="nil"/>
        </w:pBdr>
        <w:rPr>
          <w:color w:val="000000"/>
        </w:rPr>
      </w:pPr>
      <w:r>
        <w:rPr>
          <w:b/>
          <w:bCs/>
          <w:color w:val="000000"/>
        </w:rPr>
        <w:t>Red de tuberías:</w:t>
      </w:r>
      <w:r>
        <w:rPr>
          <w:color w:val="000000"/>
        </w:rPr>
        <w:t xml:space="preserve"> Se revisan las uniones, el material de las tuberías y su correcta sujeción. </w:t>
      </w:r>
    </w:p>
    <w:p w:rsidR="00B56821" w:rsidRDefault="00261E90">
      <w:pPr>
        <w:numPr>
          <w:ilvl w:val="0"/>
          <w:numId w:val="2"/>
        </w:numPr>
        <w:pBdr>
          <w:top w:val="nil"/>
          <w:left w:val="nil"/>
          <w:bottom w:val="nil"/>
          <w:right w:val="nil"/>
          <w:between w:val="nil"/>
        </w:pBdr>
        <w:rPr>
          <w:color w:val="000000"/>
        </w:rPr>
      </w:pPr>
      <w:r>
        <w:rPr>
          <w:b/>
          <w:bCs/>
          <w:color w:val="000000"/>
        </w:rPr>
        <w:t>Ventilación de los recintos:</w:t>
      </w:r>
      <w:r>
        <w:rPr>
          <w:color w:val="000000"/>
        </w:rPr>
        <w:t xml:space="preserve"> Se evalúa que exista una ventilación adecuada en los lugares donde se encuentran artefactos a gas para evitar la acumulación de gases tóxicos. </w:t>
      </w:r>
    </w:p>
    <w:p w:rsidR="00B56821" w:rsidRDefault="00261E90">
      <w:pPr>
        <w:numPr>
          <w:ilvl w:val="0"/>
          <w:numId w:val="2"/>
        </w:numPr>
        <w:pBdr>
          <w:top w:val="nil"/>
          <w:left w:val="nil"/>
          <w:bottom w:val="nil"/>
          <w:right w:val="nil"/>
          <w:between w:val="nil"/>
        </w:pBdr>
        <w:rPr>
          <w:color w:val="000000"/>
        </w:rPr>
      </w:pPr>
      <w:r>
        <w:rPr>
          <w:b/>
          <w:bCs/>
          <w:color w:val="000000"/>
        </w:rPr>
        <w:t>Artefactos a gas:</w:t>
      </w:r>
      <w:r>
        <w:rPr>
          <w:color w:val="000000"/>
        </w:rPr>
        <w:t xml:space="preserve"> Se verifica su correcto funcionamiento, la ausencia de fugas y que estén diseñados para el ti</w:t>
      </w:r>
      <w:r>
        <w:rPr>
          <w:color w:val="000000"/>
        </w:rPr>
        <w:t xml:space="preserve">po de gas suministrado. </w:t>
      </w:r>
    </w:p>
    <w:p w:rsidR="00B56821" w:rsidRDefault="00261E90">
      <w:pPr>
        <w:numPr>
          <w:ilvl w:val="0"/>
          <w:numId w:val="2"/>
        </w:numPr>
        <w:pBdr>
          <w:top w:val="nil"/>
          <w:left w:val="nil"/>
          <w:bottom w:val="nil"/>
          <w:right w:val="nil"/>
          <w:between w:val="nil"/>
        </w:pBdr>
        <w:rPr>
          <w:color w:val="000000"/>
        </w:rPr>
      </w:pPr>
      <w:r>
        <w:rPr>
          <w:b/>
          <w:bCs/>
          <w:color w:val="000000"/>
        </w:rPr>
        <w:t>Ductos de evacuación de gases:</w:t>
      </w:r>
      <w:r>
        <w:rPr>
          <w:color w:val="000000"/>
        </w:rPr>
        <w:t xml:space="preserve"> En calefones y calderas, se revisa que los ductos estén despejados y permitan la correcta evacuación de los gases de combustión. </w:t>
      </w:r>
    </w:p>
    <w:p w:rsidR="00B56821" w:rsidRDefault="00261E90">
      <w:pPr>
        <w:numPr>
          <w:ilvl w:val="0"/>
          <w:numId w:val="2"/>
        </w:numPr>
        <w:pBdr>
          <w:top w:val="nil"/>
          <w:left w:val="nil"/>
          <w:bottom w:val="nil"/>
          <w:right w:val="nil"/>
          <w:between w:val="nil"/>
        </w:pBdr>
        <w:rPr>
          <w:color w:val="000000"/>
        </w:rPr>
      </w:pPr>
      <w:r>
        <w:rPr>
          <w:b/>
          <w:bCs/>
          <w:color w:val="000000"/>
        </w:rPr>
        <w:t>Ausencia de defectos:</w:t>
      </w:r>
      <w:r>
        <w:rPr>
          <w:color w:val="000000"/>
        </w:rPr>
        <w:t xml:space="preserve"> Se busca la inexistencia de piezas sueltas o faltantes, obstrucciones, filtraciones de agua (si aplica) o retornos de gases de combustión.</w:t>
      </w:r>
    </w:p>
    <w:p w:rsidR="00B56821" w:rsidRDefault="00B56821">
      <w:pPr>
        <w:pBdr>
          <w:top w:val="nil"/>
          <w:left w:val="nil"/>
          <w:bottom w:val="nil"/>
          <w:right w:val="nil"/>
          <w:between w:val="nil"/>
        </w:pBdr>
        <w:ind w:left="1494"/>
        <w:rPr>
          <w:color w:val="000000"/>
        </w:rPr>
      </w:pPr>
    </w:p>
    <w:p w:rsidR="00B56821" w:rsidRDefault="00261E90">
      <w:pPr>
        <w:ind w:left="0"/>
      </w:pPr>
      <w:r>
        <w:t>Si durante la inspección se detecta alguna anomalía o incumplimiento de la normativa vigente, se requerirá al prove</w:t>
      </w:r>
      <w:r>
        <w:t>edor adjudicado realizar las reparaciones necesarias. Para este fin, se programará una visita opcional Posteriormente a esta visita, el proveedor deberá presentar una oferta económica detallada. La propuesta que, a criterio del Departamento de Educación, r</w:t>
      </w:r>
      <w:r>
        <w:t>epresente la mejor combinación entre una oferta económica ventajosa y una alta calidad técnica (en cuanto a materiales), será la seleccionada para llevar a cabo el trabajo de renovación de las instalaciones de redes de gas en el Establecimiento.</w:t>
      </w:r>
    </w:p>
    <w:p w:rsidR="00B56821" w:rsidRDefault="00B56821">
      <w:pPr>
        <w:pBdr>
          <w:top w:val="nil"/>
          <w:left w:val="nil"/>
          <w:bottom w:val="nil"/>
          <w:right w:val="nil"/>
          <w:between w:val="nil"/>
        </w:pBdr>
        <w:ind w:left="927"/>
        <w:rPr>
          <w:color w:val="000000"/>
        </w:rPr>
      </w:pPr>
    </w:p>
    <w:p w:rsidR="00B56821" w:rsidRDefault="00261E90">
      <w:pPr>
        <w:ind w:left="0"/>
      </w:pPr>
      <w:r>
        <w:t>Los estab</w:t>
      </w:r>
      <w:r>
        <w:t>lecimientos a renovar son los siguientes:</w:t>
      </w:r>
    </w:p>
    <w:p w:rsidR="00B56821" w:rsidRDefault="00B56821"/>
    <w:tbl>
      <w:tblPr>
        <w:tblStyle w:val="a"/>
        <w:tblW w:w="5382" w:type="dxa"/>
        <w:jc w:val="center"/>
        <w:tblInd w:w="0" w:type="dxa"/>
        <w:tblLayout w:type="fixed"/>
        <w:tblLook w:val="0400" w:firstRow="0" w:lastRow="0" w:firstColumn="0" w:lastColumn="0" w:noHBand="0" w:noVBand="1"/>
      </w:tblPr>
      <w:tblGrid>
        <w:gridCol w:w="2334"/>
        <w:gridCol w:w="3048"/>
      </w:tblGrid>
      <w:tr w:rsidR="00B56821">
        <w:trPr>
          <w:trHeight w:val="660"/>
          <w:jc w:val="center"/>
        </w:trPr>
        <w:tc>
          <w:tcPr>
            <w:tcW w:w="2334" w:type="dxa"/>
            <w:tcBorders>
              <w:top w:val="single" w:sz="4" w:space="0" w:color="000000"/>
              <w:left w:val="single" w:sz="4" w:space="0" w:color="000000"/>
              <w:bottom w:val="single" w:sz="4" w:space="0" w:color="000000"/>
              <w:right w:val="single" w:sz="4" w:space="0" w:color="000000"/>
            </w:tcBorders>
            <w:vAlign w:val="center"/>
          </w:tcPr>
          <w:p w:rsidR="00B56821" w:rsidRDefault="00261E90">
            <w:pPr>
              <w:ind w:left="204"/>
              <w:jc w:val="left"/>
              <w:rPr>
                <w:b/>
                <w:bCs/>
                <w:color w:val="000000"/>
              </w:rPr>
            </w:pPr>
            <w:r>
              <w:rPr>
                <w:b/>
                <w:bCs/>
                <w:color w:val="000000"/>
              </w:rPr>
              <w:t>Establecimiento Educacional</w:t>
            </w:r>
          </w:p>
        </w:tc>
        <w:tc>
          <w:tcPr>
            <w:tcW w:w="3048" w:type="dxa"/>
            <w:tcBorders>
              <w:top w:val="single" w:sz="4" w:space="0" w:color="000000"/>
              <w:left w:val="nil"/>
              <w:bottom w:val="single" w:sz="4" w:space="0" w:color="000000"/>
              <w:right w:val="single" w:sz="4" w:space="0" w:color="000000"/>
            </w:tcBorders>
            <w:vAlign w:val="center"/>
          </w:tcPr>
          <w:p w:rsidR="00B56821" w:rsidRDefault="00261E90">
            <w:pPr>
              <w:ind w:firstLine="567"/>
              <w:rPr>
                <w:b/>
                <w:bCs/>
                <w:color w:val="000000"/>
              </w:rPr>
            </w:pPr>
            <w:r>
              <w:rPr>
                <w:b/>
                <w:bCs/>
                <w:color w:val="000000"/>
              </w:rPr>
              <w:t>Vencimiento Sello Verde</w:t>
            </w:r>
          </w:p>
        </w:tc>
      </w:tr>
      <w:tr w:rsidR="00B56821">
        <w:trPr>
          <w:trHeight w:val="330"/>
          <w:jc w:val="center"/>
        </w:trPr>
        <w:tc>
          <w:tcPr>
            <w:tcW w:w="2334" w:type="dxa"/>
            <w:tcBorders>
              <w:top w:val="nil"/>
              <w:left w:val="single" w:sz="4" w:space="0" w:color="000000"/>
              <w:bottom w:val="single" w:sz="4" w:space="0" w:color="000000"/>
              <w:right w:val="single" w:sz="4" w:space="0" w:color="000000"/>
            </w:tcBorders>
            <w:vAlign w:val="center"/>
          </w:tcPr>
          <w:p w:rsidR="00B56821" w:rsidRDefault="00261E90">
            <w:pPr>
              <w:ind w:left="204"/>
              <w:jc w:val="left"/>
              <w:rPr>
                <w:color w:val="000000"/>
              </w:rPr>
            </w:pPr>
            <w:r>
              <w:rPr>
                <w:color w:val="000000"/>
              </w:rPr>
              <w:t>Sala Cuna Sol de Huechuraba</w:t>
            </w:r>
          </w:p>
        </w:tc>
        <w:tc>
          <w:tcPr>
            <w:tcW w:w="3048" w:type="dxa"/>
            <w:tcBorders>
              <w:top w:val="nil"/>
              <w:left w:val="nil"/>
              <w:bottom w:val="single" w:sz="4" w:space="0" w:color="000000"/>
              <w:right w:val="single" w:sz="4" w:space="0" w:color="000000"/>
            </w:tcBorders>
            <w:vAlign w:val="center"/>
          </w:tcPr>
          <w:p w:rsidR="00B56821" w:rsidRDefault="00261E90">
            <w:pPr>
              <w:ind w:firstLine="567"/>
              <w:rPr>
                <w:color w:val="000000"/>
              </w:rPr>
            </w:pPr>
            <w:r>
              <w:rPr>
                <w:color w:val="000000"/>
              </w:rPr>
              <w:t>17/06/2026</w:t>
            </w:r>
          </w:p>
        </w:tc>
      </w:tr>
    </w:tbl>
    <w:p w:rsidR="00B56821" w:rsidRDefault="00B56821">
      <w:pPr>
        <w:ind w:firstLine="567"/>
        <w:jc w:val="center"/>
      </w:pPr>
    </w:p>
    <w:p w:rsidR="00B56821" w:rsidRDefault="00B56821">
      <w:pPr>
        <w:ind w:firstLine="567"/>
        <w:jc w:val="center"/>
      </w:pPr>
    </w:p>
    <w:p w:rsidR="00B56821" w:rsidRDefault="00261E90">
      <w:pPr>
        <w:ind w:firstLine="567"/>
        <w:jc w:val="left"/>
        <w:rPr>
          <w:b/>
          <w:bCs/>
        </w:rPr>
      </w:pPr>
      <w:r>
        <w:rPr>
          <w:b/>
          <w:bCs/>
        </w:rPr>
        <w:t>Los horarios, para poder ejecutar los trabajos, serán definidos entre la dirección de la Sala Cuna y el proveedor, no interrumpiendo la funcionalidad de las cocinas.</w:t>
      </w:r>
    </w:p>
    <w:p w:rsidR="00B56821" w:rsidRDefault="00B56821">
      <w:pPr>
        <w:ind w:firstLine="567"/>
        <w:jc w:val="left"/>
        <w:rPr>
          <w:b/>
          <w:bCs/>
        </w:rPr>
      </w:pPr>
    </w:p>
    <w:p w:rsidR="00B56821" w:rsidRDefault="00261E90">
      <w:pPr>
        <w:numPr>
          <w:ilvl w:val="0"/>
          <w:numId w:val="1"/>
        </w:numPr>
        <w:pBdr>
          <w:top w:val="nil"/>
          <w:left w:val="nil"/>
          <w:bottom w:val="nil"/>
          <w:right w:val="nil"/>
          <w:between w:val="nil"/>
        </w:pBdr>
        <w:ind w:firstLine="131"/>
        <w:rPr>
          <w:rFonts w:ascii="Calibri" w:eastAsia="Calibri" w:hAnsi="Calibri" w:cs="Calibri"/>
          <w:b/>
          <w:bCs/>
          <w:color w:val="000000"/>
        </w:rPr>
      </w:pPr>
      <w:r>
        <w:rPr>
          <w:rFonts w:ascii="Calibri" w:eastAsia="Calibri" w:hAnsi="Calibri" w:cs="Calibri"/>
          <w:b/>
          <w:bCs/>
          <w:color w:val="000000"/>
        </w:rPr>
        <w:t>REQUISITOS DEL PROVEEDOR</w:t>
      </w:r>
    </w:p>
    <w:p w:rsidR="00B56821" w:rsidRDefault="00B56821"/>
    <w:p w:rsidR="00B56821" w:rsidRDefault="00261E90">
      <w:r>
        <w:t>El oferente deberá considerar en su propuesta todos los elementos o acciones para la correcta ejecución, aunque no aparezca su descripción de este documento. En cada una de las partidas se tendrá presente la obligación adquirida por el oferente, de entrega</w:t>
      </w:r>
      <w:r>
        <w:t xml:space="preserve">r la óptima calidad, tanto en los procedimientos de instalación, como en las características de los materiales, sus condiciones, etc. Debiendo cumplir con las recomendaciones </w:t>
      </w:r>
      <w:r>
        <w:lastRenderedPageBreak/>
        <w:t>generales de procedimientos, equipos y accesorios; por lo tanto, sólo se aceptará</w:t>
      </w:r>
      <w:r>
        <w:t>n los trabajos y materiales ajustados a normas y revisiones aceptadas.</w:t>
      </w:r>
    </w:p>
    <w:p w:rsidR="00B56821" w:rsidRDefault="00B56821"/>
    <w:p w:rsidR="00B56821" w:rsidRDefault="00261E90">
      <w:pPr>
        <w:ind w:left="0"/>
        <w:rPr>
          <w:b/>
          <w:bCs/>
          <w:i/>
          <w:iCs/>
        </w:rPr>
      </w:pPr>
      <w:r>
        <w:rPr>
          <w:b/>
          <w:bCs/>
          <w:i/>
          <w:iCs/>
        </w:rPr>
        <w:t>La propuesta económica será considerada a suma alzada, por lo que el oferente deberá considerar todo gasto extra, que se solicite para la correcta ejecución y buena terminación del ser</w:t>
      </w:r>
      <w:r>
        <w:rPr>
          <w:b/>
          <w:bCs/>
          <w:i/>
          <w:iCs/>
        </w:rPr>
        <w:t>vicio solicitado en el presente documento.</w:t>
      </w:r>
    </w:p>
    <w:p w:rsidR="00B56821" w:rsidRDefault="00B56821"/>
    <w:p w:rsidR="00B56821" w:rsidRDefault="00261E90">
      <w:pPr>
        <w:ind w:left="0"/>
        <w:rPr>
          <w:b/>
          <w:bCs/>
          <w:i/>
          <w:iCs/>
        </w:rPr>
      </w:pPr>
      <w:r>
        <w:rPr>
          <w:b/>
          <w:bCs/>
          <w:i/>
          <w:iCs/>
        </w:rPr>
        <w:t xml:space="preserve">Se deben cautelar los tiempos de provisión de cualquier ítem que pudiese generar atrasos en el desarrollo de la del servicio de instalación, ya sea por stock en proveedor o por diseños especiales. </w:t>
      </w:r>
    </w:p>
    <w:p w:rsidR="00B56821" w:rsidRDefault="00B56821">
      <w:pPr>
        <w:ind w:left="0"/>
      </w:pPr>
    </w:p>
    <w:p w:rsidR="00B56821" w:rsidRDefault="00261E90">
      <w:pPr>
        <w:numPr>
          <w:ilvl w:val="0"/>
          <w:numId w:val="1"/>
        </w:numPr>
        <w:pBdr>
          <w:top w:val="nil"/>
          <w:left w:val="nil"/>
          <w:bottom w:val="nil"/>
          <w:right w:val="nil"/>
          <w:between w:val="nil"/>
        </w:pBdr>
        <w:ind w:hanging="10"/>
        <w:rPr>
          <w:rFonts w:ascii="Calibri" w:eastAsia="Calibri" w:hAnsi="Calibri" w:cs="Calibri"/>
          <w:b/>
          <w:bCs/>
          <w:color w:val="000000"/>
        </w:rPr>
      </w:pPr>
      <w:r>
        <w:rPr>
          <w:rFonts w:ascii="Calibri" w:eastAsia="Calibri" w:hAnsi="Calibri" w:cs="Calibri"/>
          <w:b/>
          <w:bCs/>
          <w:color w:val="000000"/>
        </w:rPr>
        <w:t>MATERIALES, H</w:t>
      </w:r>
      <w:r>
        <w:rPr>
          <w:rFonts w:ascii="Calibri" w:eastAsia="Calibri" w:hAnsi="Calibri" w:cs="Calibri"/>
          <w:b/>
          <w:bCs/>
          <w:color w:val="000000"/>
        </w:rPr>
        <w:t>ERRAMIENTAS Y EQUIPOS</w:t>
      </w:r>
    </w:p>
    <w:p w:rsidR="00B56821" w:rsidRDefault="00261E90">
      <w:pPr>
        <w:ind w:left="0"/>
      </w:pPr>
      <w:r>
        <w:t xml:space="preserve">El oferente proporcionará a su costo los materiales, accesorios, herramientas, equipos, transporte y cualquier otra facilidad que sea necesaria para la ejecución de la reparación hasta su terminación. Todos los materiales deberán ser </w:t>
      </w:r>
      <w:r>
        <w:t xml:space="preserve">de primera calidad, nuevos y/o sin uso, de marca reconocida, los cuales deberán ser aprobados por el mandante. Se deberá considerar también las instrucciones del fabricante. </w:t>
      </w:r>
    </w:p>
    <w:p w:rsidR="00B56821" w:rsidRDefault="00B56821"/>
    <w:p w:rsidR="00B56821" w:rsidRDefault="00261E90">
      <w:pPr>
        <w:numPr>
          <w:ilvl w:val="0"/>
          <w:numId w:val="1"/>
        </w:numPr>
        <w:pBdr>
          <w:top w:val="nil"/>
          <w:left w:val="nil"/>
          <w:bottom w:val="nil"/>
          <w:right w:val="nil"/>
          <w:between w:val="nil"/>
        </w:pBdr>
        <w:ind w:hanging="10"/>
        <w:rPr>
          <w:rFonts w:ascii="Calibri" w:eastAsia="Calibri" w:hAnsi="Calibri" w:cs="Calibri"/>
          <w:b/>
          <w:bCs/>
          <w:color w:val="000000"/>
        </w:rPr>
      </w:pPr>
      <w:r>
        <w:rPr>
          <w:rFonts w:ascii="Calibri" w:eastAsia="Calibri" w:hAnsi="Calibri" w:cs="Calibri"/>
          <w:b/>
          <w:bCs/>
          <w:color w:val="000000"/>
        </w:rPr>
        <w:t>NORMAS DE SEGURIDAD</w:t>
      </w:r>
    </w:p>
    <w:p w:rsidR="00B56821" w:rsidRDefault="00261E90">
      <w:pPr>
        <w:ind w:left="0"/>
      </w:pPr>
      <w:r>
        <w:t>Se deberán respetar las normas de seguridad referidas en los</w:t>
      </w:r>
      <w:r>
        <w:t xml:space="preserve"> catálogos y guías preparadas por el Departamento de Seguridad de la Mutual de Seguridad y/o de la Asociación Chilena de Seguridad durante todo el horario y desarrollo de la reparación. El oferente deberá acogerse en todo momento a la Ley Nº16.744 que esta</w:t>
      </w:r>
      <w:r>
        <w:t>blece normas sobre accidentes del trabajo y enfermedades profesionales. Para ello, el oferente deberá contar con los elementos técnicos físicos y humanos necesarios y tomar todas las precauciones procedentes para evitar cualquier tipo de accidentes que pue</w:t>
      </w:r>
      <w:r>
        <w:t>dan afectar a trabajadores y terceros durante la ejecución de los trabajos, siendo de su exclusiva responsabilidad la ocurrencia de ellos. En ningún caso se podrá traspasar la responsabilidad del oferente al mandante en esta materia por lo que el estableci</w:t>
      </w:r>
      <w:r>
        <w:t>miento podrá contemplar facilidades para el calentamiento de los alimentos del personal.</w:t>
      </w:r>
    </w:p>
    <w:p w:rsidR="00B56821" w:rsidRDefault="00B56821"/>
    <w:p w:rsidR="00B56821" w:rsidRDefault="00261E90">
      <w:pPr>
        <w:numPr>
          <w:ilvl w:val="0"/>
          <w:numId w:val="1"/>
        </w:numPr>
        <w:pBdr>
          <w:top w:val="nil"/>
          <w:left w:val="nil"/>
          <w:bottom w:val="nil"/>
          <w:right w:val="nil"/>
          <w:between w:val="nil"/>
        </w:pBdr>
        <w:ind w:hanging="10"/>
      </w:pPr>
      <w:r>
        <w:rPr>
          <w:rFonts w:ascii="Calibri" w:eastAsia="Calibri" w:hAnsi="Calibri" w:cs="Calibri"/>
          <w:b/>
          <w:bCs/>
          <w:color w:val="000000"/>
        </w:rPr>
        <w:t xml:space="preserve">REGISTRO </w:t>
      </w:r>
    </w:p>
    <w:p w:rsidR="00B56821" w:rsidRDefault="00261E90">
      <w:pPr>
        <w:ind w:left="0"/>
      </w:pPr>
      <w:r>
        <w:t>La ejecución deberá ser registrada por el oferente en imágenes digitalizadas, para lo cual se deberá tomar set de fotos, antes, durante y después de ejecuta</w:t>
      </w:r>
      <w:r>
        <w:t xml:space="preserve">dos los trabajos. Dicha información deberá ser entregada al mandante. </w:t>
      </w:r>
    </w:p>
    <w:p w:rsidR="00B56821" w:rsidRDefault="00B56821">
      <w:pPr>
        <w:ind w:firstLine="567"/>
        <w:rPr>
          <w:rFonts w:ascii="Calibri" w:eastAsia="Calibri" w:hAnsi="Calibri" w:cs="Calibri"/>
          <w:b/>
          <w:bCs/>
        </w:rPr>
      </w:pPr>
    </w:p>
    <w:p w:rsidR="00B56821" w:rsidRDefault="00261E90">
      <w:pPr>
        <w:numPr>
          <w:ilvl w:val="0"/>
          <w:numId w:val="1"/>
        </w:numPr>
        <w:pBdr>
          <w:top w:val="nil"/>
          <w:left w:val="nil"/>
          <w:bottom w:val="nil"/>
          <w:right w:val="nil"/>
          <w:between w:val="nil"/>
        </w:pBdr>
        <w:ind w:hanging="10"/>
      </w:pPr>
      <w:r>
        <w:rPr>
          <w:rFonts w:ascii="Calibri" w:eastAsia="Calibri" w:hAnsi="Calibri" w:cs="Calibri"/>
          <w:b/>
          <w:bCs/>
          <w:color w:val="000000"/>
        </w:rPr>
        <w:t xml:space="preserve">ACEPTACIÓN ORDEN DE COMPRA </w:t>
      </w:r>
    </w:p>
    <w:p w:rsidR="00B56821" w:rsidRDefault="00261E90">
      <w:pPr>
        <w:ind w:left="0"/>
      </w:pPr>
      <w:r>
        <w:t>El proveedor tendrá un plazo máximo de 3 días corridos para la aceptación de la orden de compra a través de mercado público desde la notificación de ésta misma.</w:t>
      </w:r>
    </w:p>
    <w:p w:rsidR="00B56821" w:rsidRDefault="00B56821">
      <w:pPr>
        <w:ind w:left="0"/>
        <w:rPr>
          <w:rFonts w:ascii="Calibri" w:eastAsia="Calibri" w:hAnsi="Calibri" w:cs="Calibri"/>
          <w:b/>
          <w:bCs/>
        </w:rPr>
      </w:pPr>
    </w:p>
    <w:p w:rsidR="00B56821" w:rsidRDefault="00261E90">
      <w:pPr>
        <w:numPr>
          <w:ilvl w:val="0"/>
          <w:numId w:val="1"/>
        </w:numPr>
        <w:pBdr>
          <w:top w:val="nil"/>
          <w:left w:val="nil"/>
          <w:bottom w:val="nil"/>
          <w:right w:val="nil"/>
          <w:between w:val="nil"/>
        </w:pBdr>
        <w:ind w:hanging="10"/>
      </w:pPr>
      <w:r>
        <w:rPr>
          <w:rFonts w:ascii="Calibri" w:eastAsia="Calibri" w:hAnsi="Calibri" w:cs="Calibri"/>
          <w:b/>
          <w:bCs/>
          <w:color w:val="000000"/>
        </w:rPr>
        <w:t>ACTA DE INICIO Y TÉRMINO</w:t>
      </w:r>
    </w:p>
    <w:p w:rsidR="00B56821" w:rsidRDefault="00261E90">
      <w:pPr>
        <w:ind w:left="0"/>
      </w:pPr>
      <w:r>
        <w:t>Se le solicitará al oferente firmar un acta de inicio de servicios pa</w:t>
      </w:r>
      <w:r>
        <w:t>ra que se lleve a cabo un registro del comienzo del plazo de ejecución indicado por el mismo oferente en el anexo correspondiente adjuntado en las bases técnicas.</w:t>
      </w:r>
    </w:p>
    <w:p w:rsidR="00B56821" w:rsidRDefault="00B56821"/>
    <w:p w:rsidR="00B56821" w:rsidRDefault="00261E90">
      <w:pPr>
        <w:ind w:left="0"/>
      </w:pPr>
      <w:r>
        <w:t>Se solicitará al oferente firmar un acta de término de servicios donde se establecerá, fecha</w:t>
      </w:r>
      <w:r>
        <w:t xml:space="preserve"> de término del servicio, correcta ejecución y garantías. </w:t>
      </w:r>
    </w:p>
    <w:p w:rsidR="00B56821" w:rsidRDefault="00B56821">
      <w:pPr>
        <w:ind w:left="0"/>
      </w:pPr>
    </w:p>
    <w:p w:rsidR="00B56821" w:rsidRDefault="00261E90">
      <w:pPr>
        <w:numPr>
          <w:ilvl w:val="0"/>
          <w:numId w:val="1"/>
        </w:numPr>
        <w:pBdr>
          <w:top w:val="nil"/>
          <w:left w:val="nil"/>
          <w:bottom w:val="nil"/>
          <w:right w:val="nil"/>
          <w:between w:val="nil"/>
        </w:pBdr>
        <w:ind w:hanging="10"/>
        <w:rPr>
          <w:rFonts w:ascii="Calibri" w:eastAsia="Calibri" w:hAnsi="Calibri" w:cs="Calibri"/>
          <w:b/>
          <w:bCs/>
          <w:color w:val="000000"/>
        </w:rPr>
      </w:pPr>
      <w:r>
        <w:rPr>
          <w:rFonts w:ascii="Calibri" w:eastAsia="Calibri" w:hAnsi="Calibri" w:cs="Calibri"/>
          <w:b/>
          <w:bCs/>
          <w:color w:val="000000"/>
        </w:rPr>
        <w:t xml:space="preserve">VISITA A TERRENO </w:t>
      </w:r>
    </w:p>
    <w:p w:rsidR="00B56821" w:rsidRDefault="00261E90">
      <w:pPr>
        <w:ind w:left="0"/>
        <w:rPr>
          <w:b/>
          <w:bCs/>
        </w:rPr>
      </w:pPr>
      <w:r>
        <w:rPr>
          <w:b/>
          <w:bCs/>
        </w:rPr>
        <w:t>Requi</w:t>
      </w:r>
      <w:r w:rsidR="000D4C7E">
        <w:rPr>
          <w:b/>
          <w:bCs/>
        </w:rPr>
        <w:t>ere visita a terreno</w:t>
      </w:r>
      <w:r>
        <w:rPr>
          <w:b/>
          <w:bCs/>
        </w:rPr>
        <w:t xml:space="preserve"> opcional, </w:t>
      </w:r>
      <w:r w:rsidR="000D4C7E">
        <w:rPr>
          <w:b/>
          <w:bCs/>
        </w:rPr>
        <w:t>el día martes 30 de julio a las 10:00 hrs en Las Petunias N° 263, responsable Víctor Díaz Jara, fono 9-42557437.</w:t>
      </w:r>
    </w:p>
    <w:p w:rsidR="00B56821" w:rsidRDefault="00B56821">
      <w:pPr>
        <w:ind w:left="0"/>
      </w:pPr>
    </w:p>
    <w:p w:rsidR="00B56821" w:rsidRDefault="00261E90">
      <w:pPr>
        <w:numPr>
          <w:ilvl w:val="0"/>
          <w:numId w:val="1"/>
        </w:numPr>
        <w:pBdr>
          <w:top w:val="nil"/>
          <w:left w:val="nil"/>
          <w:bottom w:val="nil"/>
          <w:right w:val="nil"/>
          <w:between w:val="nil"/>
        </w:pBdr>
        <w:ind w:hanging="10"/>
        <w:rPr>
          <w:rFonts w:ascii="Calibri" w:eastAsia="Calibri" w:hAnsi="Calibri" w:cs="Calibri"/>
          <w:b/>
          <w:bCs/>
          <w:color w:val="000000"/>
        </w:rPr>
      </w:pPr>
      <w:r>
        <w:rPr>
          <w:rFonts w:ascii="Calibri" w:eastAsia="Calibri" w:hAnsi="Calibri" w:cs="Calibri"/>
          <w:b/>
          <w:bCs/>
          <w:color w:val="000000"/>
        </w:rPr>
        <w:t>GARANTÍAS POST VENTA</w:t>
      </w:r>
    </w:p>
    <w:p w:rsidR="00B56821" w:rsidRDefault="00261E90">
      <w:pPr>
        <w:ind w:left="0"/>
      </w:pPr>
      <w:r>
        <w:t xml:space="preserve">El proveedor deberá ofrecer una garantía de a lo menos 3 meses, </w:t>
      </w:r>
      <w:r>
        <w:t>una vez se indiquen las observaciones, por ejemplo: Fugas de gas, etc.</w:t>
      </w:r>
    </w:p>
    <w:p w:rsidR="00B56821" w:rsidRDefault="00B56821"/>
    <w:p w:rsidR="00B56821" w:rsidRDefault="00261E90">
      <w:pPr>
        <w:ind w:left="0"/>
      </w:pPr>
      <w:r>
        <w:t>Además, el proveedor deberá ofrecer un plazo de respuesta no superior a 48 hrs una vez informada la solicitud de uso de garantía.</w:t>
      </w:r>
    </w:p>
    <w:p w:rsidR="00B56821" w:rsidRDefault="00B56821"/>
    <w:p w:rsidR="00B56821" w:rsidRDefault="00261E90">
      <w:pPr>
        <w:numPr>
          <w:ilvl w:val="0"/>
          <w:numId w:val="1"/>
        </w:numPr>
        <w:pBdr>
          <w:top w:val="nil"/>
          <w:left w:val="nil"/>
          <w:bottom w:val="nil"/>
          <w:right w:val="nil"/>
          <w:between w:val="nil"/>
        </w:pBdr>
        <w:ind w:hanging="10"/>
      </w:pPr>
      <w:r>
        <w:rPr>
          <w:rFonts w:ascii="Calibri" w:eastAsia="Calibri" w:hAnsi="Calibri" w:cs="Calibri"/>
          <w:b/>
          <w:bCs/>
          <w:color w:val="000000"/>
        </w:rPr>
        <w:t xml:space="preserve">INSTRUCCIONES U </w:t>
      </w:r>
      <w:r>
        <w:rPr>
          <w:rFonts w:ascii="Calibri" w:eastAsia="Calibri" w:hAnsi="Calibri" w:cs="Calibri"/>
          <w:b/>
          <w:bCs/>
        </w:rPr>
        <w:t>ÓRDENES</w:t>
      </w:r>
      <w:r>
        <w:rPr>
          <w:rFonts w:ascii="Calibri" w:eastAsia="Calibri" w:hAnsi="Calibri" w:cs="Calibri"/>
          <w:b/>
          <w:bCs/>
          <w:color w:val="000000"/>
        </w:rPr>
        <w:t xml:space="preserve"> DE TRABAJO</w:t>
      </w:r>
    </w:p>
    <w:p w:rsidR="00B56821" w:rsidRDefault="00261E90">
      <w:pPr>
        <w:ind w:left="0"/>
      </w:pPr>
      <w:r>
        <w:t>Las órdenes de tra</w:t>
      </w:r>
      <w:r>
        <w:t>bajo serán respaldadas mediante correo electrónico.</w:t>
      </w:r>
    </w:p>
    <w:p w:rsidR="00B56821" w:rsidRDefault="00B56821"/>
    <w:p w:rsidR="00B56821" w:rsidRDefault="00261E90">
      <w:pPr>
        <w:numPr>
          <w:ilvl w:val="0"/>
          <w:numId w:val="1"/>
        </w:numPr>
        <w:pBdr>
          <w:top w:val="nil"/>
          <w:left w:val="nil"/>
          <w:bottom w:val="nil"/>
          <w:right w:val="nil"/>
          <w:between w:val="nil"/>
        </w:pBdr>
        <w:ind w:hanging="10"/>
      </w:pPr>
      <w:r>
        <w:rPr>
          <w:rFonts w:ascii="Calibri" w:eastAsia="Calibri" w:hAnsi="Calibri" w:cs="Calibri"/>
          <w:b/>
          <w:bCs/>
          <w:color w:val="000000"/>
        </w:rPr>
        <w:t>MULTAS</w:t>
      </w:r>
    </w:p>
    <w:p w:rsidR="00B56821" w:rsidRDefault="00261E90">
      <w:pPr>
        <w:ind w:left="0"/>
      </w:pPr>
      <w:r>
        <w:t>Se aplicará una multa de 1 UTM por cada día de atraso en la ejecución del trabajo o del servicio.</w:t>
      </w:r>
    </w:p>
    <w:p w:rsidR="00B56821" w:rsidRDefault="00B56821"/>
    <w:p w:rsidR="00B56821" w:rsidRDefault="00261E90">
      <w:pPr>
        <w:ind w:left="0"/>
        <w:rPr>
          <w:u w:val="single"/>
        </w:rPr>
      </w:pPr>
      <w:r>
        <w:rPr>
          <w:u w:val="single"/>
        </w:rPr>
        <w:t>Procedimiento de aplicación de multas:</w:t>
      </w:r>
    </w:p>
    <w:p w:rsidR="00B56821" w:rsidRDefault="00B56821">
      <w:pPr>
        <w:ind w:firstLine="567"/>
        <w:rPr>
          <w:u w:val="single"/>
        </w:rPr>
      </w:pPr>
    </w:p>
    <w:p w:rsidR="00B56821" w:rsidRDefault="00261E90">
      <w:pPr>
        <w:ind w:left="0"/>
      </w:pPr>
      <w:r>
        <w:t>El encargado del Servicio tendrá un plazo máximo de 72 horas para comunicar mediante correo electrónico al proveedor sobre su falta.</w:t>
      </w:r>
    </w:p>
    <w:p w:rsidR="00B56821" w:rsidRDefault="00B56821"/>
    <w:p w:rsidR="00B56821" w:rsidRDefault="00261E90">
      <w:pPr>
        <w:ind w:left="0"/>
        <w:rPr>
          <w:u w:val="single"/>
        </w:rPr>
      </w:pPr>
      <w:r>
        <w:rPr>
          <w:u w:val="single"/>
        </w:rPr>
        <w:t>Plazo de apelación del oferente:</w:t>
      </w:r>
    </w:p>
    <w:p w:rsidR="00B56821" w:rsidRDefault="00B56821">
      <w:pPr>
        <w:ind w:firstLine="567"/>
        <w:rPr>
          <w:u w:val="single"/>
        </w:rPr>
      </w:pPr>
    </w:p>
    <w:p w:rsidR="00B56821" w:rsidRDefault="00261E90">
      <w:pPr>
        <w:ind w:left="0"/>
      </w:pPr>
      <w:r>
        <w:t>El oferente tendrá un plazo máximo de 3 días hábiles para presentar su apelación.</w:t>
      </w:r>
    </w:p>
    <w:p w:rsidR="00B56821" w:rsidRDefault="00261E90">
      <w:pPr>
        <w:ind w:left="0"/>
      </w:pPr>
      <w:r>
        <w:t>El jef</w:t>
      </w:r>
      <w:r>
        <w:t xml:space="preserve">e del departamento de educación quien es el encargado de decidir si se procede con las multas, tendrá un plazo de 3 días hábiles para entregar la respuesta en solo una instancia. </w:t>
      </w:r>
    </w:p>
    <w:p w:rsidR="00B56821" w:rsidRDefault="00B56821"/>
    <w:p w:rsidR="00B56821" w:rsidRDefault="00261E90">
      <w:pPr>
        <w:ind w:left="0"/>
        <w:rPr>
          <w:u w:val="single"/>
        </w:rPr>
      </w:pPr>
      <w:r>
        <w:rPr>
          <w:u w:val="single"/>
        </w:rPr>
        <w:t>Proceso de pago:</w:t>
      </w:r>
    </w:p>
    <w:p w:rsidR="00B56821" w:rsidRDefault="00B56821">
      <w:pPr>
        <w:ind w:firstLine="567"/>
        <w:rPr>
          <w:u w:val="single"/>
        </w:rPr>
      </w:pPr>
    </w:p>
    <w:p w:rsidR="00B56821" w:rsidRDefault="00261E90">
      <w:pPr>
        <w:ind w:left="0"/>
      </w:pPr>
      <w:r>
        <w:t>El proveedor deberá pagar las multas efectuadas antes del</w:t>
      </w:r>
      <w:r>
        <w:t xml:space="preserve"> proceso de facturación.</w:t>
      </w:r>
    </w:p>
    <w:p w:rsidR="00B56821" w:rsidRDefault="00B56821"/>
    <w:p w:rsidR="00B56821" w:rsidRDefault="00261E90">
      <w:pPr>
        <w:numPr>
          <w:ilvl w:val="0"/>
          <w:numId w:val="1"/>
        </w:numPr>
        <w:pBdr>
          <w:top w:val="nil"/>
          <w:left w:val="nil"/>
          <w:bottom w:val="nil"/>
          <w:right w:val="nil"/>
          <w:between w:val="nil"/>
        </w:pBdr>
        <w:ind w:hanging="10"/>
        <w:rPr>
          <w:rFonts w:ascii="Calibri" w:eastAsia="Calibri" w:hAnsi="Calibri" w:cs="Calibri"/>
          <w:b/>
          <w:bCs/>
          <w:color w:val="000000"/>
        </w:rPr>
      </w:pPr>
      <w:r>
        <w:rPr>
          <w:rFonts w:ascii="Calibri" w:eastAsia="Calibri" w:hAnsi="Calibri" w:cs="Calibri"/>
          <w:b/>
          <w:bCs/>
          <w:color w:val="000000"/>
        </w:rPr>
        <w:t xml:space="preserve">FINANCIAMIENTO Y PLAZO DE EJECUCIÓN </w:t>
      </w:r>
    </w:p>
    <w:p w:rsidR="00B56821" w:rsidRDefault="00B56821"/>
    <w:p w:rsidR="00B56821" w:rsidRDefault="00261E90">
      <w:pPr>
        <w:ind w:left="0"/>
      </w:pPr>
      <w:r>
        <w:t>Los fondos del proyecto provienen del “FONDO DEM”, con un monto máximo disponible de $ 600.000. La ejecución deberá realizarse máximo de 10 días.</w:t>
      </w:r>
    </w:p>
    <w:p w:rsidR="00B56821" w:rsidRDefault="00B56821"/>
    <w:p w:rsidR="00B56821" w:rsidRDefault="00261E90">
      <w:pPr>
        <w:numPr>
          <w:ilvl w:val="0"/>
          <w:numId w:val="1"/>
        </w:numPr>
        <w:pBdr>
          <w:top w:val="nil"/>
          <w:left w:val="nil"/>
          <w:bottom w:val="nil"/>
          <w:right w:val="nil"/>
          <w:between w:val="nil"/>
        </w:pBdr>
        <w:ind w:hanging="10"/>
        <w:rPr>
          <w:rFonts w:ascii="Calibri" w:eastAsia="Calibri" w:hAnsi="Calibri" w:cs="Calibri"/>
          <w:b/>
          <w:bCs/>
          <w:color w:val="000000"/>
        </w:rPr>
      </w:pPr>
      <w:r>
        <w:rPr>
          <w:rFonts w:ascii="Calibri" w:eastAsia="Calibri" w:hAnsi="Calibri" w:cs="Calibri"/>
          <w:b/>
          <w:bCs/>
        </w:rPr>
        <w:t>INSPECCIÓN</w:t>
      </w:r>
      <w:r>
        <w:rPr>
          <w:rFonts w:ascii="Calibri" w:eastAsia="Calibri" w:hAnsi="Calibri" w:cs="Calibri"/>
          <w:b/>
          <w:bCs/>
          <w:color w:val="000000"/>
        </w:rPr>
        <w:t xml:space="preserve"> DEL SERVICIO</w:t>
      </w:r>
    </w:p>
    <w:p w:rsidR="00B56821" w:rsidRDefault="00B56821"/>
    <w:p w:rsidR="00B56821" w:rsidRDefault="00261E90" w:rsidP="000D4C7E">
      <w:pPr>
        <w:ind w:left="0"/>
      </w:pPr>
      <w:r>
        <w:t>La inspección del se</w:t>
      </w:r>
      <w:r>
        <w:t>rvicio u compra corresponderá a la Unidad de Operación DEM, quien su jefatura (Encargado de Operaciones) designará al profesional responsable de fiscalizar el cumplimiento del servicio, basado en la información entregada en este presente documento.</w:t>
      </w:r>
      <w:bookmarkStart w:id="0" w:name="_GoBack"/>
      <w:bookmarkEnd w:id="0"/>
    </w:p>
    <w:p w:rsidR="00B56821" w:rsidRDefault="00B56821">
      <w:pPr>
        <w:ind w:firstLine="709"/>
        <w:jc w:val="center"/>
        <w:sectPr w:rsidR="00B56821">
          <w:headerReference w:type="default" r:id="rId8"/>
          <w:footerReference w:type="default" r:id="rId9"/>
          <w:headerReference w:type="first" r:id="rId10"/>
          <w:pgSz w:w="12240" w:h="15840"/>
          <w:pgMar w:top="1843" w:right="1133" w:bottom="1418" w:left="1701" w:header="227" w:footer="709" w:gutter="0"/>
          <w:pgNumType w:start="1"/>
          <w:cols w:space="720"/>
        </w:sectPr>
      </w:pPr>
    </w:p>
    <w:p w:rsidR="00B56821" w:rsidRDefault="00261E90">
      <w:pPr>
        <w:tabs>
          <w:tab w:val="left" w:pos="2880"/>
        </w:tabs>
        <w:ind w:left="0"/>
        <w:jc w:val="center"/>
        <w:rPr>
          <w:rFonts w:ascii="Calibri" w:eastAsia="Calibri" w:hAnsi="Calibri" w:cs="Calibri"/>
        </w:rPr>
      </w:pPr>
      <w:r>
        <w:rPr>
          <w:noProof/>
          <w:lang w:val="en-US"/>
        </w:rPr>
        <w:lastRenderedPageBreak/>
        <w:drawing>
          <wp:inline distT="0" distB="0" distL="0" distR="0">
            <wp:extent cx="2899340" cy="21426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899340" cy="2142671"/>
                    </a:xfrm>
                    <a:prstGeom prst="rect">
                      <a:avLst/>
                    </a:prstGeom>
                    <a:ln/>
                  </pic:spPr>
                </pic:pic>
              </a:graphicData>
            </a:graphic>
          </wp:inline>
        </w:drawing>
      </w:r>
    </w:p>
    <w:sectPr w:rsidR="00B56821">
      <w:type w:val="continuous"/>
      <w:pgSz w:w="12240" w:h="15840"/>
      <w:pgMar w:top="1843" w:right="1133"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1E90" w:rsidRDefault="00261E90">
      <w:r>
        <w:separator/>
      </w:r>
    </w:p>
  </w:endnote>
  <w:endnote w:type="continuationSeparator" w:id="0">
    <w:p w:rsidR="00261E90" w:rsidRDefault="00261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ABF989E5-3E55-4620-B36D-8FC0DDBA57BE}"/>
    <w:embedBold r:id="rId2" w:fontKey="{4E56C5C6-A69F-4B8D-A02A-816035797C34}"/>
    <w:embedBoldItalic r:id="rId3" w:fontKey="{718B9D06-8A90-4ABB-87A0-8F0418011302}"/>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538E7BDC-B062-46F5-B749-5D22B4B9EF00}"/>
  </w:font>
  <w:font w:name="Georgia">
    <w:panose1 w:val="02040502050405020303"/>
    <w:charset w:val="00"/>
    <w:family w:val="auto"/>
    <w:pitch w:val="default"/>
    <w:embedItalic r:id="rId5" w:fontKey="{5ADABA00-7533-42F5-8FA4-88603F995FA2}"/>
  </w:font>
  <w:font w:name="Calibri">
    <w:panose1 w:val="020F0502020204030204"/>
    <w:charset w:val="00"/>
    <w:family w:val="swiss"/>
    <w:pitch w:val="variable"/>
    <w:sig w:usb0="E4002EFF" w:usb1="C000247B" w:usb2="00000009" w:usb3="00000000" w:csb0="000001FF" w:csb1="00000000"/>
    <w:embedRegular r:id="rId6" w:fontKey="{58D5CBBF-7052-4B85-9118-DFA6B7D99E75}"/>
    <w:embedBold r:id="rId7" w:fontKey="{F367248D-E979-49B2-84CE-5479ECFBBAE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885C77D7-DD93-4990-B44E-47540712E12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821" w:rsidRDefault="00261E90">
    <w:pPr>
      <w:pBdr>
        <w:top w:val="nil"/>
        <w:left w:val="nil"/>
        <w:bottom w:val="nil"/>
        <w:right w:val="nil"/>
        <w:between w:val="nil"/>
      </w:pBdr>
      <w:tabs>
        <w:tab w:val="center" w:pos="4419"/>
        <w:tab w:val="right" w:pos="8838"/>
      </w:tabs>
      <w:ind w:firstLine="567"/>
      <w:jc w:val="right"/>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sidR="000D4C7E">
      <w:rPr>
        <w:rFonts w:ascii="Arial" w:eastAsia="Arial" w:hAnsi="Arial" w:cs="Arial"/>
        <w:color w:val="000000"/>
        <w:sz w:val="20"/>
        <w:szCs w:val="20"/>
      </w:rPr>
      <w:fldChar w:fldCharType="separate"/>
    </w:r>
    <w:r w:rsidR="000D4C7E">
      <w:rPr>
        <w:rFonts w:ascii="Arial" w:eastAsia="Arial" w:hAnsi="Arial" w:cs="Arial"/>
        <w:noProof/>
        <w:color w:val="000000"/>
        <w:sz w:val="20"/>
        <w:szCs w:val="20"/>
      </w:rPr>
      <w:t>1</w:t>
    </w:r>
    <w:r>
      <w:rPr>
        <w:rFonts w:ascii="Arial" w:eastAsia="Arial" w:hAnsi="Arial" w:cs="Arial"/>
        <w:color w:val="000000"/>
        <w:sz w:val="20"/>
        <w:szCs w:val="20"/>
      </w:rPr>
      <w:fldChar w:fldCharType="end"/>
    </w:r>
  </w:p>
  <w:p w:rsidR="00B56821" w:rsidRDefault="00B56821">
    <w:pPr>
      <w:pBdr>
        <w:top w:val="nil"/>
        <w:left w:val="nil"/>
        <w:bottom w:val="nil"/>
        <w:right w:val="nil"/>
        <w:between w:val="nil"/>
      </w:pBdr>
      <w:tabs>
        <w:tab w:val="center" w:pos="4419"/>
        <w:tab w:val="right" w:pos="8838"/>
      </w:tabs>
      <w:ind w:firstLine="567"/>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1E90" w:rsidRDefault="00261E90">
      <w:r>
        <w:separator/>
      </w:r>
    </w:p>
  </w:footnote>
  <w:footnote w:type="continuationSeparator" w:id="0">
    <w:p w:rsidR="00261E90" w:rsidRDefault="00261E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821" w:rsidRDefault="00B56821">
    <w:pPr>
      <w:widowControl w:val="0"/>
      <w:pBdr>
        <w:top w:val="nil"/>
        <w:left w:val="nil"/>
        <w:bottom w:val="nil"/>
        <w:right w:val="nil"/>
        <w:between w:val="nil"/>
      </w:pBdr>
      <w:spacing w:line="276" w:lineRule="auto"/>
      <w:ind w:left="0"/>
      <w:jc w:val="left"/>
      <w:rPr>
        <w:rFonts w:ascii="Calibri" w:eastAsia="Calibri" w:hAnsi="Calibri" w:cs="Calibri"/>
      </w:rPr>
    </w:pPr>
  </w:p>
  <w:tbl>
    <w:tblPr>
      <w:tblStyle w:val="a0"/>
      <w:tblW w:w="94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8"/>
      <w:gridCol w:w="8175"/>
    </w:tblGrid>
    <w:tr w:rsidR="00B56821">
      <w:trPr>
        <w:cantSplit/>
        <w:trHeight w:val="586"/>
        <w:jc w:val="center"/>
      </w:trPr>
      <w:tc>
        <w:tcPr>
          <w:tcW w:w="1288" w:type="dxa"/>
          <w:vMerge w:val="restart"/>
          <w:vAlign w:val="center"/>
        </w:tcPr>
        <w:p w:rsidR="00B56821" w:rsidRDefault="00261E90">
          <w:pPr>
            <w:pBdr>
              <w:top w:val="nil"/>
              <w:left w:val="nil"/>
              <w:bottom w:val="nil"/>
              <w:right w:val="nil"/>
              <w:between w:val="nil"/>
            </w:pBdr>
            <w:tabs>
              <w:tab w:val="center" w:pos="4419"/>
              <w:tab w:val="right" w:pos="8838"/>
            </w:tabs>
            <w:ind w:left="2" w:hanging="2"/>
            <w:rPr>
              <w:b/>
              <w:bCs/>
              <w:color w:val="000000"/>
              <w:sz w:val="20"/>
              <w:szCs w:val="20"/>
            </w:rPr>
          </w:pPr>
          <w:r>
            <w:rPr>
              <w:noProof/>
              <w:color w:val="000000"/>
              <w:lang w:val="en-US"/>
            </w:rPr>
            <w:drawing>
              <wp:inline distT="0" distB="0" distL="0" distR="0">
                <wp:extent cx="642796" cy="84445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42796" cy="844458"/>
                        </a:xfrm>
                        <a:prstGeom prst="rect">
                          <a:avLst/>
                        </a:prstGeom>
                        <a:ln/>
                      </pic:spPr>
                    </pic:pic>
                  </a:graphicData>
                </a:graphic>
              </wp:inline>
            </w:drawing>
          </w:r>
        </w:p>
      </w:tc>
      <w:tc>
        <w:tcPr>
          <w:tcW w:w="8175" w:type="dxa"/>
          <w:vMerge w:val="restart"/>
          <w:vAlign w:val="center"/>
        </w:tcPr>
        <w:p w:rsidR="00B56821" w:rsidRDefault="00261E90">
          <w:pPr>
            <w:pBdr>
              <w:top w:val="nil"/>
              <w:left w:val="nil"/>
              <w:bottom w:val="nil"/>
              <w:right w:val="nil"/>
              <w:between w:val="nil"/>
            </w:pBdr>
            <w:tabs>
              <w:tab w:val="center" w:pos="4419"/>
              <w:tab w:val="right" w:pos="8838"/>
            </w:tabs>
            <w:ind w:left="38"/>
            <w:jc w:val="center"/>
            <w:rPr>
              <w:color w:val="0070C0"/>
              <w:sz w:val="24"/>
              <w:szCs w:val="24"/>
            </w:rPr>
          </w:pPr>
          <w:r>
            <w:rPr>
              <w:color w:val="0070C0"/>
              <w:sz w:val="24"/>
              <w:szCs w:val="24"/>
            </w:rPr>
            <w:t>MUNICIPALIDAD DE HUECHURABA</w:t>
          </w:r>
        </w:p>
        <w:p w:rsidR="00B56821" w:rsidRDefault="00261E90">
          <w:pPr>
            <w:pBdr>
              <w:top w:val="nil"/>
              <w:left w:val="nil"/>
              <w:bottom w:val="nil"/>
              <w:right w:val="nil"/>
              <w:between w:val="nil"/>
            </w:pBdr>
            <w:tabs>
              <w:tab w:val="center" w:pos="4419"/>
              <w:tab w:val="right" w:pos="8838"/>
            </w:tabs>
            <w:ind w:left="38"/>
            <w:jc w:val="center"/>
            <w:rPr>
              <w:color w:val="0070C0"/>
              <w:sz w:val="24"/>
              <w:szCs w:val="24"/>
            </w:rPr>
          </w:pPr>
          <w:r>
            <w:rPr>
              <w:color w:val="0070C0"/>
              <w:sz w:val="24"/>
              <w:szCs w:val="24"/>
            </w:rPr>
            <w:t>DEPARTAMENTO DE EDUCACIÓN</w:t>
          </w:r>
        </w:p>
      </w:tc>
    </w:tr>
    <w:tr w:rsidR="00B56821">
      <w:trPr>
        <w:cantSplit/>
        <w:trHeight w:val="762"/>
        <w:jc w:val="center"/>
      </w:trPr>
      <w:tc>
        <w:tcPr>
          <w:tcW w:w="1288" w:type="dxa"/>
          <w:vMerge/>
          <w:vAlign w:val="center"/>
        </w:tcPr>
        <w:p w:rsidR="00B56821" w:rsidRDefault="00B56821">
          <w:pPr>
            <w:widowControl w:val="0"/>
            <w:pBdr>
              <w:top w:val="nil"/>
              <w:left w:val="nil"/>
              <w:bottom w:val="nil"/>
              <w:right w:val="nil"/>
              <w:between w:val="nil"/>
            </w:pBdr>
            <w:spacing w:line="276" w:lineRule="auto"/>
            <w:ind w:left="0"/>
            <w:jc w:val="left"/>
            <w:rPr>
              <w:color w:val="0070C0"/>
              <w:sz w:val="24"/>
              <w:szCs w:val="24"/>
            </w:rPr>
          </w:pPr>
        </w:p>
      </w:tc>
      <w:tc>
        <w:tcPr>
          <w:tcW w:w="8175" w:type="dxa"/>
          <w:vMerge/>
          <w:vAlign w:val="center"/>
        </w:tcPr>
        <w:p w:rsidR="00B56821" w:rsidRDefault="00B56821">
          <w:pPr>
            <w:widowControl w:val="0"/>
            <w:pBdr>
              <w:top w:val="nil"/>
              <w:left w:val="nil"/>
              <w:bottom w:val="nil"/>
              <w:right w:val="nil"/>
              <w:between w:val="nil"/>
            </w:pBdr>
            <w:spacing w:line="276" w:lineRule="auto"/>
            <w:ind w:left="0"/>
            <w:jc w:val="left"/>
            <w:rPr>
              <w:color w:val="0070C0"/>
              <w:sz w:val="24"/>
              <w:szCs w:val="24"/>
            </w:rPr>
          </w:pPr>
        </w:p>
      </w:tc>
    </w:tr>
  </w:tbl>
  <w:p w:rsidR="00B56821" w:rsidRDefault="00B56821">
    <w:pPr>
      <w:ind w:left="1416" w:firstLine="1416"/>
      <w:jc w:val="right"/>
      <w:rPr>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6821" w:rsidRDefault="00261E90">
    <w:pPr>
      <w:pBdr>
        <w:top w:val="nil"/>
        <w:left w:val="nil"/>
        <w:bottom w:val="nil"/>
        <w:right w:val="nil"/>
        <w:between w:val="nil"/>
      </w:pBdr>
      <w:tabs>
        <w:tab w:val="center" w:pos="4419"/>
        <w:tab w:val="right" w:pos="8838"/>
      </w:tabs>
      <w:ind w:firstLine="567"/>
      <w:rPr>
        <w:rFonts w:ascii="Arial" w:eastAsia="Arial" w:hAnsi="Arial" w:cs="Arial"/>
        <w:b/>
        <w:bCs/>
        <w:color w:val="984806"/>
      </w:rPr>
    </w:pPr>
    <w:r>
      <w:rPr>
        <w:rFonts w:ascii="Arial" w:eastAsia="Arial" w:hAnsi="Arial" w:cs="Arial"/>
        <w:b/>
        <w:bCs/>
        <w:color w:val="984806"/>
      </w:rPr>
      <w:t>MUNICIPALIDAD DE HUECHURABA</w:t>
    </w:r>
    <w:r>
      <w:rPr>
        <w:noProof/>
        <w:lang w:val="en-US"/>
      </w:rPr>
      <w:drawing>
        <wp:anchor distT="0" distB="0" distL="114300" distR="114300" simplePos="0" relativeHeight="251658240" behindDoc="0" locked="0" layoutInCell="1" hidden="0" allowOverlap="1">
          <wp:simplePos x="0" y="0"/>
          <wp:positionH relativeFrom="column">
            <wp:posOffset>-318133</wp:posOffset>
          </wp:positionH>
          <wp:positionV relativeFrom="paragraph">
            <wp:posOffset>-173352</wp:posOffset>
          </wp:positionV>
          <wp:extent cx="781050" cy="1186180"/>
          <wp:effectExtent l="0" t="0" r="0" b="0"/>
          <wp:wrapSquare wrapText="bothSides" distT="0" distB="0" distL="114300" distR="114300"/>
          <wp:docPr id="3" name="image3.jpg" descr="logo nuevo (2).JPG"/>
          <wp:cNvGraphicFramePr/>
          <a:graphic xmlns:a="http://schemas.openxmlformats.org/drawingml/2006/main">
            <a:graphicData uri="http://schemas.openxmlformats.org/drawingml/2006/picture">
              <pic:pic xmlns:pic="http://schemas.openxmlformats.org/drawingml/2006/picture">
                <pic:nvPicPr>
                  <pic:cNvPr id="0" name="image3.jpg" descr="logo nuevo (2).JPG"/>
                  <pic:cNvPicPr preferRelativeResize="0"/>
                </pic:nvPicPr>
                <pic:blipFill>
                  <a:blip r:embed="rId1"/>
                  <a:srcRect/>
                  <a:stretch>
                    <a:fillRect/>
                  </a:stretch>
                </pic:blipFill>
                <pic:spPr>
                  <a:xfrm>
                    <a:off x="0" y="0"/>
                    <a:ext cx="781050" cy="1186180"/>
                  </a:xfrm>
                  <a:prstGeom prst="rect">
                    <a:avLst/>
                  </a:prstGeom>
                  <a:ln/>
                </pic:spPr>
              </pic:pic>
            </a:graphicData>
          </a:graphic>
        </wp:anchor>
      </w:drawing>
    </w:r>
  </w:p>
  <w:p w:rsidR="00B56821" w:rsidRDefault="00261E90">
    <w:pPr>
      <w:pBdr>
        <w:top w:val="nil"/>
        <w:left w:val="nil"/>
        <w:bottom w:val="nil"/>
        <w:right w:val="nil"/>
        <w:between w:val="nil"/>
      </w:pBdr>
      <w:tabs>
        <w:tab w:val="center" w:pos="4419"/>
        <w:tab w:val="right" w:pos="8838"/>
      </w:tabs>
      <w:ind w:firstLine="567"/>
      <w:rPr>
        <w:rFonts w:ascii="Arial" w:eastAsia="Arial" w:hAnsi="Arial" w:cs="Arial"/>
        <w:b/>
        <w:bCs/>
        <w:color w:val="984806"/>
        <w:sz w:val="20"/>
        <w:szCs w:val="20"/>
      </w:rPr>
    </w:pPr>
    <w:r>
      <w:rPr>
        <w:rFonts w:ascii="Arial" w:eastAsia="Arial" w:hAnsi="Arial" w:cs="Arial"/>
        <w:b/>
        <w:bCs/>
        <w:color w:val="984806"/>
        <w:sz w:val="20"/>
        <w:szCs w:val="20"/>
      </w:rPr>
      <w:t>DEPARTAMENTO DE EDUCACIÓN</w:t>
    </w:r>
  </w:p>
  <w:p w:rsidR="00B56821" w:rsidRDefault="00B56821">
    <w:pPr>
      <w:pBdr>
        <w:top w:val="nil"/>
        <w:left w:val="nil"/>
        <w:bottom w:val="nil"/>
        <w:right w:val="nil"/>
        <w:between w:val="nil"/>
      </w:pBdr>
      <w:tabs>
        <w:tab w:val="center" w:pos="4419"/>
        <w:tab w:val="right" w:pos="8838"/>
      </w:tabs>
      <w:ind w:left="0"/>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66AB4"/>
    <w:multiLevelType w:val="multilevel"/>
    <w:tmpl w:val="A0CE906A"/>
    <w:lvl w:ilvl="0">
      <w:start w:val="1"/>
      <w:numFmt w:val="upperRoman"/>
      <w:lvlText w:val="%1."/>
      <w:lvlJc w:val="left"/>
      <w:pPr>
        <w:ind w:left="436" w:hanging="720"/>
      </w:pPr>
      <w:rPr>
        <w:b/>
        <w:bCs/>
      </w:rPr>
    </w:lvl>
    <w:lvl w:ilvl="1">
      <w:start w:val="1"/>
      <w:numFmt w:val="lowerLetter"/>
      <w:lvlText w:val="%2."/>
      <w:lvlJc w:val="left"/>
      <w:pPr>
        <w:ind w:left="796" w:hanging="360"/>
      </w:pPr>
    </w:lvl>
    <w:lvl w:ilvl="2">
      <w:start w:val="1"/>
      <w:numFmt w:val="lowerRoman"/>
      <w:lvlText w:val="%3."/>
      <w:lvlJc w:val="right"/>
      <w:pPr>
        <w:ind w:left="1516" w:hanging="180"/>
      </w:pPr>
    </w:lvl>
    <w:lvl w:ilvl="3">
      <w:start w:val="1"/>
      <w:numFmt w:val="decimal"/>
      <w:lvlText w:val="%4."/>
      <w:lvlJc w:val="left"/>
      <w:pPr>
        <w:ind w:left="2236" w:hanging="360"/>
      </w:pPr>
    </w:lvl>
    <w:lvl w:ilvl="4">
      <w:start w:val="1"/>
      <w:numFmt w:val="lowerLetter"/>
      <w:lvlText w:val="%5."/>
      <w:lvlJc w:val="left"/>
      <w:pPr>
        <w:ind w:left="2956" w:hanging="360"/>
      </w:pPr>
    </w:lvl>
    <w:lvl w:ilvl="5">
      <w:start w:val="1"/>
      <w:numFmt w:val="lowerRoman"/>
      <w:lvlText w:val="%6."/>
      <w:lvlJc w:val="right"/>
      <w:pPr>
        <w:ind w:left="3676" w:hanging="180"/>
      </w:pPr>
    </w:lvl>
    <w:lvl w:ilvl="6">
      <w:start w:val="1"/>
      <w:numFmt w:val="decimal"/>
      <w:lvlText w:val="%7."/>
      <w:lvlJc w:val="left"/>
      <w:pPr>
        <w:ind w:left="4396" w:hanging="360"/>
      </w:pPr>
    </w:lvl>
    <w:lvl w:ilvl="7">
      <w:start w:val="1"/>
      <w:numFmt w:val="lowerLetter"/>
      <w:lvlText w:val="%8."/>
      <w:lvlJc w:val="left"/>
      <w:pPr>
        <w:ind w:left="5116" w:hanging="360"/>
      </w:pPr>
    </w:lvl>
    <w:lvl w:ilvl="8">
      <w:start w:val="1"/>
      <w:numFmt w:val="lowerRoman"/>
      <w:lvlText w:val="%9."/>
      <w:lvlJc w:val="right"/>
      <w:pPr>
        <w:ind w:left="5836" w:hanging="180"/>
      </w:pPr>
    </w:lvl>
  </w:abstractNum>
  <w:abstractNum w:abstractNumId="1" w15:restartNumberingAfterBreak="0">
    <w:nsid w:val="5559004C"/>
    <w:multiLevelType w:val="multilevel"/>
    <w:tmpl w:val="35264FE0"/>
    <w:lvl w:ilvl="0">
      <w:numFmt w:val="bullet"/>
      <w:lvlText w:val="-"/>
      <w:lvlJc w:val="left"/>
      <w:pPr>
        <w:ind w:left="1494" w:hanging="360"/>
      </w:pPr>
      <w:rPr>
        <w:rFonts w:ascii="Arial Narrow" w:eastAsia="Arial Narrow" w:hAnsi="Arial Narrow" w:cs="Arial Narro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821"/>
    <w:rsid w:val="000D4C7E"/>
    <w:rsid w:val="00261E90"/>
    <w:rsid w:val="00B56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6DA0"/>
  <w15:docId w15:val="{8DF7086E-45C0-4085-ABC0-607C3D5F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Arial Narrow" w:hAnsi="Arial Narrow" w:cs="Arial Narrow"/>
        <w:sz w:val="22"/>
        <w:szCs w:val="22"/>
        <w:lang w:val="es" w:eastAsia="en-US" w:bidi="ar-SA"/>
      </w:rPr>
    </w:rPrDefault>
    <w:pPrDefault>
      <w:pPr>
        <w:ind w:left="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IXdL60iLNuKb/8FV5jdMzRN8Q==">CgMxLjA4AHIhMUNUdDFtU1JZQkEyTU5Ucy11Sng0R0NNZElCa3pLUlFm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1076</Words>
  <Characters>6135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Karina González Santiago</dc:creator>
  <cp:lastModifiedBy>Karina González Santiago</cp:lastModifiedBy>
  <cp:revision>2</cp:revision>
  <dcterms:created xsi:type="dcterms:W3CDTF">2026-06-26T21:02:00Z</dcterms:created>
  <dcterms:modified xsi:type="dcterms:W3CDTF">2026-06-26T21:02:00Z</dcterms:modified>
</cp:coreProperties>
</file>