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620"/>
        <w:tblW w:w="88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197"/>
        <w:gridCol w:w="6637"/>
      </w:tblGrid>
      <w:tr w:rsidR="009327EC" w:rsidRPr="009327EC" w14:paraId="0E60F383" w14:textId="77777777" w:rsidTr="009327EC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C97C0" w14:textId="77777777" w:rsidR="009327EC" w:rsidRPr="009327EC" w:rsidRDefault="009327EC" w:rsidP="009327EC">
            <w:pPr>
              <w:spacing w:after="0" w:line="240" w:lineRule="auto"/>
              <w:jc w:val="center"/>
              <w:rPr>
                <w:rFonts w:ascii="Aptos" w:eastAsia="Times New Roman" w:hAnsi="Aptos" w:cs="Arial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327EC">
              <w:rPr>
                <w:rFonts w:ascii="Aptos" w:eastAsia="Times New Roman" w:hAnsi="Aptos" w:cs="Arial"/>
                <w:kern w:val="0"/>
                <w:sz w:val="24"/>
                <w:szCs w:val="24"/>
                <w:lang w:eastAsia="es-CL"/>
                <w14:ligatures w14:val="none"/>
              </w:rPr>
              <w:t>1120004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6745F" w14:textId="77777777" w:rsidR="009327EC" w:rsidRPr="009327EC" w:rsidRDefault="009327EC" w:rsidP="009327EC">
            <w:pPr>
              <w:spacing w:after="0" w:line="240" w:lineRule="auto"/>
              <w:rPr>
                <w:rFonts w:ascii="Aptos" w:eastAsia="Times New Roman" w:hAnsi="Aptos" w:cs="Arial"/>
                <w:kern w:val="0"/>
                <w:sz w:val="24"/>
                <w:szCs w:val="24"/>
                <w:lang w:eastAsia="es-CL"/>
                <w14:ligatures w14:val="none"/>
              </w:rPr>
            </w:pPr>
            <w:r w:rsidRPr="009327EC">
              <w:rPr>
                <w:rFonts w:ascii="Aptos" w:eastAsia="Times New Roman" w:hAnsi="Aptos" w:cs="Arial"/>
                <w:kern w:val="0"/>
                <w:sz w:val="24"/>
                <w:szCs w:val="24"/>
                <w:lang w:eastAsia="es-CL"/>
                <w14:ligatures w14:val="none"/>
              </w:rPr>
              <w:t>CABLE PUNTA CAIMAN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B2F42" w14:textId="77777777" w:rsidR="009327EC" w:rsidRPr="009327EC" w:rsidRDefault="009327EC" w:rsidP="009327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327EC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CABLE PUNTA CAIMAN REUTILIZABLE, TOLERA 10 REESTERILIZACIONES.</w:t>
            </w:r>
            <w:r w:rsidRPr="009327EC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br/>
              <w:t>DISEÑADO PARA PROPORCIONAR UNA CONEXIÓN ENTRE EL GENERADOR DE IMPULSOS EXTERNOS O EL ANALIZADOR DEL SISTEMA DE MARCAPASOS Y LOS CATETERES DE MARACAPASOS O LOS CABLES DE LOS MARCAPASOS PERMANENTES DURANTE LA PRUEBA DE UMBRAL.</w:t>
            </w:r>
            <w:r w:rsidRPr="009327EC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br/>
              <w:t>LARGO UTIL DESDE 8 PIES (2,4 METROS).</w:t>
            </w:r>
            <w:r w:rsidRPr="009327EC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br/>
              <w:t>CABLES DE CONECTOR DE PINES DESCUBIERTOS/EXPUESTO POR UN LADO Y POR EL OTRO CON CLAVIJAS TIPO CAIMAN.</w:t>
            </w:r>
          </w:p>
        </w:tc>
      </w:tr>
    </w:tbl>
    <w:p w14:paraId="69BA7972" w14:textId="44965E66" w:rsidR="0088045D" w:rsidRDefault="009327EC">
      <w:r>
        <w:t>CÓDIGO 1120004</w:t>
      </w:r>
    </w:p>
    <w:sectPr w:rsidR="008804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EC"/>
    <w:rsid w:val="0004265E"/>
    <w:rsid w:val="000F0763"/>
    <w:rsid w:val="0088045D"/>
    <w:rsid w:val="009327EC"/>
    <w:rsid w:val="00AA0B8F"/>
    <w:rsid w:val="00BE3A2B"/>
    <w:rsid w:val="00C70D79"/>
    <w:rsid w:val="00DC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1617B"/>
  <w15:chartTrackingRefBased/>
  <w15:docId w15:val="{2B0831D4-70F1-444B-9592-E89D8D637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2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2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2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2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7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7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7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7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7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7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2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7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27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7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7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27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399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Morales Ávalos</dc:creator>
  <cp:keywords/>
  <dc:description/>
  <cp:lastModifiedBy>Vanessa Morales Ávalos</cp:lastModifiedBy>
  <cp:revision>1</cp:revision>
  <dcterms:created xsi:type="dcterms:W3CDTF">2026-06-26T20:45:00Z</dcterms:created>
  <dcterms:modified xsi:type="dcterms:W3CDTF">2026-06-26T20:46:00Z</dcterms:modified>
</cp:coreProperties>
</file>