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0722" w14:textId="77777777" w:rsidR="00F31F63" w:rsidRPr="00DD3A47" w:rsidRDefault="00F31F63" w:rsidP="00F31F63">
      <w:pPr>
        <w:spacing w:before="200" w:after="0" w:line="240" w:lineRule="auto"/>
        <w:rPr>
          <w:rFonts w:cstheme="minorHAnsi"/>
          <w:sz w:val="18"/>
          <w:szCs w:val="18"/>
          <w:lang w:val="es-MX"/>
        </w:rPr>
      </w:pPr>
      <w:bookmarkStart w:id="0" w:name="_Hlk4188607"/>
      <w:bookmarkStart w:id="1" w:name="_Hlk179885344"/>
      <w:r w:rsidRPr="00DD3A47">
        <w:rPr>
          <w:rFonts w:cstheme="minorHAnsi"/>
          <w:noProof/>
          <w:sz w:val="18"/>
          <w:szCs w:val="18"/>
          <w:lang w:val="es-MX"/>
        </w:rPr>
        <w:drawing>
          <wp:anchor distT="0" distB="0" distL="114300" distR="114300" simplePos="0" relativeHeight="251659264" behindDoc="1" locked="0" layoutInCell="1" allowOverlap="1" wp14:anchorId="25664A00" wp14:editId="6031A56F">
            <wp:simplePos x="0" y="0"/>
            <wp:positionH relativeFrom="column">
              <wp:posOffset>-76200</wp:posOffset>
            </wp:positionH>
            <wp:positionV relativeFrom="paragraph">
              <wp:posOffset>-476843</wp:posOffset>
            </wp:positionV>
            <wp:extent cx="1637135" cy="657225"/>
            <wp:effectExtent l="0" t="0" r="1270" b="0"/>
            <wp:wrapNone/>
            <wp:docPr id="18341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041" name="Imagen 1834130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7135" cy="657225"/>
                    </a:xfrm>
                    <a:prstGeom prst="rect">
                      <a:avLst/>
                    </a:prstGeom>
                  </pic:spPr>
                </pic:pic>
              </a:graphicData>
            </a:graphic>
            <wp14:sizeRelH relativeFrom="margin">
              <wp14:pctWidth>0</wp14:pctWidth>
            </wp14:sizeRelH>
            <wp14:sizeRelV relativeFrom="margin">
              <wp14:pctHeight>0</wp14:pctHeight>
            </wp14:sizeRelV>
          </wp:anchor>
        </w:drawing>
      </w:r>
      <w:r w:rsidRPr="00DD3A47">
        <w:rPr>
          <w:rFonts w:cstheme="minorHAnsi"/>
          <w:b/>
          <w:sz w:val="18"/>
          <w:szCs w:val="18"/>
          <w:u w:val="single"/>
          <w:lang w:val="es-MX"/>
        </w:rPr>
        <w:t>I. MUNICIPALIDAD DE PEÑAFLOR</w:t>
      </w:r>
    </w:p>
    <w:p w14:paraId="558B625E" w14:textId="77777777" w:rsidR="00F31F63" w:rsidRPr="00DD3A47" w:rsidRDefault="00F31F63" w:rsidP="00F31F63">
      <w:pPr>
        <w:spacing w:after="0" w:line="240" w:lineRule="auto"/>
        <w:jc w:val="both"/>
        <w:rPr>
          <w:rFonts w:cstheme="minorHAnsi"/>
          <w:sz w:val="18"/>
          <w:szCs w:val="18"/>
          <w:lang w:val="es-MX"/>
        </w:rPr>
      </w:pPr>
      <w:r w:rsidRPr="00DD3A47">
        <w:rPr>
          <w:rFonts w:cstheme="minorHAnsi"/>
          <w:sz w:val="18"/>
          <w:szCs w:val="18"/>
          <w:lang w:val="es-MX"/>
        </w:rPr>
        <w:t>DIRECCION DE ADM. Y FINANZAS</w:t>
      </w:r>
    </w:p>
    <w:p w14:paraId="5F4980C5" w14:textId="77777777" w:rsidR="00F31F63" w:rsidRPr="00DD3A47" w:rsidRDefault="00F31F63" w:rsidP="00F31F63">
      <w:pPr>
        <w:spacing w:after="0" w:line="240" w:lineRule="auto"/>
        <w:jc w:val="both"/>
        <w:rPr>
          <w:rFonts w:cstheme="minorHAnsi"/>
          <w:sz w:val="18"/>
          <w:szCs w:val="18"/>
          <w:lang w:val="es-MX"/>
        </w:rPr>
      </w:pPr>
      <w:r w:rsidRPr="00DD3A47">
        <w:rPr>
          <w:rFonts w:cstheme="minorHAnsi"/>
          <w:sz w:val="18"/>
          <w:szCs w:val="18"/>
          <w:lang w:val="es-MX"/>
        </w:rPr>
        <w:t xml:space="preserve">    DEPTO. DE ADQUISICIONES</w:t>
      </w:r>
    </w:p>
    <w:p w14:paraId="21DDF07E" w14:textId="77777777" w:rsidR="00F31F63" w:rsidRPr="00DD4C45" w:rsidRDefault="00F31F63" w:rsidP="00F31F63">
      <w:pPr>
        <w:spacing w:before="120" w:after="0" w:line="240" w:lineRule="auto"/>
        <w:jc w:val="center"/>
        <w:rPr>
          <w:rFonts w:eastAsia="Calibri" w:cstheme="minorHAnsi"/>
          <w:b/>
          <w:u w:val="single"/>
          <w:lang w:val="es-MX"/>
        </w:rPr>
      </w:pPr>
    </w:p>
    <w:p w14:paraId="6284A6A9" w14:textId="7CC60623" w:rsidR="00F31F63" w:rsidRPr="00F31F63" w:rsidRDefault="00F31F63" w:rsidP="00CF28B2">
      <w:pPr>
        <w:spacing w:before="120" w:after="0" w:line="240" w:lineRule="auto"/>
        <w:jc w:val="center"/>
        <w:rPr>
          <w:rFonts w:eastAsia="Calibri" w:cstheme="minorHAnsi"/>
          <w:b/>
          <w:u w:val="single"/>
          <w:lang w:val="es-MX"/>
        </w:rPr>
      </w:pPr>
      <w:r w:rsidRPr="00DD4C45">
        <w:rPr>
          <w:rFonts w:eastAsia="Calibri" w:cstheme="minorHAnsi"/>
          <w:b/>
          <w:u w:val="single"/>
          <w:lang w:val="es-MX"/>
        </w:rPr>
        <w:t xml:space="preserve">ANEXO N°1: </w:t>
      </w:r>
      <w:r w:rsidRPr="00F31F63">
        <w:rPr>
          <w:rFonts w:eastAsia="Calibri" w:cstheme="minorHAnsi"/>
          <w:b/>
          <w:u w:val="single"/>
          <w:lang w:val="es-MX"/>
        </w:rPr>
        <w:t>SERVICIO DE INFRAESTRUCTURA TECNOLÓGICA, HOSTING ADMINISTRADO Y DATACENTER MUNICIPAL</w:t>
      </w:r>
    </w:p>
    <w:p w14:paraId="28470C9A" w14:textId="77777777" w:rsidR="00F31F63" w:rsidRPr="00DD4C45" w:rsidRDefault="00F31F63" w:rsidP="00F31F63">
      <w:pPr>
        <w:spacing w:before="160" w:after="0" w:line="240" w:lineRule="auto"/>
        <w:jc w:val="center"/>
        <w:rPr>
          <w:rFonts w:eastAsia="Calibri" w:cstheme="minorHAnsi"/>
          <w:b/>
          <w:lang w:val="es-MX"/>
        </w:rPr>
      </w:pPr>
      <w:r w:rsidRPr="00DD4C45">
        <w:rPr>
          <w:rFonts w:eastAsia="Calibri" w:cstheme="minorHAnsi"/>
          <w:b/>
          <w:lang w:val="es-MX"/>
        </w:rPr>
        <w:t>SOLICITUD DE COTIZACIÓN PARA CONTRATACIÓN Y/O ADQUISICIÓN DE BIENES Y/O SERVICIOS</w:t>
      </w:r>
    </w:p>
    <w:p w14:paraId="48BB46DD" w14:textId="77777777" w:rsidR="00F31F63" w:rsidRPr="00DD4C45" w:rsidRDefault="00F31F63" w:rsidP="00F31F63">
      <w:pPr>
        <w:spacing w:before="40" w:after="0" w:line="240" w:lineRule="auto"/>
        <w:jc w:val="center"/>
        <w:rPr>
          <w:rFonts w:eastAsia="Calibri" w:cstheme="minorHAnsi"/>
          <w:b/>
          <w:lang w:val="es-MX"/>
        </w:rPr>
      </w:pPr>
      <w:r w:rsidRPr="00DD4C45">
        <w:rPr>
          <w:rFonts w:eastAsia="Calibri" w:cstheme="minorHAnsi"/>
          <w:b/>
          <w:lang w:val="es-MX"/>
        </w:rPr>
        <w:t xml:space="preserve">BAJO LA MODALIDAD DE COMPRA ÁGIL </w:t>
      </w:r>
    </w:p>
    <w:p w14:paraId="539A5ABC" w14:textId="77777777" w:rsidR="00F31F63" w:rsidRPr="00DD4C45" w:rsidRDefault="00F31F63" w:rsidP="00F31F63">
      <w:pPr>
        <w:spacing w:before="120" w:after="0" w:line="240" w:lineRule="auto"/>
        <w:rPr>
          <w:rFonts w:eastAsia="Calibri" w:cstheme="minorHAnsi"/>
        </w:rPr>
      </w:pPr>
    </w:p>
    <w:p w14:paraId="6397BEF4" w14:textId="77777777" w:rsidR="00F31F63" w:rsidRPr="00DD4C45" w:rsidRDefault="00F31F63" w:rsidP="00F31F63">
      <w:pPr>
        <w:numPr>
          <w:ilvl w:val="0"/>
          <w:numId w:val="1"/>
        </w:numPr>
        <w:tabs>
          <w:tab w:val="left" w:pos="426"/>
        </w:tabs>
        <w:spacing w:after="0" w:line="240" w:lineRule="auto"/>
        <w:ind w:left="426" w:hanging="426"/>
        <w:contextualSpacing/>
        <w:rPr>
          <w:rFonts w:eastAsia="Calibri" w:cstheme="minorHAnsi"/>
          <w:b/>
        </w:rPr>
      </w:pPr>
      <w:r w:rsidRPr="00DD4C45">
        <w:rPr>
          <w:rFonts w:eastAsia="Calibri" w:cstheme="minorHAnsi"/>
          <w:b/>
        </w:rPr>
        <w:t>IDENTIFICACIÓN DEL PROVEEDOR:</w:t>
      </w:r>
    </w:p>
    <w:p w14:paraId="4F857C9E" w14:textId="77777777" w:rsidR="00F31F63" w:rsidRPr="00DD4C45" w:rsidRDefault="00F31F63" w:rsidP="00F31F63">
      <w:pPr>
        <w:spacing w:after="0" w:line="240" w:lineRule="auto"/>
        <w:rPr>
          <w:rFonts w:eastAsia="Calibri" w:cstheme="minorHAnsi"/>
        </w:rPr>
      </w:pPr>
    </w:p>
    <w:tbl>
      <w:tblPr>
        <w:tblW w:w="98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1682"/>
        <w:gridCol w:w="1033"/>
        <w:gridCol w:w="2049"/>
        <w:gridCol w:w="1360"/>
        <w:gridCol w:w="1870"/>
      </w:tblGrid>
      <w:tr w:rsidR="00F31F63" w:rsidRPr="00DD4C45" w14:paraId="79CFC1B7" w14:textId="77777777" w:rsidTr="00DC7E8B">
        <w:trPr>
          <w:trHeight w:val="340"/>
        </w:trPr>
        <w:tc>
          <w:tcPr>
            <w:tcW w:w="184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F0A9B67" w14:textId="77777777" w:rsidR="00F31F63" w:rsidRPr="00DD4C45" w:rsidRDefault="00F31F63" w:rsidP="00DC7E8B">
            <w:pPr>
              <w:spacing w:after="0" w:line="240" w:lineRule="auto"/>
              <w:rPr>
                <w:rFonts w:eastAsia="Calibri" w:cstheme="minorHAnsi"/>
                <w:b/>
              </w:rPr>
            </w:pPr>
            <w:r w:rsidRPr="00DD4C45">
              <w:rPr>
                <w:rFonts w:eastAsia="Calibri" w:cstheme="minorHAnsi"/>
                <w:b/>
              </w:rPr>
              <w:t>RAZÓN SOCIAL</w:t>
            </w:r>
          </w:p>
        </w:tc>
        <w:tc>
          <w:tcPr>
            <w:tcW w:w="4764"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4F8AEBC" w14:textId="77777777" w:rsidR="00F31F63" w:rsidRPr="00DD4C45" w:rsidRDefault="00F31F63" w:rsidP="00DC7E8B">
            <w:pPr>
              <w:spacing w:after="0" w:line="240" w:lineRule="auto"/>
              <w:rPr>
                <w:rFonts w:eastAsia="Calibri" w:cstheme="minorHAnsi"/>
              </w:rPr>
            </w:pPr>
          </w:p>
        </w:tc>
        <w:tc>
          <w:tcPr>
            <w:tcW w:w="136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5446DA" w14:textId="77777777" w:rsidR="00F31F63" w:rsidRPr="00DD4C45" w:rsidRDefault="00F31F63" w:rsidP="00DC7E8B">
            <w:pPr>
              <w:spacing w:after="0" w:line="240" w:lineRule="auto"/>
              <w:rPr>
                <w:rFonts w:eastAsia="Calibri" w:cstheme="minorHAnsi"/>
                <w:b/>
              </w:rPr>
            </w:pPr>
            <w:r w:rsidRPr="00DD4C45">
              <w:rPr>
                <w:rFonts w:eastAsia="Calibri" w:cstheme="minorHAnsi"/>
                <w:b/>
              </w:rPr>
              <w:t>RUT</w:t>
            </w:r>
          </w:p>
        </w:tc>
        <w:tc>
          <w:tcPr>
            <w:tcW w:w="187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32EE9E5" w14:textId="77777777" w:rsidR="00F31F63" w:rsidRPr="00DD4C45" w:rsidRDefault="00F31F63" w:rsidP="00DC7E8B">
            <w:pPr>
              <w:spacing w:after="0" w:line="240" w:lineRule="auto"/>
              <w:rPr>
                <w:rFonts w:eastAsia="Calibri" w:cstheme="minorHAnsi"/>
              </w:rPr>
            </w:pPr>
          </w:p>
        </w:tc>
      </w:tr>
      <w:tr w:rsidR="00F31F63" w:rsidRPr="00DD4C45" w14:paraId="2BFB914D" w14:textId="77777777" w:rsidTr="00DC7E8B">
        <w:trPr>
          <w:trHeight w:val="340"/>
        </w:trPr>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2478D48" w14:textId="77777777" w:rsidR="00F31F63" w:rsidRPr="00DD4C45" w:rsidRDefault="00F31F63" w:rsidP="00DC7E8B">
            <w:pPr>
              <w:spacing w:after="0" w:line="240" w:lineRule="auto"/>
              <w:rPr>
                <w:rFonts w:eastAsia="Calibri" w:cstheme="minorHAnsi"/>
                <w:b/>
              </w:rPr>
            </w:pPr>
            <w:r w:rsidRPr="00DD4C45">
              <w:rPr>
                <w:rFonts w:eastAsia="Calibri" w:cstheme="minorHAnsi"/>
                <w:b/>
              </w:rPr>
              <w:t>DOMICILIO</w:t>
            </w:r>
          </w:p>
        </w:tc>
        <w:tc>
          <w:tcPr>
            <w:tcW w:w="476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E03CA1C" w14:textId="77777777" w:rsidR="00F31F63" w:rsidRPr="00DD4C45" w:rsidRDefault="00F31F63" w:rsidP="00DC7E8B">
            <w:pPr>
              <w:spacing w:after="0" w:line="240" w:lineRule="auto"/>
              <w:rPr>
                <w:rFonts w:eastAsia="Calibri" w:cstheme="minorHAnsi"/>
              </w:rPr>
            </w:pPr>
          </w:p>
        </w:tc>
        <w:tc>
          <w:tcPr>
            <w:tcW w:w="1360" w:type="dxa"/>
            <w:tcBorders>
              <w:top w:val="single" w:sz="4" w:space="0" w:color="auto"/>
              <w:left w:val="single" w:sz="4" w:space="0" w:color="auto"/>
              <w:bottom w:val="single" w:sz="4" w:space="0" w:color="auto"/>
              <w:right w:val="single" w:sz="4" w:space="0" w:color="auto"/>
            </w:tcBorders>
            <w:shd w:val="clear" w:color="auto" w:fill="FFFFFF"/>
            <w:vAlign w:val="center"/>
          </w:tcPr>
          <w:p w14:paraId="726D94E5" w14:textId="77777777" w:rsidR="00F31F63" w:rsidRPr="00DD4C45" w:rsidRDefault="00F31F63" w:rsidP="00DC7E8B">
            <w:pPr>
              <w:spacing w:after="0" w:line="240" w:lineRule="auto"/>
              <w:rPr>
                <w:rFonts w:eastAsia="Calibri" w:cstheme="minorHAnsi"/>
                <w:b/>
              </w:rPr>
            </w:pPr>
            <w:r w:rsidRPr="00DD4C45">
              <w:rPr>
                <w:rFonts w:eastAsia="Calibri" w:cstheme="minorHAnsi"/>
                <w:b/>
              </w:rPr>
              <w:t>COMUNA</w:t>
            </w:r>
          </w:p>
        </w:tc>
        <w:tc>
          <w:tcPr>
            <w:tcW w:w="1870" w:type="dxa"/>
            <w:tcBorders>
              <w:top w:val="single" w:sz="4" w:space="0" w:color="auto"/>
              <w:left w:val="single" w:sz="4" w:space="0" w:color="auto"/>
              <w:bottom w:val="single" w:sz="4" w:space="0" w:color="auto"/>
              <w:right w:val="single" w:sz="4" w:space="0" w:color="auto"/>
            </w:tcBorders>
            <w:shd w:val="clear" w:color="auto" w:fill="FFFFFF"/>
            <w:vAlign w:val="center"/>
          </w:tcPr>
          <w:p w14:paraId="70F617CA" w14:textId="77777777" w:rsidR="00F31F63" w:rsidRPr="00DD4C45" w:rsidRDefault="00F31F63" w:rsidP="00DC7E8B">
            <w:pPr>
              <w:spacing w:after="0" w:line="240" w:lineRule="auto"/>
              <w:rPr>
                <w:rFonts w:eastAsia="Calibri" w:cstheme="minorHAnsi"/>
              </w:rPr>
            </w:pPr>
          </w:p>
        </w:tc>
      </w:tr>
      <w:tr w:rsidR="00F31F63" w:rsidRPr="00DD4C45" w14:paraId="51B58C7C" w14:textId="77777777" w:rsidTr="00DC7E8B">
        <w:trPr>
          <w:trHeight w:val="340"/>
        </w:trPr>
        <w:tc>
          <w:tcPr>
            <w:tcW w:w="184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D02069E" w14:textId="77777777" w:rsidR="00F31F63" w:rsidRPr="00DD4C45" w:rsidRDefault="00F31F63" w:rsidP="00DC7E8B">
            <w:pPr>
              <w:spacing w:after="0" w:line="240" w:lineRule="auto"/>
              <w:rPr>
                <w:rFonts w:eastAsia="Calibri" w:cstheme="minorHAnsi"/>
                <w:b/>
              </w:rPr>
            </w:pPr>
            <w:r w:rsidRPr="00DD4C45">
              <w:rPr>
                <w:rFonts w:eastAsia="Calibri" w:cstheme="minorHAnsi"/>
                <w:b/>
              </w:rPr>
              <w:t>COMUNA</w:t>
            </w:r>
          </w:p>
        </w:tc>
        <w:tc>
          <w:tcPr>
            <w:tcW w:w="168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1C4DED4" w14:textId="77777777" w:rsidR="00F31F63" w:rsidRPr="00DD4C45" w:rsidRDefault="00F31F63" w:rsidP="00DC7E8B">
            <w:pPr>
              <w:spacing w:after="0" w:line="240" w:lineRule="auto"/>
              <w:rPr>
                <w:rFonts w:eastAsia="Calibri" w:cstheme="minorHAnsi"/>
              </w:rPr>
            </w:pPr>
          </w:p>
        </w:tc>
        <w:tc>
          <w:tcPr>
            <w:tcW w:w="103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8A50F34" w14:textId="77777777" w:rsidR="00F31F63" w:rsidRPr="00DD4C45" w:rsidRDefault="00F31F63" w:rsidP="00DC7E8B">
            <w:pPr>
              <w:spacing w:after="0" w:line="240" w:lineRule="auto"/>
              <w:rPr>
                <w:rFonts w:eastAsia="Calibri" w:cstheme="minorHAnsi"/>
                <w:b/>
              </w:rPr>
            </w:pPr>
            <w:r w:rsidRPr="00DD4C45">
              <w:rPr>
                <w:rFonts w:eastAsia="Calibri" w:cstheme="minorHAnsi"/>
                <w:b/>
              </w:rPr>
              <w:t>CIUDAD</w:t>
            </w:r>
          </w:p>
        </w:tc>
        <w:tc>
          <w:tcPr>
            <w:tcW w:w="2049"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F4533D4" w14:textId="77777777" w:rsidR="00F31F63" w:rsidRPr="00DD4C45" w:rsidRDefault="00F31F63" w:rsidP="00DC7E8B">
            <w:pPr>
              <w:spacing w:after="0" w:line="240" w:lineRule="auto"/>
              <w:rPr>
                <w:rFonts w:eastAsia="Calibri" w:cstheme="minorHAnsi"/>
              </w:rPr>
            </w:pPr>
          </w:p>
        </w:tc>
        <w:tc>
          <w:tcPr>
            <w:tcW w:w="136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CE23930" w14:textId="77777777" w:rsidR="00F31F63" w:rsidRPr="00DD4C45" w:rsidRDefault="00F31F63" w:rsidP="00DC7E8B">
            <w:pPr>
              <w:spacing w:after="0" w:line="240" w:lineRule="auto"/>
              <w:rPr>
                <w:rFonts w:eastAsia="Calibri" w:cstheme="minorHAnsi"/>
                <w:b/>
              </w:rPr>
            </w:pPr>
            <w:r w:rsidRPr="00DD4C45">
              <w:rPr>
                <w:rFonts w:eastAsia="Calibri" w:cstheme="minorHAnsi"/>
                <w:b/>
              </w:rPr>
              <w:t>TELÉFONO</w:t>
            </w:r>
          </w:p>
        </w:tc>
        <w:tc>
          <w:tcPr>
            <w:tcW w:w="187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DB8B2F1" w14:textId="77777777" w:rsidR="00F31F63" w:rsidRPr="00DD4C45" w:rsidRDefault="00F31F63" w:rsidP="00DC7E8B">
            <w:pPr>
              <w:spacing w:after="0" w:line="240" w:lineRule="auto"/>
              <w:rPr>
                <w:rFonts w:eastAsia="Calibri" w:cstheme="minorHAnsi"/>
              </w:rPr>
            </w:pPr>
          </w:p>
        </w:tc>
      </w:tr>
      <w:tr w:rsidR="00F31F63" w:rsidRPr="00DD4C45" w14:paraId="138CE3B0" w14:textId="77777777" w:rsidTr="00DC7E8B">
        <w:trPr>
          <w:trHeight w:val="567"/>
        </w:trPr>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CDB4F15" w14:textId="77777777" w:rsidR="00F31F63" w:rsidRPr="00DD4C45" w:rsidRDefault="00F31F63" w:rsidP="00DC7E8B">
            <w:pPr>
              <w:spacing w:after="0" w:line="240" w:lineRule="auto"/>
              <w:ind w:hanging="29"/>
              <w:rPr>
                <w:rFonts w:eastAsia="Calibri" w:cstheme="minorHAnsi"/>
                <w:b/>
              </w:rPr>
            </w:pPr>
            <w:r w:rsidRPr="00DD4C45">
              <w:rPr>
                <w:rFonts w:eastAsia="Calibri" w:cstheme="minorHAnsi"/>
                <w:b/>
              </w:rPr>
              <w:t xml:space="preserve">CORREO ELECTRÓNICO </w:t>
            </w:r>
          </w:p>
        </w:tc>
        <w:tc>
          <w:tcPr>
            <w:tcW w:w="476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475B0E5" w14:textId="77777777" w:rsidR="00F31F63" w:rsidRPr="00DD4C45" w:rsidRDefault="00F31F63" w:rsidP="00DC7E8B">
            <w:pPr>
              <w:spacing w:after="0" w:line="240" w:lineRule="auto"/>
              <w:rPr>
                <w:rFonts w:eastAsia="Calibri" w:cstheme="minorHAnsi"/>
              </w:rPr>
            </w:pPr>
          </w:p>
        </w:tc>
        <w:tc>
          <w:tcPr>
            <w:tcW w:w="1360" w:type="dxa"/>
            <w:tcBorders>
              <w:top w:val="single" w:sz="4" w:space="0" w:color="auto"/>
              <w:left w:val="single" w:sz="4" w:space="0" w:color="auto"/>
              <w:bottom w:val="single" w:sz="4" w:space="0" w:color="auto"/>
              <w:right w:val="single" w:sz="4" w:space="0" w:color="auto"/>
            </w:tcBorders>
            <w:shd w:val="clear" w:color="auto" w:fill="FFFFFF"/>
            <w:vAlign w:val="center"/>
          </w:tcPr>
          <w:p w14:paraId="721019FB" w14:textId="77777777" w:rsidR="00F31F63" w:rsidRPr="00DD4C45" w:rsidRDefault="00F31F63" w:rsidP="00DC7E8B">
            <w:pPr>
              <w:spacing w:after="0" w:line="240" w:lineRule="auto"/>
              <w:rPr>
                <w:rFonts w:eastAsia="Calibri" w:cstheme="minorHAnsi"/>
                <w:b/>
              </w:rPr>
            </w:pPr>
            <w:r w:rsidRPr="00DD4C45">
              <w:rPr>
                <w:rFonts w:eastAsia="Calibri" w:cstheme="minorHAnsi"/>
                <w:b/>
              </w:rPr>
              <w:t>FAX</w:t>
            </w:r>
          </w:p>
        </w:tc>
        <w:tc>
          <w:tcPr>
            <w:tcW w:w="1870" w:type="dxa"/>
            <w:tcBorders>
              <w:top w:val="single" w:sz="4" w:space="0" w:color="auto"/>
              <w:left w:val="single" w:sz="4" w:space="0" w:color="auto"/>
              <w:bottom w:val="single" w:sz="4" w:space="0" w:color="auto"/>
              <w:right w:val="single" w:sz="4" w:space="0" w:color="auto"/>
            </w:tcBorders>
            <w:shd w:val="clear" w:color="auto" w:fill="FFFFFF"/>
            <w:vAlign w:val="center"/>
          </w:tcPr>
          <w:p w14:paraId="6EC19563" w14:textId="77777777" w:rsidR="00F31F63" w:rsidRPr="00DD4C45" w:rsidRDefault="00F31F63" w:rsidP="00DC7E8B">
            <w:pPr>
              <w:spacing w:after="0" w:line="240" w:lineRule="auto"/>
              <w:rPr>
                <w:rFonts w:eastAsia="Calibri" w:cstheme="minorHAnsi"/>
              </w:rPr>
            </w:pPr>
          </w:p>
        </w:tc>
      </w:tr>
    </w:tbl>
    <w:p w14:paraId="1F079FFF" w14:textId="77777777" w:rsidR="00F31F63" w:rsidRPr="00DD4C45" w:rsidRDefault="00F31F63" w:rsidP="00CF28B2">
      <w:pPr>
        <w:pStyle w:val="Prrafodelista"/>
        <w:numPr>
          <w:ilvl w:val="0"/>
          <w:numId w:val="1"/>
        </w:numPr>
        <w:spacing w:before="160" w:after="0" w:line="240" w:lineRule="auto"/>
        <w:ind w:left="567" w:hanging="567"/>
        <w:jc w:val="both"/>
        <w:rPr>
          <w:rFonts w:eastAsia="Calibri" w:cstheme="minorHAnsi"/>
          <w:b/>
          <w:lang w:val="es-ES"/>
        </w:rPr>
      </w:pPr>
      <w:r w:rsidRPr="00DD4C45">
        <w:rPr>
          <w:rFonts w:eastAsia="Calibri" w:cstheme="minorHAnsi"/>
          <w:b/>
          <w:lang w:val="es-ES"/>
        </w:rPr>
        <w:t>ADMISIBILIDAD DE LAS OFERTAS</w:t>
      </w:r>
    </w:p>
    <w:p w14:paraId="0291B0F0" w14:textId="77777777" w:rsidR="00F31F63" w:rsidRPr="00DD4C45" w:rsidRDefault="00F31F63" w:rsidP="00F31F63">
      <w:pPr>
        <w:pStyle w:val="Prrafodelista"/>
        <w:spacing w:before="160" w:after="0" w:line="240" w:lineRule="auto"/>
        <w:ind w:left="284"/>
        <w:jc w:val="both"/>
        <w:rPr>
          <w:rFonts w:eastAsia="Calibri" w:cstheme="minorHAnsi"/>
          <w:b/>
          <w:lang w:val="es-ES"/>
        </w:rPr>
      </w:pPr>
    </w:p>
    <w:p w14:paraId="2A3D9C9D" w14:textId="77777777" w:rsidR="00F31F63" w:rsidRPr="00DD4C45" w:rsidRDefault="00F31F63" w:rsidP="00F31F63">
      <w:pPr>
        <w:pStyle w:val="Prrafodelista"/>
        <w:spacing w:before="160" w:after="0" w:line="240" w:lineRule="auto"/>
        <w:ind w:left="0"/>
        <w:jc w:val="both"/>
        <w:rPr>
          <w:rFonts w:eastAsia="Calibri" w:cstheme="minorHAnsi"/>
          <w:b/>
          <w:lang w:val="es-ES"/>
        </w:rPr>
      </w:pPr>
      <w:r w:rsidRPr="00DD4C45">
        <w:rPr>
          <w:rFonts w:eastAsia="Calibri" w:cstheme="minorHAnsi"/>
          <w:b/>
          <w:lang w:val="es-ES"/>
        </w:rPr>
        <w:t>Las ofertas podrán ser declaradas inadmisibles en las siguientes circunstancias:</w:t>
      </w:r>
    </w:p>
    <w:p w14:paraId="18ADFA12" w14:textId="77777777" w:rsidR="00F31F63" w:rsidRPr="00DD4C45" w:rsidRDefault="00F31F63" w:rsidP="00F31F63">
      <w:pPr>
        <w:pStyle w:val="Prrafodelista"/>
        <w:spacing w:before="160" w:after="0" w:line="240" w:lineRule="auto"/>
        <w:ind w:left="0"/>
        <w:jc w:val="both"/>
        <w:rPr>
          <w:rFonts w:eastAsia="Calibri" w:cstheme="minorHAnsi"/>
          <w:b/>
          <w:lang w:val="es-ES"/>
        </w:rPr>
      </w:pPr>
    </w:p>
    <w:p w14:paraId="655F5682" w14:textId="77777777" w:rsidR="00F31F63" w:rsidRPr="00DD4C45" w:rsidRDefault="00F31F63" w:rsidP="00F31F63">
      <w:pPr>
        <w:pStyle w:val="Prrafodelista"/>
        <w:numPr>
          <w:ilvl w:val="0"/>
          <w:numId w:val="3"/>
        </w:numPr>
        <w:spacing w:before="160" w:after="0" w:line="240" w:lineRule="auto"/>
        <w:ind w:left="284" w:hanging="284"/>
        <w:jc w:val="both"/>
        <w:rPr>
          <w:rFonts w:eastAsia="Calibri" w:cstheme="minorHAnsi"/>
          <w:bCs/>
          <w:lang w:val="es-ES"/>
        </w:rPr>
      </w:pPr>
      <w:r w:rsidRPr="00DD4C45">
        <w:rPr>
          <w:rFonts w:eastAsia="Calibri" w:cstheme="minorHAnsi"/>
          <w:b/>
          <w:lang w:val="es-ES"/>
        </w:rPr>
        <w:t xml:space="preserve">ESPECIFICACIONES TÉCNICAS: </w:t>
      </w:r>
      <w:r w:rsidRPr="009E0D22">
        <w:rPr>
          <w:rFonts w:eastAsia="Calibri" w:cstheme="minorHAnsi"/>
          <w:bCs/>
          <w:lang w:val="es-ES"/>
        </w:rPr>
        <w:t>En</w:t>
      </w:r>
      <w:r w:rsidRPr="00DD4C45">
        <w:rPr>
          <w:rFonts w:eastAsia="Calibri" w:cstheme="minorHAnsi"/>
          <w:bCs/>
          <w:lang w:val="es-ES"/>
        </w:rPr>
        <w:t xml:space="preserve"> caso de que oferente no adjunte Anexo 1, ficha técnica, cotización en formato propio u otro documento que informe el detalle de las características del producto o servicio ofertado.</w:t>
      </w:r>
    </w:p>
    <w:p w14:paraId="1586AE7E" w14:textId="77777777" w:rsidR="00F31F63" w:rsidRPr="00DD4C45" w:rsidRDefault="00F31F63" w:rsidP="00F31F63">
      <w:pPr>
        <w:pStyle w:val="Prrafodelista"/>
        <w:spacing w:before="160" w:after="0" w:line="240" w:lineRule="auto"/>
        <w:ind w:left="284" w:hanging="284"/>
        <w:jc w:val="both"/>
        <w:rPr>
          <w:rFonts w:eastAsia="Calibri" w:cstheme="minorHAnsi"/>
          <w:bCs/>
          <w:lang w:val="es-ES"/>
        </w:rPr>
      </w:pPr>
    </w:p>
    <w:p w14:paraId="6AE0D583" w14:textId="77777777" w:rsidR="00F31F63" w:rsidRPr="00DD4C45" w:rsidRDefault="00F31F63" w:rsidP="00F31F63">
      <w:pPr>
        <w:pStyle w:val="Prrafodelista"/>
        <w:numPr>
          <w:ilvl w:val="0"/>
          <w:numId w:val="3"/>
        </w:numPr>
        <w:spacing w:before="160" w:after="0" w:line="240" w:lineRule="auto"/>
        <w:ind w:left="284" w:hanging="284"/>
        <w:jc w:val="both"/>
        <w:rPr>
          <w:rFonts w:eastAsia="Calibri" w:cstheme="minorHAnsi"/>
          <w:bCs/>
          <w:lang w:val="es-ES"/>
        </w:rPr>
      </w:pPr>
      <w:r w:rsidRPr="00DD4C45">
        <w:rPr>
          <w:rFonts w:eastAsia="Calibri" w:cstheme="minorHAnsi"/>
          <w:b/>
          <w:lang w:val="es-ES"/>
        </w:rPr>
        <w:t xml:space="preserve">OFERTA ECONÓMICA: </w:t>
      </w:r>
      <w:r w:rsidRPr="009E0D22">
        <w:rPr>
          <w:rFonts w:eastAsia="Calibri" w:cstheme="minorHAnsi"/>
          <w:bCs/>
          <w:lang w:val="es-ES"/>
        </w:rPr>
        <w:t>E</w:t>
      </w:r>
      <w:r w:rsidRPr="00DD4C45">
        <w:rPr>
          <w:rFonts w:eastAsia="Calibri" w:cstheme="minorHAnsi"/>
          <w:bCs/>
          <w:lang w:val="es-ES"/>
        </w:rPr>
        <w:t>n caso de que proveedor no adjunte Anexo 1 o cotización en formato propio, que contenga los valores del producto o servicio a ofertar, según lo indicado en el ítem Oferta Económica.</w:t>
      </w:r>
    </w:p>
    <w:p w14:paraId="4E6BF634" w14:textId="77777777" w:rsidR="00F31F63" w:rsidRPr="00DD4C45" w:rsidRDefault="00F31F63" w:rsidP="00F31F63">
      <w:pPr>
        <w:pStyle w:val="Prrafodelista"/>
        <w:spacing w:before="160" w:after="0" w:line="240" w:lineRule="auto"/>
        <w:ind w:left="284" w:hanging="284"/>
        <w:jc w:val="both"/>
        <w:rPr>
          <w:rFonts w:eastAsia="Calibri" w:cstheme="minorHAnsi"/>
          <w:bCs/>
          <w:lang w:val="es-ES"/>
        </w:rPr>
      </w:pPr>
    </w:p>
    <w:p w14:paraId="1ED10D39" w14:textId="77777777" w:rsidR="00F31F63" w:rsidRPr="00DD4C45" w:rsidRDefault="00F31F63" w:rsidP="00F31F63">
      <w:pPr>
        <w:pStyle w:val="Prrafodelista"/>
        <w:numPr>
          <w:ilvl w:val="0"/>
          <w:numId w:val="3"/>
        </w:numPr>
        <w:spacing w:before="160" w:after="0" w:line="240" w:lineRule="auto"/>
        <w:ind w:left="284" w:hanging="284"/>
        <w:jc w:val="both"/>
        <w:rPr>
          <w:rFonts w:eastAsia="Calibri" w:cstheme="minorHAnsi"/>
          <w:bCs/>
          <w:lang w:val="es-ES"/>
        </w:rPr>
      </w:pPr>
      <w:r w:rsidRPr="00DD4C45">
        <w:rPr>
          <w:rFonts w:eastAsia="Calibri" w:cstheme="minorHAnsi"/>
          <w:b/>
          <w:lang w:val="es-ES"/>
        </w:rPr>
        <w:t>VALORES:</w:t>
      </w:r>
      <w:r w:rsidRPr="00DD4C45">
        <w:rPr>
          <w:rFonts w:eastAsia="Calibri" w:cstheme="minorHAnsi"/>
          <w:bCs/>
          <w:lang w:val="es-ES"/>
        </w:rPr>
        <w:t xml:space="preserve"> </w:t>
      </w:r>
      <w:r>
        <w:rPr>
          <w:rFonts w:eastAsia="Calibri" w:cstheme="minorHAnsi"/>
          <w:bCs/>
          <w:lang w:val="es-ES"/>
        </w:rPr>
        <w:t>E</w:t>
      </w:r>
      <w:r w:rsidRPr="00DD4C45">
        <w:rPr>
          <w:rFonts w:eastAsia="Calibri" w:cstheme="minorHAnsi"/>
          <w:bCs/>
          <w:lang w:val="es-ES"/>
        </w:rPr>
        <w:t>n caso de que valores ingresados en Anexo 1, cotización en formato propio o documento que informe el detalle de la oferta económica, no coincida con los valores ingresados en el Sistema de Información (</w:t>
      </w:r>
      <w:hyperlink r:id="rId6" w:history="1">
        <w:r w:rsidRPr="00DD4C45">
          <w:rPr>
            <w:rStyle w:val="Hipervnculo"/>
            <w:rFonts w:eastAsia="Calibri" w:cstheme="minorHAnsi"/>
            <w:bCs/>
            <w:lang w:val="es-ES"/>
          </w:rPr>
          <w:t>www.mercadopublico.cl</w:t>
        </w:r>
      </w:hyperlink>
      <w:r w:rsidRPr="00DD4C45">
        <w:rPr>
          <w:rFonts w:eastAsia="Calibri" w:cstheme="minorHAnsi"/>
          <w:bCs/>
          <w:lang w:val="es-ES"/>
        </w:rPr>
        <w:t>) a través del cotizador del módulo de Compra Ágil o existan errores aritméticos en la presentación de la cotización total.</w:t>
      </w:r>
    </w:p>
    <w:p w14:paraId="54F4FF80" w14:textId="77777777" w:rsidR="00F31F63" w:rsidRPr="00DD4C45" w:rsidRDefault="00F31F63" w:rsidP="00F31F63">
      <w:pPr>
        <w:pStyle w:val="Prrafodelista"/>
        <w:spacing w:before="160" w:after="0" w:line="240" w:lineRule="auto"/>
        <w:ind w:left="0"/>
        <w:jc w:val="both"/>
        <w:rPr>
          <w:rFonts w:eastAsia="Calibri" w:cstheme="minorHAnsi"/>
          <w:bCs/>
          <w:lang w:val="es-ES"/>
        </w:rPr>
      </w:pPr>
    </w:p>
    <w:p w14:paraId="55FAA964" w14:textId="77777777" w:rsidR="00F31F63" w:rsidRPr="00DD4C45" w:rsidRDefault="00F31F63" w:rsidP="00F31F63">
      <w:pPr>
        <w:pStyle w:val="Prrafodelista"/>
        <w:spacing w:before="160" w:after="0" w:line="240" w:lineRule="auto"/>
        <w:ind w:left="0"/>
        <w:jc w:val="both"/>
        <w:rPr>
          <w:rFonts w:eastAsia="Calibri" w:cstheme="minorHAnsi"/>
          <w:b/>
          <w:lang w:val="es-ES"/>
        </w:rPr>
      </w:pPr>
      <w:r w:rsidRPr="00DD4C45">
        <w:rPr>
          <w:rFonts w:eastAsia="Calibri" w:cstheme="minorHAnsi"/>
          <w:b/>
          <w:lang w:val="es-ES"/>
        </w:rPr>
        <w:t>Nota:</w:t>
      </w:r>
    </w:p>
    <w:p w14:paraId="0C413DA5" w14:textId="77777777" w:rsidR="00F31F63" w:rsidRPr="00DD4C45" w:rsidRDefault="00F31F63" w:rsidP="00F31F63">
      <w:pPr>
        <w:pStyle w:val="Prrafodelista"/>
        <w:spacing w:before="160" w:after="0" w:line="240" w:lineRule="auto"/>
        <w:ind w:left="0"/>
        <w:jc w:val="both"/>
        <w:rPr>
          <w:rFonts w:eastAsia="Calibri" w:cstheme="minorHAnsi"/>
          <w:bCs/>
          <w:lang w:val="es-ES"/>
        </w:rPr>
      </w:pPr>
      <w:r w:rsidRPr="00DD4C45">
        <w:rPr>
          <w:rFonts w:eastAsia="Calibri" w:cstheme="minorHAnsi"/>
          <w:bCs/>
          <w:lang w:val="es-ES"/>
        </w:rPr>
        <w:t xml:space="preserve">Se podrán admitir ofertas que presenten diferencias de hasta 1 peso en el valor total, solo si es por motivos de redondeo de decimales en la suma de valores unitarios y cálculo en la suma de IVA. </w:t>
      </w:r>
    </w:p>
    <w:p w14:paraId="3DE68E07" w14:textId="77777777" w:rsidR="00F31F63" w:rsidRPr="00DD4C45" w:rsidRDefault="00F31F63" w:rsidP="00F31F63">
      <w:pPr>
        <w:pStyle w:val="Prrafodelista"/>
        <w:spacing w:before="160" w:after="0" w:line="240" w:lineRule="auto"/>
        <w:ind w:left="0"/>
        <w:jc w:val="both"/>
        <w:rPr>
          <w:rFonts w:eastAsia="Calibri" w:cstheme="minorHAnsi"/>
          <w:bCs/>
          <w:lang w:val="es-ES"/>
        </w:rPr>
      </w:pPr>
    </w:p>
    <w:p w14:paraId="50E36707" w14:textId="77777777" w:rsidR="00F31F63" w:rsidRPr="00DD4C45" w:rsidRDefault="00F31F63" w:rsidP="00CF28B2">
      <w:pPr>
        <w:pStyle w:val="Prrafodelista"/>
        <w:numPr>
          <w:ilvl w:val="0"/>
          <w:numId w:val="1"/>
        </w:numPr>
        <w:spacing w:before="160" w:after="0" w:line="240" w:lineRule="auto"/>
        <w:ind w:left="567" w:hanging="567"/>
        <w:jc w:val="both"/>
        <w:rPr>
          <w:rFonts w:eastAsia="Calibri" w:cstheme="minorHAnsi"/>
          <w:b/>
          <w:lang w:val="es-ES"/>
        </w:rPr>
      </w:pPr>
      <w:r w:rsidRPr="00DD4C45">
        <w:rPr>
          <w:rFonts w:eastAsia="Calibri" w:cstheme="minorHAnsi"/>
          <w:b/>
          <w:lang w:val="es-ES"/>
        </w:rPr>
        <w:t>EVALUACIÓN DE LAS OFERTAS</w:t>
      </w:r>
    </w:p>
    <w:p w14:paraId="3EF45222" w14:textId="77777777" w:rsidR="00F31F63" w:rsidRPr="00DD4C45" w:rsidRDefault="00F31F63" w:rsidP="00F31F63">
      <w:pPr>
        <w:spacing w:before="160" w:after="0" w:line="240" w:lineRule="auto"/>
        <w:jc w:val="both"/>
        <w:rPr>
          <w:rFonts w:eastAsia="Calibri" w:cstheme="minorHAnsi"/>
          <w:bCs/>
          <w:lang w:val="es-ES"/>
        </w:rPr>
      </w:pPr>
      <w:r w:rsidRPr="00DD4C45">
        <w:rPr>
          <w:rFonts w:eastAsia="Calibri" w:cstheme="minorHAnsi"/>
          <w:bCs/>
          <w:lang w:val="es-ES"/>
        </w:rPr>
        <w:t>Se realizará una evaluación de las ofertas considerando el cumplimiento de las especificaciones técnicas descritas en el presente documento y los que le acompañen, declaradas por el oferente en Anexo 1 y/o cotización en formato propio.</w:t>
      </w:r>
    </w:p>
    <w:p w14:paraId="3DFFACFB" w14:textId="77777777" w:rsidR="00F31F63" w:rsidRPr="00DD4C45" w:rsidRDefault="00F31F63" w:rsidP="00CF28B2">
      <w:pPr>
        <w:pStyle w:val="Prrafodelista"/>
        <w:numPr>
          <w:ilvl w:val="0"/>
          <w:numId w:val="1"/>
        </w:numPr>
        <w:spacing w:before="160" w:after="0" w:line="240" w:lineRule="auto"/>
        <w:ind w:left="567" w:hanging="567"/>
        <w:rPr>
          <w:rFonts w:eastAsia="Calibri" w:cstheme="minorHAnsi"/>
          <w:b/>
          <w:lang w:val="es-ES"/>
        </w:rPr>
      </w:pPr>
      <w:r w:rsidRPr="00DD4C45">
        <w:rPr>
          <w:rFonts w:eastAsia="Calibri" w:cstheme="minorHAnsi"/>
          <w:b/>
          <w:lang w:val="es-ES"/>
        </w:rPr>
        <w:t>OFERTA TÉCNICA</w:t>
      </w:r>
    </w:p>
    <w:p w14:paraId="149BEFBB" w14:textId="77777777" w:rsidR="00F31F63" w:rsidRPr="00DD4C45" w:rsidRDefault="00F31F63" w:rsidP="00F31F63">
      <w:pPr>
        <w:pStyle w:val="Prrafodelista"/>
        <w:spacing w:before="160" w:after="0" w:line="240" w:lineRule="auto"/>
        <w:ind w:left="284"/>
        <w:rPr>
          <w:rFonts w:eastAsia="Calibri" w:cstheme="minorHAnsi"/>
          <w:b/>
          <w:lang w:val="es-ES"/>
        </w:rPr>
      </w:pPr>
    </w:p>
    <w:p w14:paraId="22119766" w14:textId="62206842" w:rsidR="00F31F63" w:rsidRDefault="00F31F63" w:rsidP="00F31F63">
      <w:pPr>
        <w:pStyle w:val="Prrafodelista"/>
        <w:spacing w:before="120" w:after="0" w:line="240" w:lineRule="auto"/>
        <w:ind w:left="0"/>
        <w:jc w:val="both"/>
        <w:rPr>
          <w:rFonts w:eastAsia="Calibri" w:cstheme="minorHAnsi"/>
          <w:bCs/>
        </w:rPr>
      </w:pPr>
      <w:r w:rsidRPr="00DD4C45">
        <w:rPr>
          <w:rFonts w:eastAsia="Calibri" w:cstheme="minorHAnsi"/>
          <w:bCs/>
        </w:rPr>
        <w:t>El proponente deberá adjuntar a su propuesta, una oferta técnica o cotización en formato propio, con la descripción detallada de los productos o servicios ofertados en la Descripción de los bienes o servicios cotizados.</w:t>
      </w:r>
    </w:p>
    <w:p w14:paraId="19F44E4C" w14:textId="77777777" w:rsidR="00A50403" w:rsidRPr="00DD4C45" w:rsidRDefault="00A50403" w:rsidP="00F31F63">
      <w:pPr>
        <w:pStyle w:val="Prrafodelista"/>
        <w:spacing w:before="120" w:after="0" w:line="240" w:lineRule="auto"/>
        <w:ind w:left="0"/>
        <w:jc w:val="both"/>
        <w:rPr>
          <w:rFonts w:eastAsia="Calibri" w:cstheme="minorHAnsi"/>
          <w:bCs/>
        </w:rPr>
      </w:pPr>
    </w:p>
    <w:p w14:paraId="17E9E1CC" w14:textId="77777777" w:rsidR="00F31F63" w:rsidRPr="00DD4C45" w:rsidRDefault="00F31F63" w:rsidP="00F31F63">
      <w:pPr>
        <w:pStyle w:val="Prrafodelista"/>
        <w:spacing w:before="120" w:after="0" w:line="240" w:lineRule="auto"/>
        <w:ind w:left="0"/>
        <w:jc w:val="both"/>
        <w:rPr>
          <w:rFonts w:eastAsia="Calibri" w:cstheme="minorHAnsi"/>
          <w:bCs/>
        </w:rPr>
      </w:pPr>
      <w:r w:rsidRPr="00DD4C45">
        <w:rPr>
          <w:rFonts w:eastAsia="Calibri" w:cstheme="minorHAnsi"/>
          <w:bCs/>
        </w:rPr>
        <w:t>Toda vez que, en el presente documento, se mencionen marcas en específico, estas se entenderán como referenciales, pudiendo ser reemplazadas por productos similares y/o equivalentes que cumplan con las especificaciones técnicas indicadas</w:t>
      </w:r>
    </w:p>
    <w:p w14:paraId="02881C5D" w14:textId="77777777" w:rsidR="00F31F63" w:rsidRPr="00DD4C45" w:rsidRDefault="00F31F63" w:rsidP="00F31F63">
      <w:pPr>
        <w:pStyle w:val="Prrafodelista"/>
        <w:spacing w:before="160" w:after="0" w:line="240" w:lineRule="auto"/>
        <w:rPr>
          <w:rFonts w:eastAsia="Calibri" w:cstheme="minorHAnsi"/>
          <w:b/>
          <w:lang w:val="es-ES"/>
        </w:rPr>
      </w:pPr>
    </w:p>
    <w:p w14:paraId="3AB4D9AD" w14:textId="77777777" w:rsidR="00F31F63" w:rsidRPr="00DD4C45" w:rsidRDefault="00F31F63" w:rsidP="00CF28B2">
      <w:pPr>
        <w:spacing w:after="0" w:line="240" w:lineRule="auto"/>
        <w:ind w:left="142" w:hanging="142"/>
        <w:contextualSpacing/>
        <w:rPr>
          <w:rFonts w:eastAsia="Calibri" w:cstheme="minorHAnsi"/>
          <w:b/>
          <w:lang w:val="es-ES"/>
        </w:rPr>
      </w:pPr>
      <w:r>
        <w:rPr>
          <w:rFonts w:eastAsia="Calibri" w:cstheme="minorHAnsi"/>
          <w:b/>
          <w:lang w:val="es-ES"/>
        </w:rPr>
        <w:t xml:space="preserve">1. </w:t>
      </w:r>
      <w:r w:rsidRPr="00DD4C45">
        <w:rPr>
          <w:rFonts w:eastAsia="Calibri" w:cstheme="minorHAnsi"/>
          <w:b/>
          <w:lang w:val="es-ES"/>
        </w:rPr>
        <w:t>DESCRIPCIÓN DE LOS BIENES O SERVICIOS COTIZADOS:</w:t>
      </w:r>
    </w:p>
    <w:p w14:paraId="470F9D0A" w14:textId="77777777" w:rsidR="00F31F63" w:rsidRPr="00DD4C45" w:rsidRDefault="00F31F63" w:rsidP="00F31F63">
      <w:pPr>
        <w:spacing w:before="120" w:after="0" w:line="240" w:lineRule="auto"/>
        <w:jc w:val="both"/>
        <w:rPr>
          <w:rFonts w:eastAsia="Calibri" w:cstheme="minorHAnsi"/>
          <w:b/>
          <w:lang w:val="es-ES"/>
        </w:rPr>
      </w:pPr>
      <w:r w:rsidRPr="00DD4C45">
        <w:rPr>
          <w:rFonts w:eastAsia="Calibri" w:cstheme="minorHAnsi"/>
        </w:rPr>
        <w:t>El proveedor presenta las especificaciones técnicas de los bienes o servicios cotizados, según los requerimientos señalados en la Compra Ágil y los antecedentes adjuntos a la propuesta.</w:t>
      </w:r>
    </w:p>
    <w:p w14:paraId="3D085549" w14:textId="77777777" w:rsidR="00F31F63" w:rsidRPr="00DD4C45" w:rsidRDefault="00F31F63" w:rsidP="00F31F63">
      <w:pPr>
        <w:spacing w:after="0" w:line="240" w:lineRule="auto"/>
        <w:rPr>
          <w:rFonts w:eastAsia="Calibri" w:cstheme="minorHAnsi"/>
          <w:b/>
          <w:lang w:val="es-ES"/>
        </w:rPr>
      </w:pPr>
    </w:p>
    <w:tbl>
      <w:tblPr>
        <w:tblStyle w:val="Tablaconcuadrcula1"/>
        <w:tblW w:w="9493" w:type="dxa"/>
        <w:jc w:val="center"/>
        <w:tblLook w:val="04A0" w:firstRow="1" w:lastRow="0" w:firstColumn="1" w:lastColumn="0" w:noHBand="0" w:noVBand="1"/>
      </w:tblPr>
      <w:tblGrid>
        <w:gridCol w:w="2262"/>
        <w:gridCol w:w="3824"/>
        <w:gridCol w:w="1275"/>
        <w:gridCol w:w="2132"/>
      </w:tblGrid>
      <w:tr w:rsidR="00F31F63" w:rsidRPr="00DD4C45" w14:paraId="675FFB7D" w14:textId="77777777" w:rsidTr="00DC7E8B">
        <w:trPr>
          <w:trHeight w:val="565"/>
          <w:jc w:val="center"/>
        </w:trPr>
        <w:tc>
          <w:tcPr>
            <w:tcW w:w="2262" w:type="dxa"/>
            <w:tcBorders>
              <w:bottom w:val="single" w:sz="4" w:space="0" w:color="auto"/>
            </w:tcBorders>
            <w:shd w:val="clear" w:color="auto" w:fill="DEEAF6" w:themeFill="accent5" w:themeFillTint="33"/>
            <w:vAlign w:val="center"/>
          </w:tcPr>
          <w:p w14:paraId="03BCA465" w14:textId="77777777" w:rsidR="00F31F63" w:rsidRPr="00DD4C45" w:rsidRDefault="00F31F63" w:rsidP="00DC7E8B">
            <w:pPr>
              <w:jc w:val="center"/>
              <w:rPr>
                <w:rFonts w:eastAsia="Calibri" w:cstheme="minorHAnsi"/>
                <w:b/>
                <w:lang w:val="es-ES"/>
              </w:rPr>
            </w:pPr>
            <w:bookmarkStart w:id="2" w:name="_Hlk121478168"/>
            <w:r w:rsidRPr="00DD4C45">
              <w:rPr>
                <w:rFonts w:eastAsia="Calibri" w:cstheme="minorHAnsi"/>
                <w:b/>
                <w:lang w:val="es-ES"/>
              </w:rPr>
              <w:lastRenderedPageBreak/>
              <w:t>TIPO DE BIEN O SERVICIO</w:t>
            </w:r>
          </w:p>
        </w:tc>
        <w:tc>
          <w:tcPr>
            <w:tcW w:w="3824" w:type="dxa"/>
            <w:tcBorders>
              <w:bottom w:val="single" w:sz="4" w:space="0" w:color="auto"/>
            </w:tcBorders>
            <w:shd w:val="clear" w:color="auto" w:fill="DEEAF6" w:themeFill="accent5" w:themeFillTint="33"/>
            <w:vAlign w:val="center"/>
          </w:tcPr>
          <w:p w14:paraId="76FB661E" w14:textId="77777777" w:rsidR="00F31F63" w:rsidRPr="00DD4C45" w:rsidRDefault="00F31F63" w:rsidP="00DC7E8B">
            <w:pPr>
              <w:jc w:val="center"/>
              <w:rPr>
                <w:rFonts w:eastAsia="Calibri" w:cstheme="minorHAnsi"/>
                <w:b/>
                <w:lang w:val="es-ES"/>
              </w:rPr>
            </w:pPr>
            <w:r w:rsidRPr="00DD4C45">
              <w:rPr>
                <w:rFonts w:eastAsia="Calibri" w:cstheme="minorHAnsi"/>
                <w:b/>
                <w:lang w:val="es-ES"/>
              </w:rPr>
              <w:t>ESPECIFICACIONES TÉCNICAS REQUERIDAS</w:t>
            </w:r>
          </w:p>
        </w:tc>
        <w:tc>
          <w:tcPr>
            <w:tcW w:w="1275" w:type="dxa"/>
            <w:tcBorders>
              <w:bottom w:val="single" w:sz="4" w:space="0" w:color="auto"/>
              <w:right w:val="single" w:sz="4" w:space="0" w:color="000000"/>
            </w:tcBorders>
            <w:shd w:val="clear" w:color="auto" w:fill="DEEAF6" w:themeFill="accent5" w:themeFillTint="33"/>
            <w:vAlign w:val="center"/>
          </w:tcPr>
          <w:p w14:paraId="25898C47" w14:textId="77777777" w:rsidR="00F31F63" w:rsidRPr="00DD4C45" w:rsidRDefault="00F31F63" w:rsidP="00DC7E8B">
            <w:pPr>
              <w:jc w:val="center"/>
              <w:rPr>
                <w:rFonts w:eastAsia="Calibri" w:cstheme="minorHAnsi"/>
                <w:b/>
                <w:lang w:val="es-ES"/>
              </w:rPr>
            </w:pPr>
            <w:r w:rsidRPr="00DD4C45">
              <w:rPr>
                <w:rFonts w:eastAsia="Calibri" w:cstheme="minorHAnsi"/>
                <w:b/>
                <w:lang w:val="es-ES"/>
              </w:rPr>
              <w:t>CANTIDAD</w:t>
            </w:r>
          </w:p>
        </w:tc>
        <w:tc>
          <w:tcPr>
            <w:tcW w:w="2132" w:type="dxa"/>
            <w:tcBorders>
              <w:top w:val="single" w:sz="4" w:space="0" w:color="000000"/>
              <w:left w:val="single" w:sz="4" w:space="0" w:color="000000"/>
              <w:bottom w:val="single" w:sz="4" w:space="0" w:color="auto"/>
              <w:right w:val="single" w:sz="4" w:space="0" w:color="000000"/>
            </w:tcBorders>
            <w:shd w:val="clear" w:color="auto" w:fill="DEEAF6" w:themeFill="accent5" w:themeFillTint="33"/>
            <w:vAlign w:val="center"/>
          </w:tcPr>
          <w:p w14:paraId="28D7518B" w14:textId="77777777" w:rsidR="00F31F63" w:rsidRPr="00DD4C45" w:rsidRDefault="00F31F63" w:rsidP="00DC7E8B">
            <w:pPr>
              <w:jc w:val="center"/>
              <w:rPr>
                <w:rFonts w:eastAsia="Calibri" w:cstheme="minorHAnsi"/>
                <w:b/>
                <w:lang w:val="es-ES"/>
              </w:rPr>
            </w:pPr>
            <w:r w:rsidRPr="00DD4C45">
              <w:rPr>
                <w:rFonts w:eastAsia="Calibri" w:cstheme="minorHAnsi"/>
                <w:b/>
                <w:lang w:val="es-ES"/>
              </w:rPr>
              <w:t>CARACTERÍSTICAS OFERTADAS</w:t>
            </w:r>
          </w:p>
        </w:tc>
      </w:tr>
      <w:tr w:rsidR="00F31F63" w:rsidRPr="00DD4C45" w14:paraId="5E1A3841" w14:textId="77777777" w:rsidTr="00DC7E8B">
        <w:trPr>
          <w:trHeight w:val="278"/>
          <w:jc w:val="center"/>
        </w:trPr>
        <w:tc>
          <w:tcPr>
            <w:tcW w:w="2262" w:type="dxa"/>
            <w:tcBorders>
              <w:top w:val="single" w:sz="4" w:space="0" w:color="auto"/>
              <w:left w:val="single" w:sz="4" w:space="0" w:color="auto"/>
              <w:bottom w:val="single" w:sz="4" w:space="0" w:color="auto"/>
              <w:right w:val="single" w:sz="4" w:space="0" w:color="auto"/>
            </w:tcBorders>
            <w:vAlign w:val="center"/>
          </w:tcPr>
          <w:p w14:paraId="2FED0B9D" w14:textId="77777777" w:rsidR="002B77F3" w:rsidRPr="002B77F3" w:rsidRDefault="002B77F3" w:rsidP="002B77F3">
            <w:pPr>
              <w:jc w:val="center"/>
              <w:rPr>
                <w:rFonts w:eastAsia="Calibri" w:cstheme="minorHAnsi"/>
              </w:rPr>
            </w:pPr>
            <w:r w:rsidRPr="002B77F3">
              <w:rPr>
                <w:rFonts w:eastAsia="Calibri" w:cstheme="minorHAnsi"/>
              </w:rPr>
              <w:t xml:space="preserve">SERVICIO DE INFRAESTRUCTURA TECNOLÓGICA, </w:t>
            </w:r>
          </w:p>
          <w:p w14:paraId="683FDAE0" w14:textId="33E34174" w:rsidR="00F31F63" w:rsidRPr="00DD4C45" w:rsidRDefault="002B77F3" w:rsidP="002B77F3">
            <w:pPr>
              <w:jc w:val="center"/>
              <w:rPr>
                <w:rFonts w:eastAsia="Calibri" w:cstheme="minorHAnsi"/>
              </w:rPr>
            </w:pPr>
            <w:r w:rsidRPr="002B77F3">
              <w:rPr>
                <w:rFonts w:eastAsia="Calibri" w:cstheme="minorHAnsi"/>
              </w:rPr>
              <w:t>HOSTING ADMINISTRADO Y DATACENTER MUNICIPAL</w:t>
            </w:r>
          </w:p>
        </w:tc>
        <w:tc>
          <w:tcPr>
            <w:tcW w:w="3824" w:type="dxa"/>
            <w:tcBorders>
              <w:top w:val="single" w:sz="4" w:space="0" w:color="auto"/>
              <w:left w:val="single" w:sz="4" w:space="0" w:color="auto"/>
              <w:bottom w:val="single" w:sz="4" w:space="0" w:color="auto"/>
            </w:tcBorders>
            <w:vAlign w:val="center"/>
          </w:tcPr>
          <w:p w14:paraId="16BE1C7E" w14:textId="4FCAE13A" w:rsidR="00F31F63" w:rsidRPr="002B77F3" w:rsidRDefault="002B77F3" w:rsidP="00F31F63">
            <w:pPr>
              <w:rPr>
                <w:rFonts w:eastAsia="Calibri" w:cstheme="minorHAnsi"/>
              </w:rPr>
            </w:pPr>
            <w:r>
              <w:rPr>
                <w:rFonts w:eastAsia="Calibri" w:cstheme="minorHAnsi"/>
              </w:rPr>
              <w:t>S</w:t>
            </w:r>
            <w:r w:rsidR="00F31F63" w:rsidRPr="002B77F3">
              <w:rPr>
                <w:rFonts w:eastAsia="Calibri" w:cstheme="minorHAnsi"/>
              </w:rPr>
              <w:t>ervicio de infraestructura tecnológica administrada, hosting, seguridad, monitoreo, respaldo y continuidad operacional, destinado a sostener y fortalecer la operación de sus plataformas digitales institucionales, servicios web, aplicaciones internas y sistemas de atención ciudadana.</w:t>
            </w:r>
          </w:p>
          <w:p w14:paraId="1657D3FC" w14:textId="77777777" w:rsidR="00F31F63" w:rsidRPr="002B77F3" w:rsidRDefault="00F31F63" w:rsidP="00F31F63">
            <w:pPr>
              <w:rPr>
                <w:rFonts w:eastAsia="Calibri" w:cstheme="minorHAnsi"/>
              </w:rPr>
            </w:pPr>
            <w:r w:rsidRPr="002B77F3">
              <w:rPr>
                <w:rFonts w:eastAsia="Calibri" w:cstheme="minorHAnsi"/>
              </w:rPr>
              <w:t>El servicio deberá contemplar, a lo menos, la provisión, administración, monitoreo y soporte de infraestructura tecnológica para sitios web institucionales, plataformas municipales internas, formularios e inscripciones de alta concurrencia, sistemas de atención ciudadana, aplicaciones web desarrolladas en distintas tecnologías, servicios de correo transaccional, infraestructura de bases de datos, sistemas de respaldo y recuperación, y mecanismos de seguridad perimetral y de protección de aplicaciones.</w:t>
            </w:r>
          </w:p>
          <w:p w14:paraId="5EECB3D7" w14:textId="77777777" w:rsidR="00F31F63" w:rsidRPr="002B77F3" w:rsidRDefault="00F31F63" w:rsidP="00F31F63">
            <w:pPr>
              <w:rPr>
                <w:rFonts w:eastAsia="Calibri" w:cstheme="minorHAnsi"/>
              </w:rPr>
            </w:pPr>
            <w:r w:rsidRPr="002B77F3">
              <w:rPr>
                <w:rFonts w:eastAsia="Calibri" w:cstheme="minorHAnsi"/>
              </w:rPr>
              <w:t>La solución ofertada deberá asegurar condiciones adecuadas de disponibilidad, seguridad, estabilidad, escalabilidad y soporte especializado, con foco en la continuidad operacional de los servicios digitales municipales.</w:t>
            </w:r>
          </w:p>
          <w:p w14:paraId="01BF3A73" w14:textId="77777777" w:rsidR="00F31F63" w:rsidRPr="002B77F3" w:rsidRDefault="00F31F63" w:rsidP="00F31F63">
            <w:pPr>
              <w:rPr>
                <w:rFonts w:eastAsia="Calibri" w:cstheme="minorHAnsi"/>
              </w:rPr>
            </w:pPr>
          </w:p>
          <w:p w14:paraId="11EEBFE0" w14:textId="77777777" w:rsidR="00F31F63" w:rsidRPr="002B77F3" w:rsidRDefault="00F31F63" w:rsidP="00F31F63">
            <w:pPr>
              <w:spacing w:before="157" w:after="157" w:line="270" w:lineRule="auto"/>
              <w:jc w:val="both"/>
              <w:rPr>
                <w:rFonts w:eastAsia="Georgia" w:cstheme="minorHAnsi"/>
                <w:color w:val="000000"/>
                <w:lang w:val="es-CL"/>
              </w:rPr>
            </w:pPr>
            <w:r w:rsidRPr="002B77F3">
              <w:rPr>
                <w:rFonts w:eastAsia="Georgia" w:cstheme="minorHAnsi"/>
                <w:color w:val="000000"/>
                <w:lang w:val="es-CL"/>
              </w:rPr>
              <w:t>El proveedor adjudicatario deberá proporcionar un servicio integral de infraestructura tecnológica administrada, que incluya, a lo menos, los siguientes componentes:</w:t>
            </w:r>
          </w:p>
          <w:p w14:paraId="0F43B44B"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Hosting administrado para plataformas institucionales y servicios municipales. </w:t>
            </w:r>
          </w:p>
          <w:p w14:paraId="33685266"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Infraestructura para ambientes productivos, servicios web, bases de datos y aplicaciones de alta concurrencia. </w:t>
            </w:r>
          </w:p>
          <w:p w14:paraId="442DF2E3"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Administración técnica de servidores, servicios web, motores de bases de datos, certificados SSL, firewall, logs, incidencias, parches de seguridad y rendimiento. </w:t>
            </w:r>
          </w:p>
          <w:p w14:paraId="31CBD485"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Servicios de monitoreo, respaldo, recuperación, seguridad perimetral y seguridad aplicativa. </w:t>
            </w:r>
          </w:p>
          <w:p w14:paraId="73A4B4ED"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Plataforma de correo transaccional para notificaciones, confirmaciones </w:t>
            </w:r>
            <w:r w:rsidRPr="002B77F3">
              <w:rPr>
                <w:rFonts w:eastAsia="Georgia" w:cstheme="minorHAnsi"/>
                <w:color w:val="000000"/>
                <w:lang w:val="es-CL"/>
              </w:rPr>
              <w:lastRenderedPageBreak/>
              <w:t xml:space="preserve">automáticas, formularios, inscripciones y otros procesos ciudadanos. </w:t>
            </w:r>
          </w:p>
          <w:p w14:paraId="10BDD44C"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Soporte técnico preventivo, correctivo y de atención de incidentes. </w:t>
            </w:r>
          </w:p>
          <w:p w14:paraId="5D86262C"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Provisión de recursos escalables de almacenamiento, memoria y capacidad de procesamiento, según necesidades operativas del Municipio. </w:t>
            </w:r>
          </w:p>
          <w:p w14:paraId="7E735985" w14:textId="77777777" w:rsidR="00F31F63" w:rsidRPr="002B77F3" w:rsidRDefault="00F31F63" w:rsidP="00F31F63">
            <w:pPr>
              <w:numPr>
                <w:ilvl w:val="0"/>
                <w:numId w:val="4"/>
              </w:numPr>
              <w:spacing w:line="270" w:lineRule="auto"/>
              <w:jc w:val="both"/>
              <w:rPr>
                <w:rFonts w:eastAsia="Georgia" w:cstheme="minorHAnsi"/>
                <w:color w:val="000000"/>
                <w:lang w:val="es-CL"/>
              </w:rPr>
            </w:pPr>
            <w:r w:rsidRPr="002B77F3">
              <w:rPr>
                <w:rFonts w:eastAsia="Georgia" w:cstheme="minorHAnsi"/>
                <w:color w:val="000000"/>
                <w:lang w:val="es-CL"/>
              </w:rPr>
              <w:t xml:space="preserve">Mecanismos de continuidad operacional, disponibilidad permanente y recuperación ante fallas o incidentes. </w:t>
            </w:r>
          </w:p>
          <w:p w14:paraId="2A3E46F8" w14:textId="77777777" w:rsidR="00F31F63" w:rsidRPr="002B77F3" w:rsidRDefault="00F31F63" w:rsidP="00F31F63">
            <w:pPr>
              <w:pStyle w:val="Prrafodelista"/>
              <w:numPr>
                <w:ilvl w:val="0"/>
                <w:numId w:val="4"/>
              </w:numPr>
              <w:spacing w:after="120" w:line="240" w:lineRule="atLeast"/>
              <w:rPr>
                <w:rFonts w:eastAsia="Georgia" w:cstheme="minorHAnsi"/>
                <w:color w:val="000000"/>
                <w:lang w:val="es-CL"/>
              </w:rPr>
            </w:pPr>
            <w:r w:rsidRPr="002B77F3">
              <w:rPr>
                <w:rFonts w:eastAsia="Georgia" w:cstheme="minorHAnsi"/>
                <w:color w:val="000000"/>
                <w:lang w:val="es-CL"/>
              </w:rPr>
              <w:t>Escalamiento temporal de recursos y capacidad operativa durante eventos municipales y otras contingencias que requieran mayor desempeño o disponibilidad.</w:t>
            </w:r>
          </w:p>
          <w:p w14:paraId="3235511E" w14:textId="77777777" w:rsidR="00F31F63" w:rsidRPr="002B77F3" w:rsidRDefault="00F31F63" w:rsidP="00F31F63">
            <w:pPr>
              <w:spacing w:before="157" w:after="157" w:line="270" w:lineRule="auto"/>
              <w:jc w:val="both"/>
              <w:rPr>
                <w:rFonts w:eastAsia="Georgia" w:cstheme="minorHAnsi"/>
                <w:color w:val="000000"/>
                <w:lang w:val="es-CL"/>
              </w:rPr>
            </w:pPr>
            <w:r w:rsidRPr="002B77F3">
              <w:rPr>
                <w:rFonts w:eastAsia="Georgia" w:cstheme="minorHAnsi"/>
                <w:color w:val="000000"/>
                <w:lang w:val="es-CL"/>
              </w:rPr>
              <w:t>Se entenderá comprendido dentro del servicio todo lo necesario para la correcta implementación, operación, administración y continuidad de la infraestructura contratada, aun cuando no se encuentre expresamente señalado, siempre que resulte indispensable para el cumplimiento del objeto de la contratación.</w:t>
            </w:r>
          </w:p>
          <w:p w14:paraId="4275A824" w14:textId="77777777" w:rsidR="00F31F63" w:rsidRPr="002B77F3" w:rsidRDefault="00F31F63" w:rsidP="00F31F63">
            <w:pPr>
              <w:spacing w:before="157" w:after="157" w:line="270" w:lineRule="auto"/>
              <w:jc w:val="both"/>
              <w:rPr>
                <w:rFonts w:eastAsia="Georgia" w:cstheme="minorHAnsi"/>
                <w:b/>
                <w:bCs/>
                <w:color w:val="000000"/>
                <w:lang w:val="es-CL"/>
              </w:rPr>
            </w:pPr>
            <w:r w:rsidRPr="002B77F3">
              <w:rPr>
                <w:rFonts w:eastAsia="Georgia" w:cstheme="minorHAnsi"/>
                <w:b/>
                <w:bCs/>
                <w:color w:val="000000"/>
                <w:lang w:val="es-CL"/>
              </w:rPr>
              <w:t>Requerimientos técnicos mínimos</w:t>
            </w:r>
          </w:p>
          <w:p w14:paraId="36C0486B" w14:textId="77777777" w:rsidR="00F31F63" w:rsidRPr="002B77F3" w:rsidRDefault="00F31F63" w:rsidP="00F31F63">
            <w:pPr>
              <w:spacing w:before="157" w:after="157" w:line="271" w:lineRule="auto"/>
              <w:contextualSpacing/>
              <w:jc w:val="both"/>
              <w:rPr>
                <w:rFonts w:eastAsia="Georgia" w:cstheme="minorHAnsi"/>
                <w:color w:val="000000"/>
                <w:lang w:val="es-CL"/>
              </w:rPr>
            </w:pPr>
            <w:r w:rsidRPr="002B77F3">
              <w:rPr>
                <w:rFonts w:eastAsia="Georgia" w:cstheme="minorHAnsi"/>
                <w:color w:val="000000"/>
                <w:lang w:val="es-CL"/>
              </w:rPr>
              <w:t xml:space="preserve">La solución deberá contemplar capacidad suficiente para alojar y administrar, como referencia mínima, hasta 40 dominios y aplicaciones en ambiente productivo, incluyendo plataformas institucionales, servicios ciudadanos y sistemas municipales. </w:t>
            </w:r>
          </w:p>
          <w:p w14:paraId="07685C1D" w14:textId="77777777" w:rsidR="00F31F63" w:rsidRPr="002B77F3" w:rsidRDefault="00F31F63" w:rsidP="00F31F63">
            <w:pPr>
              <w:rPr>
                <w:rFonts w:eastAsia="Georgia" w:cstheme="minorHAnsi"/>
                <w:color w:val="000000"/>
                <w:lang w:val="es-CL"/>
              </w:rPr>
            </w:pPr>
            <w:r w:rsidRPr="002B77F3">
              <w:rPr>
                <w:rFonts w:eastAsia="Georgia" w:cstheme="minorHAnsi"/>
                <w:color w:val="000000"/>
                <w:lang w:val="es-CL"/>
              </w:rPr>
              <w:t xml:space="preserve">Asimismo, deberá considerar </w:t>
            </w:r>
            <w:r w:rsidRPr="002B77F3">
              <w:rPr>
                <w:rFonts w:eastAsia="Georgia" w:cstheme="minorHAnsi"/>
                <w:color w:val="000000"/>
              </w:rPr>
              <w:t>la provisión de una dirección IP pública dedicada</w:t>
            </w:r>
            <w:r w:rsidRPr="002B77F3">
              <w:rPr>
                <w:rFonts w:eastAsia="Georgia" w:cstheme="minorHAnsi"/>
                <w:color w:val="000000"/>
                <w:lang w:val="es-CL"/>
              </w:rPr>
              <w:t>, transferencia nacional e internacional sin restricción operativa y correo transaccional tipo SendGrid o equivalente, con un mínimo referencial de 100.000 envíos mensuales</w:t>
            </w:r>
          </w:p>
          <w:p w14:paraId="7B4FC0D3" w14:textId="77777777" w:rsidR="00F31F63" w:rsidRPr="002B77F3" w:rsidRDefault="00F31F63" w:rsidP="00F31F63">
            <w:pPr>
              <w:rPr>
                <w:rFonts w:eastAsia="Georgia" w:cstheme="minorHAnsi"/>
                <w:color w:val="000000"/>
                <w:lang w:val="es-CL"/>
              </w:rPr>
            </w:pPr>
          </w:p>
          <w:p w14:paraId="3DA5569D" w14:textId="77777777" w:rsidR="00F31F63" w:rsidRPr="002B77F3" w:rsidRDefault="00F31F63" w:rsidP="00F31F63">
            <w:pPr>
              <w:spacing w:before="157" w:after="157" w:line="270" w:lineRule="auto"/>
              <w:jc w:val="both"/>
              <w:rPr>
                <w:rFonts w:eastAsia="Georgia" w:cstheme="minorHAnsi"/>
                <w:color w:val="000000"/>
              </w:rPr>
            </w:pPr>
            <w:r w:rsidRPr="002B77F3">
              <w:rPr>
                <w:rFonts w:eastAsia="Georgia" w:cstheme="minorHAnsi"/>
                <w:color w:val="000000"/>
              </w:rPr>
              <w:t>La solución deberá contemplar la habilitación de una infraestructura adicional para atender eventos municipales de alta concurrencia, como actividades masivas, procesos de inscripción, distribución de entradas y otros escenarios de alta demanda.</w:t>
            </w:r>
          </w:p>
          <w:p w14:paraId="0AF89789" w14:textId="77777777" w:rsidR="00F31F63" w:rsidRPr="002B77F3" w:rsidRDefault="00F31F63" w:rsidP="00F31F63">
            <w:pPr>
              <w:spacing w:before="157" w:after="157" w:line="270" w:lineRule="auto"/>
              <w:jc w:val="both"/>
              <w:rPr>
                <w:rFonts w:eastAsia="Georgia" w:cstheme="minorHAnsi"/>
                <w:color w:val="000000"/>
              </w:rPr>
            </w:pPr>
            <w:r w:rsidRPr="002B77F3">
              <w:rPr>
                <w:rFonts w:eastAsia="Georgia" w:cstheme="minorHAnsi"/>
                <w:color w:val="000000"/>
              </w:rPr>
              <w:lastRenderedPageBreak/>
              <w:t>Para estos efectos, el oferente deberá disponer de una infraestructura independiente o complementaria al ambiente productivo principal, capaz de soportar un alto número de usuarios simultáneos sin afectar la continuidad del servicio.</w:t>
            </w:r>
          </w:p>
          <w:p w14:paraId="7DDA15B8" w14:textId="77777777" w:rsidR="00F31F63" w:rsidRPr="002B77F3" w:rsidRDefault="00F31F63" w:rsidP="00F31F63">
            <w:pPr>
              <w:spacing w:before="157" w:after="157" w:line="270" w:lineRule="auto"/>
              <w:jc w:val="both"/>
              <w:rPr>
                <w:rFonts w:eastAsia="Georgia" w:cstheme="minorHAnsi"/>
                <w:color w:val="000000"/>
                <w:lang w:val="es-CL"/>
              </w:rPr>
            </w:pPr>
            <w:r w:rsidRPr="002B77F3">
              <w:rPr>
                <w:rFonts w:eastAsia="Georgia" w:cstheme="minorHAnsi"/>
                <w:color w:val="000000"/>
                <w:lang w:val="es-CL"/>
              </w:rPr>
              <w:t>Esta infraestructura deberá considerar servidores de aplicación, base de datos, balanceo de carga y los componentes necesarios para la gestión de accesos, garantizando continuidad operativa, escalabilidad y buen desempeño durante el evento.</w:t>
            </w:r>
          </w:p>
          <w:p w14:paraId="32802177" w14:textId="77777777" w:rsidR="00F31F63" w:rsidRDefault="00F31F63" w:rsidP="00F31F63">
            <w:pPr>
              <w:spacing w:before="157" w:after="157" w:line="270" w:lineRule="auto"/>
              <w:jc w:val="both"/>
              <w:rPr>
                <w:rFonts w:eastAsia="Georgia" w:cstheme="minorHAnsi"/>
                <w:color w:val="000000"/>
                <w:lang w:val="es-CL"/>
              </w:rPr>
            </w:pPr>
            <w:r w:rsidRPr="002B77F3">
              <w:rPr>
                <w:rFonts w:eastAsia="Georgia" w:cstheme="minorHAnsi"/>
                <w:color w:val="000000"/>
                <w:lang w:val="es-CL"/>
              </w:rPr>
              <w:t>La Municipalidad podrá requerir su activación en períodos específicos del año, conforme a necesidades operativas asociadas a eventos masivos comunales, Fiestas Patrias, Navidad u otras instancias de alta concurrencia.</w:t>
            </w:r>
          </w:p>
          <w:p w14:paraId="26EFDF3F" w14:textId="77777777" w:rsidR="002B77F3" w:rsidRPr="002B77F3" w:rsidRDefault="002B77F3" w:rsidP="00F31F63">
            <w:pPr>
              <w:spacing w:before="157" w:after="157" w:line="270" w:lineRule="auto"/>
              <w:jc w:val="both"/>
              <w:rPr>
                <w:rFonts w:eastAsia="Georgia" w:cstheme="minorHAnsi"/>
                <w:color w:val="000000"/>
                <w:lang w:val="es-CL"/>
              </w:rPr>
            </w:pPr>
          </w:p>
          <w:p w14:paraId="74BCB5DD" w14:textId="6382056E" w:rsidR="00F31F63" w:rsidRPr="002B77F3" w:rsidRDefault="002B77F3" w:rsidP="00F31F63">
            <w:pPr>
              <w:rPr>
                <w:rFonts w:eastAsia="Calibri" w:cstheme="minorHAnsi"/>
                <w:b/>
                <w:bCs/>
              </w:rPr>
            </w:pPr>
            <w:r>
              <w:rPr>
                <w:rFonts w:eastAsia="Calibri" w:cstheme="minorHAnsi"/>
                <w:b/>
                <w:bCs/>
              </w:rPr>
              <w:t>**</w:t>
            </w:r>
            <w:r w:rsidRPr="002B77F3">
              <w:rPr>
                <w:rFonts w:eastAsia="Calibri" w:cstheme="minorHAnsi"/>
                <w:b/>
                <w:bCs/>
              </w:rPr>
              <w:t>Especificaciones completas del servicio se encuentran en Términos de Referencia adjuntos</w:t>
            </w:r>
            <w:r>
              <w:rPr>
                <w:rFonts w:eastAsia="Calibri" w:cstheme="minorHAnsi"/>
                <w:b/>
                <w:bCs/>
              </w:rPr>
              <w:t>**</w:t>
            </w:r>
          </w:p>
        </w:tc>
        <w:tc>
          <w:tcPr>
            <w:tcW w:w="1275" w:type="dxa"/>
            <w:tcBorders>
              <w:top w:val="single" w:sz="4" w:space="0" w:color="auto"/>
              <w:bottom w:val="single" w:sz="4" w:space="0" w:color="auto"/>
              <w:right w:val="single" w:sz="4" w:space="0" w:color="auto"/>
            </w:tcBorders>
            <w:vAlign w:val="center"/>
          </w:tcPr>
          <w:p w14:paraId="0699CE1C" w14:textId="49052C7C" w:rsidR="00F31F63" w:rsidRPr="00DD4C45" w:rsidRDefault="00CF28B2" w:rsidP="00DC7E8B">
            <w:pPr>
              <w:jc w:val="center"/>
              <w:rPr>
                <w:rFonts w:eastAsia="Calibri" w:cstheme="minorHAnsi"/>
              </w:rPr>
            </w:pPr>
            <w:r>
              <w:rPr>
                <w:rFonts w:eastAsia="Calibri" w:cstheme="minorHAnsi"/>
              </w:rPr>
              <w:lastRenderedPageBreak/>
              <w:t>6 meses</w:t>
            </w:r>
          </w:p>
        </w:tc>
        <w:tc>
          <w:tcPr>
            <w:tcW w:w="2132" w:type="dxa"/>
            <w:tcBorders>
              <w:top w:val="single" w:sz="4" w:space="0" w:color="auto"/>
              <w:left w:val="single" w:sz="4" w:space="0" w:color="auto"/>
              <w:bottom w:val="single" w:sz="4" w:space="0" w:color="auto"/>
              <w:right w:val="single" w:sz="4" w:space="0" w:color="auto"/>
            </w:tcBorders>
            <w:vAlign w:val="center"/>
          </w:tcPr>
          <w:p w14:paraId="5584AE29" w14:textId="77777777" w:rsidR="00F31F63" w:rsidRPr="00DD4C45" w:rsidRDefault="00F31F63" w:rsidP="00DC7E8B">
            <w:pPr>
              <w:rPr>
                <w:rFonts w:eastAsia="Calibri" w:cstheme="minorHAnsi"/>
                <w:b/>
                <w:color w:val="FF0000"/>
                <w:lang w:val="es-ES"/>
              </w:rPr>
            </w:pPr>
          </w:p>
        </w:tc>
      </w:tr>
      <w:bookmarkEnd w:id="2"/>
    </w:tbl>
    <w:p w14:paraId="2EECFBE4" w14:textId="77777777" w:rsidR="00F31F63" w:rsidRPr="00DD4C45" w:rsidRDefault="00F31F63" w:rsidP="00F31F63">
      <w:pPr>
        <w:spacing w:before="120" w:after="0" w:line="240" w:lineRule="auto"/>
        <w:jc w:val="both"/>
        <w:rPr>
          <w:rFonts w:eastAsia="Calibri" w:cstheme="minorHAnsi"/>
          <w:b/>
        </w:rPr>
      </w:pPr>
    </w:p>
    <w:p w14:paraId="54883158" w14:textId="77777777" w:rsidR="00F31F63" w:rsidRPr="00DD4C45" w:rsidRDefault="00F31F63" w:rsidP="00F31F63">
      <w:pPr>
        <w:spacing w:before="120" w:after="0" w:line="240" w:lineRule="auto"/>
        <w:jc w:val="both"/>
        <w:rPr>
          <w:rFonts w:eastAsia="Calibri" w:cstheme="minorHAnsi"/>
          <w:b/>
        </w:rPr>
      </w:pPr>
      <w:r w:rsidRPr="00DD4C45">
        <w:rPr>
          <w:rFonts w:eastAsia="Calibri" w:cstheme="minorHAnsi"/>
          <w:b/>
        </w:rPr>
        <w:t>Nota:</w:t>
      </w:r>
    </w:p>
    <w:p w14:paraId="40EC7024" w14:textId="77777777" w:rsidR="002B77F3" w:rsidRDefault="00F31F63" w:rsidP="002B77F3">
      <w:pPr>
        <w:spacing w:before="120" w:after="0" w:line="240" w:lineRule="auto"/>
        <w:jc w:val="both"/>
        <w:rPr>
          <w:rFonts w:eastAsia="Calibri" w:cstheme="minorHAnsi"/>
        </w:rPr>
      </w:pPr>
      <w:r w:rsidRPr="00DD4C45">
        <w:rPr>
          <w:rFonts w:eastAsia="Calibri" w:cstheme="minorHAnsi"/>
        </w:rPr>
        <w:t>Cualquier otro antecedente relevante dentro de la cotización deberá ser incorporado al final del anexo.</w:t>
      </w:r>
    </w:p>
    <w:p w14:paraId="3177577E" w14:textId="40B23AB2" w:rsidR="0058119F" w:rsidRPr="00CF28B2" w:rsidRDefault="0058119F" w:rsidP="00CF28B2">
      <w:pPr>
        <w:pStyle w:val="Prrafodelista"/>
        <w:numPr>
          <w:ilvl w:val="0"/>
          <w:numId w:val="1"/>
        </w:numPr>
        <w:spacing w:before="160" w:after="0" w:line="240" w:lineRule="auto"/>
        <w:ind w:left="567" w:hanging="567"/>
        <w:rPr>
          <w:rFonts w:eastAsia="Calibri" w:cstheme="minorHAnsi"/>
          <w:b/>
          <w:lang w:val="es-ES"/>
        </w:rPr>
      </w:pPr>
      <w:r w:rsidRPr="00CF28B2">
        <w:rPr>
          <w:rFonts w:eastAsia="Calibri" w:cstheme="minorHAnsi"/>
          <w:b/>
          <w:lang w:val="es-ES"/>
        </w:rPr>
        <w:t>INSTALACIÓN, IMPLEMENTACIÓN Y PUESTA EN MARCHA</w:t>
      </w:r>
    </w:p>
    <w:p w14:paraId="4A645723" w14:textId="77777777" w:rsidR="0058119F" w:rsidRPr="0058119F" w:rsidRDefault="0058119F" w:rsidP="0058119F">
      <w:pPr>
        <w:spacing w:before="160" w:after="0" w:line="240" w:lineRule="auto"/>
        <w:rPr>
          <w:rFonts w:eastAsia="Calibri" w:cstheme="minorHAnsi"/>
          <w:bCs/>
          <w:lang w:val="es-ES"/>
        </w:rPr>
      </w:pPr>
      <w:r w:rsidRPr="0058119F">
        <w:rPr>
          <w:rFonts w:eastAsia="Calibri" w:cstheme="minorHAnsi"/>
          <w:bCs/>
          <w:lang w:val="es-ES"/>
        </w:rPr>
        <w:t>El proveedor deberá ejecutar la instalación, implementación, configuración, migración y puesta en marcha de los servicios contratados dentro del plazo que defina la Municipalidad en la respectiva orden de compra, bases administrativas o acto de adjudicación.</w:t>
      </w:r>
    </w:p>
    <w:p w14:paraId="066FB5CE" w14:textId="77777777" w:rsidR="0058119F" w:rsidRPr="0058119F" w:rsidRDefault="0058119F" w:rsidP="0058119F">
      <w:pPr>
        <w:spacing w:before="160" w:after="0" w:line="240" w:lineRule="auto"/>
        <w:rPr>
          <w:rFonts w:eastAsia="Calibri" w:cstheme="minorHAnsi"/>
          <w:bCs/>
          <w:lang w:val="es-ES"/>
        </w:rPr>
      </w:pPr>
      <w:r w:rsidRPr="0058119F">
        <w:rPr>
          <w:rFonts w:eastAsia="Calibri" w:cstheme="minorHAnsi"/>
          <w:bCs/>
          <w:lang w:val="es-ES"/>
        </w:rPr>
        <w:t>La puesta en marcha deberá realizarse en coordinación con el Inspector Técnico del Servicio (ITS), dejando operativos los servicios comprometidos y documentando configuraciones, accesos, respaldos, monitoreo y componentes implementados.</w:t>
      </w:r>
    </w:p>
    <w:p w14:paraId="4BF88A86" w14:textId="069E5C62" w:rsidR="00F31F63" w:rsidRDefault="0058119F" w:rsidP="0058119F">
      <w:pPr>
        <w:spacing w:before="160" w:after="0" w:line="240" w:lineRule="auto"/>
        <w:rPr>
          <w:rFonts w:eastAsia="Calibri" w:cstheme="minorHAnsi"/>
          <w:bCs/>
          <w:lang w:val="es-ES"/>
        </w:rPr>
      </w:pPr>
      <w:r w:rsidRPr="0058119F">
        <w:rPr>
          <w:rFonts w:eastAsia="Calibri" w:cstheme="minorHAnsi"/>
          <w:bCs/>
          <w:lang w:val="es-ES"/>
        </w:rPr>
        <w:t>Para efectos de recepción conforme, la Municipalidad podrá exigir pruebas de funcionamiento, acceso, envío de correo, restauración, disponibilidad y seguridad.</w:t>
      </w:r>
    </w:p>
    <w:p w14:paraId="366ABC76" w14:textId="1676D9CF" w:rsidR="0058119F" w:rsidRPr="00CF28B2" w:rsidRDefault="00CF28B2" w:rsidP="00CF28B2">
      <w:pPr>
        <w:pStyle w:val="Prrafodelista"/>
        <w:numPr>
          <w:ilvl w:val="0"/>
          <w:numId w:val="1"/>
        </w:numPr>
        <w:spacing w:before="157" w:after="157" w:line="270" w:lineRule="auto"/>
        <w:ind w:left="567" w:hanging="567"/>
        <w:jc w:val="both"/>
        <w:rPr>
          <w:rFonts w:eastAsia="Georgia" w:cstheme="minorHAnsi"/>
          <w:b/>
          <w:bCs/>
          <w:color w:val="000000"/>
        </w:rPr>
      </w:pPr>
      <w:r w:rsidRPr="00CF28B2">
        <w:rPr>
          <w:rFonts w:eastAsia="Georgia" w:cstheme="minorHAnsi"/>
          <w:b/>
          <w:bCs/>
          <w:color w:val="000000"/>
        </w:rPr>
        <w:t>PLAZO DEL SERVICIO</w:t>
      </w:r>
    </w:p>
    <w:p w14:paraId="37CCBC21" w14:textId="58EF775D" w:rsid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 xml:space="preserve">La prestación del servicio iniciará el </w:t>
      </w:r>
      <w:r w:rsidR="003B66D2">
        <w:rPr>
          <w:rFonts w:eastAsia="Georgia" w:cstheme="minorHAnsi"/>
          <w:color w:val="000000"/>
        </w:rPr>
        <w:t>8</w:t>
      </w:r>
      <w:r w:rsidRPr="0058119F">
        <w:rPr>
          <w:rFonts w:eastAsia="Georgia" w:cstheme="minorHAnsi"/>
          <w:color w:val="000000"/>
        </w:rPr>
        <w:t xml:space="preserve"> de julio de 2026 y tendrá una duración de 6 meses, contados desde dicha fecha de inicio. Durante dicho período, el servicio deberá ejecutarse conforme a las condiciones, alcances y especificaciones técnicas establecidas en los presentes términos de referencia.</w:t>
      </w:r>
    </w:p>
    <w:p w14:paraId="71B5F6EE" w14:textId="141256AB" w:rsidR="0058119F" w:rsidRPr="00CF28B2" w:rsidRDefault="00CF28B2" w:rsidP="00CF28B2">
      <w:pPr>
        <w:pStyle w:val="Prrafodelista"/>
        <w:numPr>
          <w:ilvl w:val="0"/>
          <w:numId w:val="1"/>
        </w:numPr>
        <w:spacing w:before="157" w:after="157" w:line="270" w:lineRule="auto"/>
        <w:ind w:left="567" w:hanging="567"/>
        <w:jc w:val="both"/>
        <w:rPr>
          <w:rFonts w:eastAsia="Georgia" w:cstheme="minorHAnsi"/>
          <w:b/>
          <w:bCs/>
          <w:color w:val="000000"/>
        </w:rPr>
      </w:pPr>
      <w:r w:rsidRPr="00CF28B2">
        <w:rPr>
          <w:rFonts w:eastAsia="Georgia" w:cstheme="minorHAnsi"/>
          <w:b/>
          <w:bCs/>
          <w:color w:val="000000"/>
        </w:rPr>
        <w:t>SUPERVISIÓN E INSPECCIÓN TÉCNICA</w:t>
      </w:r>
    </w:p>
    <w:p w14:paraId="6CCEF82D"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La supervisión, administración, control y recepción del servicio corresponderán a la Dirección de Tecnología y Gestión Digital (DITEC), la cual designará a un Inspector Técnico del Servicio (ITS).</w:t>
      </w:r>
    </w:p>
    <w:p w14:paraId="5B13CFF4"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El proveedor deberá designar una contraparte técnica responsable y permanentemente disponible mediante teléfono y correo electrónico para atención de requerimientos, incidentes y coordinaciones operativas.</w:t>
      </w:r>
    </w:p>
    <w:p w14:paraId="221DBC5A"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lastRenderedPageBreak/>
        <w:t>Cuando el ITS requiera la comparecencia o intervención de la contraparte técnica, el proveedor deberá responder dentro de los plazos comprometidos según la criticidad del incidente.</w:t>
      </w:r>
    </w:p>
    <w:p w14:paraId="0A38987F" w14:textId="6DCE9C9E" w:rsidR="0058119F" w:rsidRPr="00CF28B2" w:rsidRDefault="00CF28B2" w:rsidP="00CF28B2">
      <w:pPr>
        <w:pStyle w:val="Prrafodelista"/>
        <w:numPr>
          <w:ilvl w:val="0"/>
          <w:numId w:val="1"/>
        </w:numPr>
        <w:spacing w:before="157" w:after="157" w:line="270" w:lineRule="auto"/>
        <w:ind w:left="567" w:hanging="567"/>
        <w:jc w:val="both"/>
        <w:rPr>
          <w:rFonts w:eastAsia="Georgia" w:cstheme="minorHAnsi"/>
          <w:b/>
          <w:bCs/>
          <w:color w:val="000000"/>
        </w:rPr>
      </w:pPr>
      <w:r w:rsidRPr="00CF28B2">
        <w:rPr>
          <w:rFonts w:eastAsia="Georgia" w:cstheme="minorHAnsi"/>
          <w:b/>
          <w:bCs/>
          <w:color w:val="000000"/>
        </w:rPr>
        <w:t>PRESENTACIÓN DE LA OFERTA</w:t>
      </w:r>
    </w:p>
    <w:p w14:paraId="383EEBF8" w14:textId="77777777" w:rsid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Los oferentes deberán presentar una propuesta técnica completa, detallada y estructurada, junto con los medios de verificación que acrediten el cumplimiento de los requerimientos técnicos establecidos en los presentes términos de referencia. La Municipalidad se reserva el derecho de verificar la información declarada mediante fuentes públicas, medios en línea y documentación oficial disponible.</w:t>
      </w:r>
    </w:p>
    <w:p w14:paraId="191CB699" w14:textId="7A93DE2C" w:rsidR="0058119F" w:rsidRPr="00CF28B2" w:rsidRDefault="00CF28B2" w:rsidP="00CF28B2">
      <w:pPr>
        <w:pStyle w:val="Prrafodelista"/>
        <w:numPr>
          <w:ilvl w:val="0"/>
          <w:numId w:val="1"/>
        </w:numPr>
        <w:spacing w:before="157" w:after="157" w:line="270" w:lineRule="auto"/>
        <w:ind w:left="567" w:hanging="567"/>
        <w:jc w:val="both"/>
        <w:rPr>
          <w:rFonts w:eastAsia="Georgia" w:cstheme="minorHAnsi"/>
          <w:b/>
          <w:bCs/>
          <w:color w:val="000000"/>
        </w:rPr>
      </w:pPr>
      <w:r w:rsidRPr="00CF28B2">
        <w:rPr>
          <w:rFonts w:eastAsia="Georgia" w:cstheme="minorHAnsi"/>
          <w:b/>
          <w:bCs/>
          <w:color w:val="000000"/>
        </w:rPr>
        <w:t>EXPERIENCIA DEL PROVEEDOR</w:t>
      </w:r>
    </w:p>
    <w:p w14:paraId="7D95CECA"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El oferente deberá acreditar experiencia en la prestación de servicios similares de infraestructura tecnológica, hosting administrado, administración de servidores, seguridad, respaldo, monitoreo y continuidad operacional</w:t>
      </w:r>
      <w:r w:rsidRPr="0058119F">
        <w:rPr>
          <w:rFonts w:cstheme="minorHAnsi"/>
        </w:rPr>
        <w:t>,</w:t>
      </w:r>
      <w:r w:rsidRPr="0058119F">
        <w:rPr>
          <w:rFonts w:eastAsia="Georgia" w:cstheme="minorHAnsi"/>
          <w:color w:val="000000"/>
        </w:rPr>
        <w:t xml:space="preserve"> en municipalidades u otros organismos del estado.</w:t>
      </w:r>
    </w:p>
    <w:p w14:paraId="439E1375" w14:textId="097ED790" w:rsidR="0058119F" w:rsidRPr="00DD4C45" w:rsidRDefault="0058119F" w:rsidP="00CF28B2">
      <w:pPr>
        <w:spacing w:before="157" w:after="157" w:line="270" w:lineRule="auto"/>
        <w:jc w:val="both"/>
        <w:rPr>
          <w:rFonts w:eastAsia="Calibri" w:cstheme="minorHAnsi"/>
          <w:b/>
          <w:lang w:val="es-ES"/>
        </w:rPr>
      </w:pPr>
      <w:r w:rsidRPr="0058119F">
        <w:rPr>
          <w:rFonts w:eastAsia="Georgia" w:cstheme="minorHAnsi"/>
          <w:color w:val="000000"/>
        </w:rPr>
        <w:t>Para acreditar dicha experiencia, el oferente deberá acompañar a la propuesta las respectivas órdenes de compra.</w:t>
      </w:r>
    </w:p>
    <w:p w14:paraId="18E71FA8" w14:textId="1F7A7300" w:rsidR="00F31F63" w:rsidRPr="00CF28B2" w:rsidRDefault="00F31F63" w:rsidP="00CF28B2">
      <w:pPr>
        <w:pStyle w:val="Prrafodelista"/>
        <w:widowControl w:val="0"/>
        <w:numPr>
          <w:ilvl w:val="0"/>
          <w:numId w:val="1"/>
        </w:numPr>
        <w:tabs>
          <w:tab w:val="left" w:pos="426"/>
        </w:tabs>
        <w:spacing w:after="0" w:line="240" w:lineRule="auto"/>
        <w:ind w:left="426" w:hanging="426"/>
        <w:jc w:val="both"/>
        <w:rPr>
          <w:rFonts w:eastAsia="Calibri" w:cstheme="minorHAnsi"/>
          <w:b/>
        </w:rPr>
      </w:pPr>
      <w:r w:rsidRPr="00CF28B2">
        <w:rPr>
          <w:rFonts w:eastAsia="Calibri" w:cstheme="minorHAnsi"/>
          <w:b/>
        </w:rPr>
        <w:t>PLAZO DE ENTREGA DE LOS PRODUCTOS/BIENES:</w:t>
      </w:r>
    </w:p>
    <w:p w14:paraId="75B635DD" w14:textId="77777777" w:rsidR="00F31F63" w:rsidRPr="00DD4C45" w:rsidRDefault="00F31F63" w:rsidP="00F31F63">
      <w:pPr>
        <w:widowControl w:val="0"/>
        <w:tabs>
          <w:tab w:val="left" w:pos="426"/>
        </w:tabs>
        <w:spacing w:before="120" w:after="200" w:line="240" w:lineRule="auto"/>
        <w:jc w:val="both"/>
        <w:rPr>
          <w:rFonts w:eastAsia="Calibri" w:cstheme="minorHAnsi"/>
        </w:rPr>
      </w:pPr>
      <w:r w:rsidRPr="00DD4C45">
        <w:rPr>
          <w:rFonts w:eastAsia="Calibri" w:cstheme="minorHAnsi"/>
        </w:rPr>
        <w:t>El proveedor certifica el siguiente plazo de entrega de los productos o bienes cotizados:</w:t>
      </w:r>
    </w:p>
    <w:tbl>
      <w:tblPr>
        <w:tblW w:w="9669"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FBD4B4"/>
        <w:tblLook w:val="04A0" w:firstRow="1" w:lastRow="0" w:firstColumn="1" w:lastColumn="0" w:noHBand="0" w:noVBand="1"/>
      </w:tblPr>
      <w:tblGrid>
        <w:gridCol w:w="6662"/>
        <w:gridCol w:w="3007"/>
      </w:tblGrid>
      <w:tr w:rsidR="00F31F63" w:rsidRPr="00DD4C45" w14:paraId="72AB1EAF" w14:textId="77777777" w:rsidTr="00DC7E8B">
        <w:trPr>
          <w:trHeight w:val="624"/>
          <w:jc w:val="center"/>
        </w:trPr>
        <w:tc>
          <w:tcPr>
            <w:tcW w:w="6662" w:type="dxa"/>
            <w:tcBorders>
              <w:top w:val="single" w:sz="4" w:space="0" w:color="auto"/>
              <w:left w:val="single" w:sz="4" w:space="0" w:color="auto"/>
              <w:bottom w:val="single" w:sz="4" w:space="0" w:color="auto"/>
              <w:right w:val="dashSmallGap" w:sz="4" w:space="0" w:color="auto"/>
            </w:tcBorders>
            <w:shd w:val="clear" w:color="auto" w:fill="D9E2F3" w:themeFill="accent1" w:themeFillTint="33"/>
            <w:vAlign w:val="center"/>
          </w:tcPr>
          <w:p w14:paraId="6A3D4436" w14:textId="77777777" w:rsidR="00F31F63" w:rsidRPr="00DD4C45" w:rsidRDefault="00F31F63" w:rsidP="00DC7E8B">
            <w:pPr>
              <w:spacing w:after="0" w:line="240" w:lineRule="auto"/>
              <w:rPr>
                <w:rFonts w:eastAsia="Calibri" w:cstheme="minorHAnsi"/>
                <w:b/>
              </w:rPr>
            </w:pPr>
            <w:r w:rsidRPr="00DD4C45">
              <w:rPr>
                <w:rFonts w:eastAsia="Calibri" w:cstheme="minorHAnsi"/>
                <w:shd w:val="clear" w:color="auto" w:fill="DEEAF6" w:themeFill="accent5" w:themeFillTint="33"/>
              </w:rPr>
              <w:t>El plazo de entrega de los productos o bienes cotizados, una vez</w:t>
            </w:r>
            <w:r w:rsidRPr="00DD4C45">
              <w:rPr>
                <w:rFonts w:eastAsia="Calibri" w:cstheme="minorHAnsi"/>
              </w:rPr>
              <w:t xml:space="preserve"> enviada la Orden de Compra será de:</w:t>
            </w:r>
          </w:p>
        </w:tc>
        <w:tc>
          <w:tcPr>
            <w:tcW w:w="3007" w:type="dxa"/>
            <w:tcBorders>
              <w:left w:val="dashSmallGap" w:sz="4" w:space="0" w:color="auto"/>
            </w:tcBorders>
            <w:shd w:val="clear" w:color="auto" w:fill="FFFFFF"/>
            <w:vAlign w:val="center"/>
          </w:tcPr>
          <w:p w14:paraId="4B6EBF3B" w14:textId="77777777" w:rsidR="00F31F63" w:rsidRPr="00DD4C45" w:rsidRDefault="00F31F63" w:rsidP="00DC7E8B">
            <w:pPr>
              <w:spacing w:after="0" w:line="240" w:lineRule="auto"/>
              <w:jc w:val="center"/>
              <w:rPr>
                <w:rFonts w:eastAsia="Calibri" w:cstheme="minorHAnsi"/>
                <w:b/>
              </w:rPr>
            </w:pPr>
            <w:r w:rsidRPr="00DD4C45">
              <w:rPr>
                <w:rFonts w:eastAsia="Calibri" w:cstheme="minorHAnsi"/>
                <w:b/>
              </w:rPr>
              <w:t>……..……. días corridos</w:t>
            </w:r>
          </w:p>
        </w:tc>
      </w:tr>
    </w:tbl>
    <w:p w14:paraId="29C52120" w14:textId="77777777" w:rsidR="00F31F63" w:rsidRPr="00DD4C45" w:rsidRDefault="00F31F63" w:rsidP="00F31F63">
      <w:pPr>
        <w:spacing w:before="160" w:after="0" w:line="240" w:lineRule="auto"/>
        <w:jc w:val="both"/>
        <w:rPr>
          <w:rFonts w:eastAsia="Calibri" w:cstheme="minorHAnsi"/>
        </w:rPr>
      </w:pPr>
    </w:p>
    <w:p w14:paraId="0A94A4B7" w14:textId="77777777" w:rsidR="00F31F63" w:rsidRPr="00DD4C45" w:rsidRDefault="00F31F63" w:rsidP="00CF28B2">
      <w:pPr>
        <w:widowControl w:val="0"/>
        <w:numPr>
          <w:ilvl w:val="0"/>
          <w:numId w:val="1"/>
        </w:numPr>
        <w:tabs>
          <w:tab w:val="left" w:pos="426"/>
        </w:tabs>
        <w:spacing w:after="0" w:line="240" w:lineRule="auto"/>
        <w:ind w:left="567" w:hanging="567"/>
        <w:contextualSpacing/>
        <w:jc w:val="both"/>
        <w:rPr>
          <w:rFonts w:eastAsia="Calibri" w:cstheme="minorHAnsi"/>
          <w:b/>
        </w:rPr>
      </w:pPr>
      <w:r w:rsidRPr="00DD4C45">
        <w:rPr>
          <w:rFonts w:eastAsia="Calibri" w:cstheme="minorHAnsi"/>
          <w:b/>
        </w:rPr>
        <w:t>PLAZO DE GARANTÍA DE LOS PRODUCTOS/BIENES (Completar si corresponde):</w:t>
      </w:r>
    </w:p>
    <w:p w14:paraId="037FBD07" w14:textId="77777777" w:rsidR="00F31F63" w:rsidRPr="00DD4C45" w:rsidRDefault="00F31F63" w:rsidP="00F31F63">
      <w:pPr>
        <w:spacing w:before="120" w:after="240" w:line="240" w:lineRule="auto"/>
        <w:jc w:val="both"/>
        <w:rPr>
          <w:rFonts w:eastAsia="Calibri" w:cstheme="minorHAnsi"/>
        </w:rPr>
      </w:pPr>
      <w:r w:rsidRPr="00DD4C45">
        <w:rPr>
          <w:rFonts w:eastAsia="Calibri" w:cstheme="minorHAnsi"/>
        </w:rPr>
        <w:t>El proveedor certifica el siguiente plazo de garantía: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4"/>
        <w:gridCol w:w="2829"/>
      </w:tblGrid>
      <w:tr w:rsidR="00F31F63" w:rsidRPr="00DD4C45" w14:paraId="0A440FEC" w14:textId="77777777" w:rsidTr="00DC7E8B">
        <w:trPr>
          <w:trHeight w:val="567"/>
          <w:jc w:val="center"/>
        </w:trPr>
        <w:tc>
          <w:tcPr>
            <w:tcW w:w="6658" w:type="dxa"/>
            <w:tcBorders>
              <w:top w:val="single" w:sz="4" w:space="0" w:color="auto"/>
              <w:left w:val="single" w:sz="4" w:space="0" w:color="auto"/>
              <w:bottom w:val="single" w:sz="4" w:space="0" w:color="auto"/>
              <w:right w:val="dashSmallGap" w:sz="4" w:space="0" w:color="auto"/>
            </w:tcBorders>
            <w:shd w:val="clear" w:color="auto" w:fill="DEEAF6" w:themeFill="accent5" w:themeFillTint="33"/>
            <w:vAlign w:val="center"/>
          </w:tcPr>
          <w:p w14:paraId="56836007" w14:textId="77777777" w:rsidR="00F31F63" w:rsidRPr="00DD4C45" w:rsidRDefault="00F31F63" w:rsidP="00DC7E8B">
            <w:pPr>
              <w:spacing w:after="0" w:line="240" w:lineRule="auto"/>
              <w:rPr>
                <w:rFonts w:eastAsia="Calibri" w:cstheme="minorHAnsi"/>
                <w:b/>
                <w:i/>
              </w:rPr>
            </w:pPr>
            <w:r w:rsidRPr="00DD4C45">
              <w:rPr>
                <w:rFonts w:eastAsia="Calibri" w:cstheme="minorHAnsi"/>
              </w:rPr>
              <w:t>El Plazo de Garantía será de:</w:t>
            </w:r>
          </w:p>
        </w:tc>
        <w:tc>
          <w:tcPr>
            <w:tcW w:w="2852" w:type="dxa"/>
            <w:tcBorders>
              <w:top w:val="dashSmallGap" w:sz="4" w:space="0" w:color="auto"/>
              <w:left w:val="dashSmallGap" w:sz="4" w:space="0" w:color="auto"/>
              <w:bottom w:val="dashSmallGap" w:sz="4" w:space="0" w:color="auto"/>
              <w:right w:val="dashSmallGap" w:sz="4" w:space="0" w:color="auto"/>
            </w:tcBorders>
            <w:shd w:val="clear" w:color="auto" w:fill="FFFFFF"/>
            <w:vAlign w:val="center"/>
          </w:tcPr>
          <w:p w14:paraId="0907C603" w14:textId="77777777" w:rsidR="00F31F63" w:rsidRPr="00DD4C45" w:rsidRDefault="00F31F63" w:rsidP="00DC7E8B">
            <w:pPr>
              <w:spacing w:after="0" w:line="240" w:lineRule="auto"/>
              <w:jc w:val="center"/>
              <w:rPr>
                <w:rFonts w:eastAsia="Calibri" w:cstheme="minorHAnsi"/>
                <w:b/>
                <w:i/>
              </w:rPr>
            </w:pPr>
            <w:r w:rsidRPr="00DD4C45">
              <w:rPr>
                <w:rFonts w:eastAsia="Calibri" w:cstheme="minorHAnsi"/>
                <w:b/>
              </w:rPr>
              <w:t>………………… meses</w:t>
            </w:r>
          </w:p>
        </w:tc>
      </w:tr>
    </w:tbl>
    <w:p w14:paraId="7023985D" w14:textId="77777777" w:rsidR="00F31F63" w:rsidRPr="00DD4C45" w:rsidRDefault="00F31F63" w:rsidP="00F31F63">
      <w:pPr>
        <w:spacing w:after="0" w:line="240" w:lineRule="auto"/>
        <w:ind w:left="426"/>
        <w:contextualSpacing/>
        <w:rPr>
          <w:rFonts w:eastAsia="Calibri" w:cstheme="minorHAnsi"/>
          <w:b/>
          <w:lang w:val="es-ES"/>
        </w:rPr>
      </w:pPr>
    </w:p>
    <w:p w14:paraId="20991A81" w14:textId="77777777" w:rsidR="00F31F63" w:rsidRPr="00DD4C45" w:rsidRDefault="00F31F63" w:rsidP="00CF28B2">
      <w:pPr>
        <w:numPr>
          <w:ilvl w:val="0"/>
          <w:numId w:val="1"/>
        </w:numPr>
        <w:spacing w:after="0" w:line="240" w:lineRule="auto"/>
        <w:ind w:left="567" w:hanging="567"/>
        <w:contextualSpacing/>
        <w:rPr>
          <w:rFonts w:eastAsia="Calibri" w:cstheme="minorHAnsi"/>
          <w:b/>
          <w:lang w:val="es-ES"/>
        </w:rPr>
      </w:pPr>
      <w:r w:rsidRPr="00DD4C45">
        <w:rPr>
          <w:rFonts w:eastAsia="Calibri" w:cstheme="minorHAnsi"/>
          <w:b/>
          <w:lang w:val="es-ES"/>
        </w:rPr>
        <w:t>OFERTA ECONÓMICA:</w:t>
      </w:r>
    </w:p>
    <w:p w14:paraId="3DDE2712" w14:textId="77777777" w:rsidR="00F31F63" w:rsidRPr="00DD4C45" w:rsidRDefault="00F31F63" w:rsidP="00F31F63">
      <w:pPr>
        <w:tabs>
          <w:tab w:val="left" w:pos="5103"/>
        </w:tabs>
        <w:spacing w:before="120" w:after="0" w:line="240" w:lineRule="auto"/>
        <w:jc w:val="both"/>
        <w:rPr>
          <w:rFonts w:eastAsia="Calibri" w:cstheme="minorHAnsi"/>
        </w:rPr>
      </w:pPr>
      <w:r w:rsidRPr="00DD4C45">
        <w:rPr>
          <w:rFonts w:eastAsia="Calibri" w:cstheme="minorHAnsi"/>
        </w:rPr>
        <w:t>El proveedor certifica los siguientes valores unitarios y totales ofertados para los bienes o servicios cotizados:</w:t>
      </w:r>
    </w:p>
    <w:p w14:paraId="0E8DB0F0" w14:textId="77777777" w:rsidR="00F31F63" w:rsidRPr="00DD4C45" w:rsidRDefault="00F31F63" w:rsidP="00F31F63">
      <w:pPr>
        <w:widowControl w:val="0"/>
        <w:spacing w:after="0" w:line="240" w:lineRule="auto"/>
        <w:jc w:val="both"/>
        <w:rPr>
          <w:rFonts w:eastAsia="Calibri" w:cstheme="minorHAnsi"/>
        </w:rPr>
      </w:pPr>
    </w:p>
    <w:tbl>
      <w:tblPr>
        <w:tblStyle w:val="Listaclara-nfasis31"/>
        <w:tblW w:w="9632" w:type="dxa"/>
        <w:jc w:val="cente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Layout w:type="fixed"/>
        <w:tblLook w:val="04A0" w:firstRow="1" w:lastRow="0" w:firstColumn="1" w:lastColumn="0" w:noHBand="0" w:noVBand="1"/>
      </w:tblPr>
      <w:tblGrid>
        <w:gridCol w:w="3179"/>
        <w:gridCol w:w="1220"/>
        <w:gridCol w:w="1275"/>
        <w:gridCol w:w="1985"/>
        <w:gridCol w:w="1973"/>
      </w:tblGrid>
      <w:tr w:rsidR="00F31F63" w:rsidRPr="00DD4C45" w14:paraId="1831A3A3" w14:textId="77777777" w:rsidTr="00DC7E8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399"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noWrap/>
            <w:vAlign w:val="center"/>
          </w:tcPr>
          <w:p w14:paraId="6CC9A108" w14:textId="77777777" w:rsidR="00F31F63" w:rsidRPr="00DD4C45" w:rsidRDefault="00F31F63" w:rsidP="00DC7E8B">
            <w:pPr>
              <w:spacing w:after="200" w:line="276" w:lineRule="auto"/>
              <w:jc w:val="center"/>
              <w:rPr>
                <w:rFonts w:eastAsia="Times New Roman" w:cstheme="minorHAnsi"/>
                <w:color w:val="000000" w:themeColor="text1"/>
                <w:lang w:eastAsia="es-CL"/>
              </w:rPr>
            </w:pPr>
            <w:bookmarkStart w:id="3" w:name="_Hlk121483696"/>
            <w:r w:rsidRPr="00DD4C45">
              <w:rPr>
                <w:rFonts w:eastAsia="Times New Roman" w:cstheme="minorHAnsi"/>
                <w:color w:val="000000" w:themeColor="text1"/>
                <w:lang w:eastAsia="es-CL"/>
              </w:rPr>
              <w:t>DETALLE DE LOS BIENES O SERVICIOS COTIZADOS</w:t>
            </w:r>
          </w:p>
        </w:tc>
        <w:tc>
          <w:tcPr>
            <w:tcW w:w="127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E339271"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(A)</w:t>
            </w:r>
          </w:p>
          <w:p w14:paraId="6B85A721"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CANTIDAD</w:t>
            </w:r>
          </w:p>
        </w:tc>
        <w:tc>
          <w:tcPr>
            <w:tcW w:w="1985" w:type="dxa"/>
            <w:tcBorders>
              <w:top w:val="single" w:sz="4" w:space="0" w:color="auto"/>
              <w:left w:val="single" w:sz="4" w:space="0" w:color="auto"/>
              <w:bottom w:val="dashSmallGap" w:sz="4" w:space="0" w:color="000000"/>
              <w:right w:val="single" w:sz="4" w:space="0" w:color="auto"/>
            </w:tcBorders>
            <w:shd w:val="clear" w:color="auto" w:fill="9CC2E5" w:themeFill="accent5" w:themeFillTint="99"/>
          </w:tcPr>
          <w:p w14:paraId="01699208"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(B)</w:t>
            </w:r>
          </w:p>
          <w:p w14:paraId="4A13E5E4"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VALOR UNITARIO</w:t>
            </w:r>
          </w:p>
          <w:p w14:paraId="78674361"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w:t>
            </w:r>
          </w:p>
        </w:tc>
        <w:tc>
          <w:tcPr>
            <w:tcW w:w="1973" w:type="dxa"/>
            <w:tcBorders>
              <w:top w:val="single" w:sz="4" w:space="0" w:color="auto"/>
              <w:left w:val="single" w:sz="4" w:space="0" w:color="auto"/>
              <w:bottom w:val="dashSmallGap" w:sz="4" w:space="0" w:color="000000"/>
              <w:right w:val="single" w:sz="4" w:space="0" w:color="auto"/>
            </w:tcBorders>
            <w:shd w:val="clear" w:color="auto" w:fill="9CC2E5" w:themeFill="accent5" w:themeFillTint="99"/>
            <w:vAlign w:val="center"/>
          </w:tcPr>
          <w:p w14:paraId="2C90C698"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SUBTOTAL NETO</w:t>
            </w:r>
          </w:p>
          <w:p w14:paraId="491F6D7D"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w:t>
            </w:r>
          </w:p>
          <w:p w14:paraId="55B83E0F" w14:textId="77777777" w:rsidR="00F31F63" w:rsidRPr="00DD4C45" w:rsidRDefault="00F31F63" w:rsidP="00DC7E8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lang w:eastAsia="es-CL"/>
              </w:rPr>
            </w:pPr>
            <w:r w:rsidRPr="00DD4C45">
              <w:rPr>
                <w:rFonts w:eastAsia="Times New Roman" w:cstheme="minorHAnsi"/>
                <w:color w:val="000000" w:themeColor="text1"/>
                <w:lang w:eastAsia="es-CL"/>
              </w:rPr>
              <w:t>(AxB)</w:t>
            </w:r>
          </w:p>
        </w:tc>
      </w:tr>
      <w:tr w:rsidR="00F31F63" w:rsidRPr="00DD4C45" w14:paraId="29BDED16" w14:textId="77777777" w:rsidTr="00DC7E8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399" w:type="dxa"/>
            <w:gridSpan w:val="2"/>
            <w:tcBorders>
              <w:top w:val="single" w:sz="4" w:space="0" w:color="auto"/>
              <w:left w:val="single" w:sz="4" w:space="0" w:color="auto"/>
              <w:bottom w:val="single" w:sz="4" w:space="0" w:color="auto"/>
              <w:right w:val="single" w:sz="4" w:space="0" w:color="auto"/>
            </w:tcBorders>
            <w:noWrap/>
            <w:vAlign w:val="center"/>
          </w:tcPr>
          <w:p w14:paraId="435F640E" w14:textId="636BC6A0" w:rsidR="00F31F63" w:rsidRPr="00DD4C45" w:rsidRDefault="002B77F3" w:rsidP="002B77F3">
            <w:pPr>
              <w:widowControl w:val="0"/>
              <w:tabs>
                <w:tab w:val="left" w:pos="29"/>
                <w:tab w:val="left" w:pos="871"/>
              </w:tabs>
              <w:autoSpaceDE w:val="0"/>
              <w:autoSpaceDN w:val="0"/>
              <w:rPr>
                <w:rFonts w:eastAsia="Arial MT" w:cstheme="minorHAnsi"/>
              </w:rPr>
            </w:pPr>
            <w:r w:rsidRPr="002B77F3">
              <w:rPr>
                <w:rFonts w:eastAsia="Arial MT" w:cstheme="minorHAnsi"/>
              </w:rPr>
              <w:t>SERVICIO DE INFRAESTRUCTURA TECNOLÓGICA, HOSTING ADMINISTRADO Y DATACENTER MUNICIPAL</w:t>
            </w:r>
          </w:p>
        </w:tc>
        <w:tc>
          <w:tcPr>
            <w:tcW w:w="1275" w:type="dxa"/>
            <w:tcBorders>
              <w:top w:val="single" w:sz="4" w:space="0" w:color="auto"/>
              <w:left w:val="single" w:sz="4" w:space="0" w:color="auto"/>
              <w:bottom w:val="single" w:sz="4" w:space="0" w:color="auto"/>
              <w:right w:val="dashSmallGap" w:sz="4" w:space="0" w:color="000000"/>
            </w:tcBorders>
            <w:vAlign w:val="center"/>
          </w:tcPr>
          <w:p w14:paraId="3D8E3DA2" w14:textId="3FC69E05" w:rsidR="00F31F63" w:rsidRPr="00DD4C45" w:rsidRDefault="00CF28B2" w:rsidP="00DC7E8B">
            <w:pPr>
              <w:cnfStyle w:val="000000100000" w:firstRow="0" w:lastRow="0" w:firstColumn="0" w:lastColumn="0" w:oddVBand="0" w:evenVBand="0" w:oddHBand="1" w:evenHBand="0" w:firstRowFirstColumn="0" w:firstRowLastColumn="0" w:lastRowFirstColumn="0" w:lastRowLastColumn="0"/>
              <w:rPr>
                <w:rFonts w:cstheme="minorHAnsi"/>
              </w:rPr>
            </w:pPr>
            <w:r>
              <w:rPr>
                <w:rFonts w:eastAsia="Calibri" w:cstheme="minorHAnsi"/>
              </w:rPr>
              <w:t>6 meses</w:t>
            </w:r>
          </w:p>
        </w:tc>
        <w:tc>
          <w:tcPr>
            <w:tcW w:w="1985" w:type="dxa"/>
            <w:tcBorders>
              <w:top w:val="dashSmallGap" w:sz="4" w:space="0" w:color="000000"/>
              <w:left w:val="dashSmallGap" w:sz="4" w:space="0" w:color="000000"/>
              <w:bottom w:val="dashSmallGap" w:sz="4" w:space="0" w:color="000000"/>
              <w:right w:val="dashSmallGap" w:sz="4" w:space="0" w:color="000000"/>
            </w:tcBorders>
            <w:vAlign w:val="center"/>
          </w:tcPr>
          <w:p w14:paraId="14DF53CF" w14:textId="77777777" w:rsidR="00F31F63" w:rsidRPr="00DD4C45" w:rsidRDefault="00F31F63" w:rsidP="00DC7E8B">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L"/>
              </w:rPr>
            </w:pPr>
          </w:p>
        </w:tc>
        <w:tc>
          <w:tcPr>
            <w:tcW w:w="1973" w:type="dxa"/>
            <w:tcBorders>
              <w:top w:val="dashSmallGap" w:sz="4" w:space="0" w:color="000000"/>
              <w:left w:val="dashSmallGap" w:sz="4" w:space="0" w:color="000000"/>
              <w:bottom w:val="dashSmallGap" w:sz="4" w:space="0" w:color="000000"/>
              <w:right w:val="dashSmallGap" w:sz="4" w:space="0" w:color="000000"/>
            </w:tcBorders>
            <w:vAlign w:val="center"/>
          </w:tcPr>
          <w:p w14:paraId="569EEB83" w14:textId="77777777" w:rsidR="00F31F63" w:rsidRPr="00DD4C45" w:rsidRDefault="00F31F63" w:rsidP="00DC7E8B">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L"/>
              </w:rPr>
            </w:pPr>
          </w:p>
        </w:tc>
      </w:tr>
      <w:tr w:rsidR="00F31F63" w:rsidRPr="00DD4C45" w14:paraId="5F6C7263" w14:textId="77777777" w:rsidTr="00DC7E8B">
        <w:trPr>
          <w:gridBefore w:val="1"/>
          <w:wBefore w:w="3179" w:type="dxa"/>
          <w:trHeight w:val="369"/>
          <w:jc w:val="center"/>
        </w:trPr>
        <w:tc>
          <w:tcPr>
            <w:cnfStyle w:val="001000000000" w:firstRow="0" w:lastRow="0" w:firstColumn="1" w:lastColumn="0" w:oddVBand="0" w:evenVBand="0" w:oddHBand="0" w:evenHBand="0" w:firstRowFirstColumn="0" w:firstRowLastColumn="0" w:lastRowFirstColumn="0" w:lastRowLastColumn="0"/>
            <w:tcW w:w="4480" w:type="dxa"/>
            <w:gridSpan w:val="3"/>
            <w:tcBorders>
              <w:top w:val="single" w:sz="4" w:space="0" w:color="auto"/>
              <w:left w:val="single" w:sz="4" w:space="0" w:color="auto"/>
              <w:bottom w:val="single" w:sz="4" w:space="0" w:color="auto"/>
              <w:right w:val="dashSmallGap" w:sz="4" w:space="0" w:color="000000"/>
            </w:tcBorders>
            <w:noWrap/>
            <w:vAlign w:val="center"/>
          </w:tcPr>
          <w:p w14:paraId="763D3F6D" w14:textId="77777777" w:rsidR="00F31F63" w:rsidRPr="00DD4C45" w:rsidRDefault="00F31F63" w:rsidP="00DC7E8B">
            <w:pPr>
              <w:spacing w:after="200" w:line="276" w:lineRule="auto"/>
              <w:jc w:val="right"/>
              <w:rPr>
                <w:rFonts w:eastAsia="Times New Roman" w:cstheme="minorHAnsi"/>
                <w:lang w:eastAsia="es-CL"/>
              </w:rPr>
            </w:pPr>
            <w:r w:rsidRPr="00DD4C45">
              <w:rPr>
                <w:rFonts w:eastAsia="Times New Roman" w:cstheme="minorHAnsi"/>
                <w:lang w:eastAsia="es-CL"/>
              </w:rPr>
              <w:t>VALOR NETO**</w:t>
            </w:r>
          </w:p>
        </w:tc>
        <w:tc>
          <w:tcPr>
            <w:tcW w:w="1973" w:type="dxa"/>
            <w:tcBorders>
              <w:top w:val="dashSmallGap" w:sz="4" w:space="0" w:color="000000"/>
              <w:left w:val="dashSmallGap" w:sz="4" w:space="0" w:color="000000"/>
              <w:bottom w:val="dashSmallGap" w:sz="4" w:space="0" w:color="000000"/>
              <w:right w:val="dashSmallGap" w:sz="4" w:space="0" w:color="000000"/>
            </w:tcBorders>
            <w:vAlign w:val="center"/>
          </w:tcPr>
          <w:p w14:paraId="26B74205" w14:textId="77777777" w:rsidR="00F31F63" w:rsidRPr="00DD4C45" w:rsidRDefault="00F31F63" w:rsidP="00DC7E8B">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CL"/>
              </w:rPr>
            </w:pPr>
          </w:p>
        </w:tc>
      </w:tr>
      <w:tr w:rsidR="00F31F63" w:rsidRPr="00DD4C45" w14:paraId="61C443DA" w14:textId="77777777" w:rsidTr="00DC7E8B">
        <w:trPr>
          <w:gridBefore w:val="1"/>
          <w:cnfStyle w:val="000000100000" w:firstRow="0" w:lastRow="0" w:firstColumn="0" w:lastColumn="0" w:oddVBand="0" w:evenVBand="0" w:oddHBand="1" w:evenHBand="0" w:firstRowFirstColumn="0" w:firstRowLastColumn="0" w:lastRowFirstColumn="0" w:lastRowLastColumn="0"/>
          <w:wBefore w:w="3179" w:type="dxa"/>
          <w:trHeight w:val="369"/>
          <w:jc w:val="center"/>
        </w:trPr>
        <w:tc>
          <w:tcPr>
            <w:cnfStyle w:val="001000000000" w:firstRow="0" w:lastRow="0" w:firstColumn="1" w:lastColumn="0" w:oddVBand="0" w:evenVBand="0" w:oddHBand="0" w:evenHBand="0" w:firstRowFirstColumn="0" w:firstRowLastColumn="0" w:lastRowFirstColumn="0" w:lastRowLastColumn="0"/>
            <w:tcW w:w="4480" w:type="dxa"/>
            <w:gridSpan w:val="3"/>
            <w:tcBorders>
              <w:top w:val="single" w:sz="4" w:space="0" w:color="auto"/>
              <w:left w:val="single" w:sz="4" w:space="0" w:color="auto"/>
              <w:bottom w:val="single" w:sz="4" w:space="0" w:color="auto"/>
              <w:right w:val="dashSmallGap" w:sz="4" w:space="0" w:color="000000"/>
            </w:tcBorders>
            <w:noWrap/>
            <w:vAlign w:val="center"/>
          </w:tcPr>
          <w:p w14:paraId="5E6D1F1F" w14:textId="77777777" w:rsidR="00F31F63" w:rsidRPr="00DD4C45" w:rsidRDefault="00F31F63" w:rsidP="00DC7E8B">
            <w:pPr>
              <w:spacing w:after="200" w:line="276" w:lineRule="auto"/>
              <w:jc w:val="right"/>
              <w:rPr>
                <w:rFonts w:eastAsia="Times New Roman" w:cstheme="minorHAnsi"/>
                <w:lang w:eastAsia="es-CL"/>
              </w:rPr>
            </w:pPr>
            <w:r w:rsidRPr="00DD4C45">
              <w:rPr>
                <w:rFonts w:eastAsia="Times New Roman" w:cstheme="minorHAnsi"/>
                <w:lang w:eastAsia="es-CL"/>
              </w:rPr>
              <w:t>IVA (19%)</w:t>
            </w:r>
          </w:p>
        </w:tc>
        <w:tc>
          <w:tcPr>
            <w:tcW w:w="1973" w:type="dxa"/>
            <w:tcBorders>
              <w:top w:val="dashSmallGap" w:sz="4" w:space="0" w:color="000000"/>
              <w:left w:val="dashSmallGap" w:sz="4" w:space="0" w:color="000000"/>
              <w:bottom w:val="dashSmallGap" w:sz="4" w:space="0" w:color="000000"/>
              <w:right w:val="dashSmallGap" w:sz="4" w:space="0" w:color="000000"/>
            </w:tcBorders>
            <w:vAlign w:val="center"/>
          </w:tcPr>
          <w:p w14:paraId="1B4FDC54" w14:textId="77777777" w:rsidR="00F31F63" w:rsidRPr="00DD4C45" w:rsidRDefault="00F31F63" w:rsidP="00DC7E8B">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L"/>
              </w:rPr>
            </w:pPr>
          </w:p>
        </w:tc>
      </w:tr>
      <w:tr w:rsidR="00F31F63" w:rsidRPr="00DD4C45" w14:paraId="53B0AF12" w14:textId="77777777" w:rsidTr="00DC7E8B">
        <w:trPr>
          <w:gridBefore w:val="1"/>
          <w:wBefore w:w="3179" w:type="dxa"/>
          <w:trHeight w:val="369"/>
          <w:jc w:val="center"/>
        </w:trPr>
        <w:tc>
          <w:tcPr>
            <w:cnfStyle w:val="001000000000" w:firstRow="0" w:lastRow="0" w:firstColumn="1" w:lastColumn="0" w:oddVBand="0" w:evenVBand="0" w:oddHBand="0" w:evenHBand="0" w:firstRowFirstColumn="0" w:firstRowLastColumn="0" w:lastRowFirstColumn="0" w:lastRowLastColumn="0"/>
            <w:tcW w:w="4480" w:type="dxa"/>
            <w:gridSpan w:val="3"/>
            <w:tcBorders>
              <w:top w:val="single" w:sz="4" w:space="0" w:color="auto"/>
              <w:left w:val="single" w:sz="4" w:space="0" w:color="auto"/>
              <w:bottom w:val="single" w:sz="4" w:space="0" w:color="auto"/>
              <w:right w:val="dashSmallGap" w:sz="4" w:space="0" w:color="000000"/>
            </w:tcBorders>
            <w:noWrap/>
            <w:vAlign w:val="center"/>
          </w:tcPr>
          <w:p w14:paraId="416BEB05" w14:textId="77777777" w:rsidR="00F31F63" w:rsidRPr="00DD4C45" w:rsidRDefault="00F31F63" w:rsidP="00DC7E8B">
            <w:pPr>
              <w:spacing w:after="200" w:line="276" w:lineRule="auto"/>
              <w:jc w:val="right"/>
              <w:rPr>
                <w:rFonts w:eastAsia="Times New Roman" w:cstheme="minorHAnsi"/>
                <w:lang w:eastAsia="es-CL"/>
              </w:rPr>
            </w:pPr>
            <w:r w:rsidRPr="00DD4C45">
              <w:rPr>
                <w:rFonts w:eastAsia="Times New Roman" w:cstheme="minorHAnsi"/>
                <w:lang w:eastAsia="es-CL"/>
              </w:rPr>
              <w:t>TOTAL OFERTA ECONÓMICA IVA INCLUIDO</w:t>
            </w:r>
          </w:p>
        </w:tc>
        <w:tc>
          <w:tcPr>
            <w:tcW w:w="1973" w:type="dxa"/>
            <w:tcBorders>
              <w:top w:val="dashSmallGap" w:sz="4" w:space="0" w:color="000000"/>
              <w:left w:val="dashSmallGap" w:sz="4" w:space="0" w:color="000000"/>
              <w:bottom w:val="dashSmallGap" w:sz="4" w:space="0" w:color="000000"/>
              <w:right w:val="dashSmallGap" w:sz="4" w:space="0" w:color="000000"/>
            </w:tcBorders>
            <w:vAlign w:val="center"/>
          </w:tcPr>
          <w:p w14:paraId="6423FD13" w14:textId="77777777" w:rsidR="00F31F63" w:rsidRPr="00DD4C45" w:rsidRDefault="00F31F63" w:rsidP="00DC7E8B">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CL"/>
              </w:rPr>
            </w:pPr>
          </w:p>
        </w:tc>
      </w:tr>
      <w:bookmarkEnd w:id="3"/>
    </w:tbl>
    <w:p w14:paraId="3C393854" w14:textId="77777777" w:rsidR="00F31F63" w:rsidRPr="00DD4C45" w:rsidRDefault="00F31F63" w:rsidP="00F31F63">
      <w:pPr>
        <w:spacing w:after="0" w:line="240" w:lineRule="auto"/>
        <w:rPr>
          <w:rFonts w:eastAsia="Calibri" w:cstheme="minorHAnsi"/>
          <w:b/>
          <w:lang w:val="es-ES"/>
        </w:rPr>
      </w:pPr>
    </w:p>
    <w:p w14:paraId="7A32D2D7" w14:textId="77777777" w:rsidR="00F31F63" w:rsidRDefault="00F31F63" w:rsidP="00F31F63">
      <w:pPr>
        <w:spacing w:after="0" w:line="240" w:lineRule="auto"/>
        <w:jc w:val="both"/>
        <w:rPr>
          <w:rFonts w:eastAsia="Calibri" w:cstheme="minorHAnsi"/>
          <w:b/>
          <w:lang w:val="es-ES"/>
        </w:rPr>
      </w:pPr>
      <w:r w:rsidRPr="00DD4C45">
        <w:rPr>
          <w:rFonts w:eastAsia="Calibri" w:cstheme="minorHAnsi"/>
          <w:b/>
          <w:lang w:val="es-ES"/>
        </w:rPr>
        <w:t>**El valor neto ingresado en el Sistema de Información (</w:t>
      </w:r>
      <w:hyperlink r:id="rId7" w:history="1">
        <w:r w:rsidRPr="00DD4C45">
          <w:rPr>
            <w:rStyle w:val="Hipervnculo"/>
            <w:rFonts w:eastAsia="Calibri" w:cstheme="minorHAnsi"/>
            <w:b/>
            <w:lang w:val="es-ES"/>
          </w:rPr>
          <w:t>www.mercadopublico.cl</w:t>
        </w:r>
      </w:hyperlink>
      <w:r w:rsidRPr="00DD4C45">
        <w:rPr>
          <w:rFonts w:eastAsia="Calibri" w:cstheme="minorHAnsi"/>
          <w:b/>
          <w:lang w:val="es-ES"/>
        </w:rPr>
        <w:t>) debe coincidir con el valor neto indicado mediante documento Anexo 1, cotización en formato propio o documento que informe los valores ofertados.</w:t>
      </w:r>
    </w:p>
    <w:p w14:paraId="0ACF8AA1" w14:textId="77777777" w:rsidR="00F31F63" w:rsidRDefault="00F31F63" w:rsidP="00F31F63">
      <w:pPr>
        <w:tabs>
          <w:tab w:val="left" w:pos="567"/>
        </w:tabs>
        <w:spacing w:before="80" w:after="0" w:line="240" w:lineRule="auto"/>
        <w:jc w:val="both"/>
        <w:rPr>
          <w:rFonts w:eastAsia="Calibri" w:cstheme="minorHAnsi"/>
          <w:b/>
          <w:lang w:val="es-ES"/>
        </w:rPr>
      </w:pPr>
    </w:p>
    <w:p w14:paraId="5705F42A" w14:textId="77777777" w:rsidR="00F31F63" w:rsidRPr="00F821B0" w:rsidRDefault="00F31F63" w:rsidP="00CF28B2">
      <w:pPr>
        <w:pStyle w:val="Prrafodelista"/>
        <w:numPr>
          <w:ilvl w:val="0"/>
          <w:numId w:val="1"/>
        </w:numPr>
        <w:tabs>
          <w:tab w:val="left" w:pos="567"/>
        </w:tabs>
        <w:spacing w:before="80" w:after="0" w:line="240" w:lineRule="auto"/>
        <w:ind w:left="567" w:hanging="567"/>
        <w:jc w:val="both"/>
        <w:rPr>
          <w:rFonts w:cstheme="minorHAnsi"/>
          <w:b/>
        </w:rPr>
      </w:pPr>
      <w:r w:rsidRPr="00F821B0">
        <w:rPr>
          <w:rFonts w:cstheme="minorHAnsi"/>
          <w:b/>
        </w:rPr>
        <w:t>FORMA DE PAGO</w:t>
      </w:r>
    </w:p>
    <w:p w14:paraId="181C7AB3"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lastRenderedPageBreak/>
        <w:t>El pago se efectuará conforme a los servicios efectivamente prestados y recibidos conforme por el Inspector Técnico del Servicio y la Unidad Técnica, previa presentación del estado de pago y del documento tributario correspondiente.</w:t>
      </w:r>
    </w:p>
    <w:p w14:paraId="179BD5A9"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 xml:space="preserve">La Municipalidad establece </w:t>
      </w:r>
      <w:r w:rsidRPr="0058119F">
        <w:rPr>
          <w:rFonts w:eastAsia="Georgia" w:cstheme="minorHAnsi"/>
          <w:b/>
          <w:bCs/>
          <w:color w:val="000000"/>
        </w:rPr>
        <w:t>estados de pago mensuales</w:t>
      </w:r>
      <w:r w:rsidRPr="0058119F">
        <w:rPr>
          <w:rFonts w:eastAsia="Georgia" w:cstheme="minorHAnsi"/>
          <w:color w:val="000000"/>
        </w:rPr>
        <w:t xml:space="preserve"> durante la vigencia de la contratación, según los valores definidos en la orden de compra respectiva.</w:t>
      </w:r>
    </w:p>
    <w:p w14:paraId="50606373"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La documentación para pago deberá incluir, a lo menos:</w:t>
      </w:r>
    </w:p>
    <w:p w14:paraId="1CD40F51" w14:textId="77777777" w:rsidR="0058119F" w:rsidRPr="0058119F" w:rsidRDefault="0058119F" w:rsidP="0058119F">
      <w:pPr>
        <w:numPr>
          <w:ilvl w:val="0"/>
          <w:numId w:val="5"/>
        </w:numPr>
        <w:spacing w:after="0" w:line="270" w:lineRule="auto"/>
        <w:jc w:val="both"/>
        <w:rPr>
          <w:rFonts w:eastAsia="Georgia" w:cstheme="minorHAnsi"/>
          <w:color w:val="000000"/>
        </w:rPr>
      </w:pPr>
      <w:r w:rsidRPr="0058119F">
        <w:rPr>
          <w:rFonts w:eastAsia="Georgia" w:cstheme="minorHAnsi"/>
          <w:color w:val="000000"/>
        </w:rPr>
        <w:t xml:space="preserve">Estado de pago aprobado. </w:t>
      </w:r>
    </w:p>
    <w:p w14:paraId="0E5C566B" w14:textId="77777777" w:rsidR="0058119F" w:rsidRPr="0058119F" w:rsidRDefault="0058119F" w:rsidP="0058119F">
      <w:pPr>
        <w:numPr>
          <w:ilvl w:val="0"/>
          <w:numId w:val="5"/>
        </w:numPr>
        <w:spacing w:after="0" w:line="270" w:lineRule="auto"/>
        <w:jc w:val="both"/>
        <w:rPr>
          <w:rFonts w:eastAsia="Georgia" w:cstheme="minorHAnsi"/>
          <w:color w:val="000000"/>
        </w:rPr>
      </w:pPr>
      <w:r w:rsidRPr="0058119F">
        <w:rPr>
          <w:rFonts w:eastAsia="Georgia" w:cstheme="minorHAnsi"/>
          <w:color w:val="000000"/>
        </w:rPr>
        <w:t xml:space="preserve">Certificado o constancia de recepción conforme. </w:t>
      </w:r>
    </w:p>
    <w:p w14:paraId="076BFEFF" w14:textId="77777777" w:rsidR="0058119F" w:rsidRPr="0058119F" w:rsidRDefault="0058119F" w:rsidP="0058119F">
      <w:pPr>
        <w:numPr>
          <w:ilvl w:val="0"/>
          <w:numId w:val="5"/>
        </w:numPr>
        <w:spacing w:after="0" w:line="270" w:lineRule="auto"/>
        <w:jc w:val="both"/>
        <w:rPr>
          <w:rFonts w:eastAsia="Georgia" w:cstheme="minorHAnsi"/>
          <w:color w:val="000000"/>
        </w:rPr>
      </w:pPr>
      <w:r w:rsidRPr="0058119F">
        <w:rPr>
          <w:rFonts w:eastAsia="Georgia" w:cstheme="minorHAnsi"/>
          <w:color w:val="000000"/>
        </w:rPr>
        <w:t xml:space="preserve">Factura o documento tributario correspondiente. </w:t>
      </w:r>
    </w:p>
    <w:p w14:paraId="552231FC" w14:textId="77777777" w:rsidR="0058119F" w:rsidRPr="0058119F" w:rsidRDefault="0058119F" w:rsidP="0058119F">
      <w:pPr>
        <w:spacing w:after="0" w:line="270" w:lineRule="auto"/>
        <w:ind w:left="720"/>
        <w:jc w:val="both"/>
        <w:rPr>
          <w:rFonts w:eastAsia="Georgia" w:cstheme="minorHAnsi"/>
          <w:color w:val="000000"/>
        </w:rPr>
      </w:pPr>
    </w:p>
    <w:p w14:paraId="1BE476FA"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El pago se realizará dentro del plazo administrativo correspondiente, contado desde la recepción conforme de la documentación completa y sin observaciones, sin perjuicio de los descuentos que procedan por multas u obligaciones pendientes.</w:t>
      </w:r>
    </w:p>
    <w:p w14:paraId="0848D59F" w14:textId="2AA43EEB" w:rsidR="0058119F" w:rsidRPr="00CF28B2" w:rsidRDefault="00CF28B2" w:rsidP="00CF28B2">
      <w:pPr>
        <w:pStyle w:val="Prrafodelista"/>
        <w:numPr>
          <w:ilvl w:val="0"/>
          <w:numId w:val="1"/>
        </w:numPr>
        <w:spacing w:before="157" w:after="157" w:line="270" w:lineRule="auto"/>
        <w:ind w:left="567" w:hanging="567"/>
        <w:jc w:val="both"/>
        <w:rPr>
          <w:rFonts w:eastAsia="Georgia" w:cstheme="minorHAnsi"/>
          <w:b/>
          <w:bCs/>
          <w:color w:val="000000"/>
        </w:rPr>
      </w:pPr>
      <w:r w:rsidRPr="00CF28B2">
        <w:rPr>
          <w:rFonts w:eastAsia="Georgia" w:cstheme="minorHAnsi"/>
          <w:b/>
          <w:bCs/>
          <w:color w:val="000000"/>
        </w:rPr>
        <w:t>MULTAS POR INCUMPLIMIENTO</w:t>
      </w:r>
    </w:p>
    <w:p w14:paraId="6D37D79A"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En caso de incumplimiento de las obligaciones contractuales, la Municipalidad podrá aplicar multas administrativas al proveedor, sin perjuicio de poner término anticipado al contrato cuando corresponda conforme a la normativa vigente.</w:t>
      </w:r>
    </w:p>
    <w:p w14:paraId="32A21A0B" w14:textId="41A8F2FE"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Las multas podrán aplicarse por cada evento, incumplimiento o día de atraso, según corresponda, conforme a la siguiente tabla referencial: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0"/>
        <w:gridCol w:w="30"/>
        <w:gridCol w:w="3558"/>
      </w:tblGrid>
      <w:tr w:rsidR="0058119F" w:rsidRPr="0058119F" w14:paraId="1672BC40" w14:textId="77777777" w:rsidTr="00DC7E8B">
        <w:trPr>
          <w:tblHeader/>
          <w:tblCellSpacing w:w="15" w:type="dxa"/>
        </w:trPr>
        <w:tc>
          <w:tcPr>
            <w:tcW w:w="0" w:type="auto"/>
            <w:gridSpan w:val="2"/>
            <w:vAlign w:val="center"/>
            <w:hideMark/>
          </w:tcPr>
          <w:p w14:paraId="0FCDDFC8"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Incumplimiento</w:t>
            </w:r>
          </w:p>
        </w:tc>
        <w:tc>
          <w:tcPr>
            <w:tcW w:w="0" w:type="auto"/>
            <w:vAlign w:val="center"/>
            <w:hideMark/>
          </w:tcPr>
          <w:p w14:paraId="680EAF94"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Multa</w:t>
            </w:r>
          </w:p>
        </w:tc>
      </w:tr>
      <w:tr w:rsidR="0058119F" w:rsidRPr="0058119F" w14:paraId="49CD03AB" w14:textId="77777777" w:rsidTr="00DC7E8B">
        <w:trPr>
          <w:tblCellSpacing w:w="15" w:type="dxa"/>
        </w:trPr>
        <w:tc>
          <w:tcPr>
            <w:tcW w:w="5195" w:type="dxa"/>
            <w:vAlign w:val="center"/>
            <w:hideMark/>
          </w:tcPr>
          <w:p w14:paraId="4AACA3EA"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Atraso en la implementación o puesta en marcha del servicio</w:t>
            </w:r>
          </w:p>
        </w:tc>
        <w:tc>
          <w:tcPr>
            <w:tcW w:w="3543" w:type="dxa"/>
            <w:gridSpan w:val="2"/>
            <w:vAlign w:val="center"/>
            <w:hideMark/>
          </w:tcPr>
          <w:p w14:paraId="5C19187B"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3 UF por cada día corrido de atraso</w:t>
            </w:r>
          </w:p>
        </w:tc>
      </w:tr>
      <w:tr w:rsidR="0058119F" w:rsidRPr="0058119F" w14:paraId="308E16BC" w14:textId="77777777" w:rsidTr="00DC7E8B">
        <w:trPr>
          <w:tblCellSpacing w:w="15" w:type="dxa"/>
        </w:trPr>
        <w:tc>
          <w:tcPr>
            <w:tcW w:w="5195" w:type="dxa"/>
            <w:vAlign w:val="center"/>
            <w:hideMark/>
          </w:tcPr>
          <w:p w14:paraId="5912A0EB"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Incumplimiento de tiempos de respuesta para incidentes críticos</w:t>
            </w:r>
          </w:p>
        </w:tc>
        <w:tc>
          <w:tcPr>
            <w:tcW w:w="3543" w:type="dxa"/>
            <w:gridSpan w:val="2"/>
            <w:vAlign w:val="center"/>
            <w:hideMark/>
          </w:tcPr>
          <w:p w14:paraId="3AB4437E"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2 UF por cada hora adicional</w:t>
            </w:r>
          </w:p>
        </w:tc>
      </w:tr>
      <w:tr w:rsidR="0058119F" w:rsidRPr="0058119F" w14:paraId="304A7BD2" w14:textId="77777777" w:rsidTr="00DC7E8B">
        <w:trPr>
          <w:tblCellSpacing w:w="15" w:type="dxa"/>
        </w:trPr>
        <w:tc>
          <w:tcPr>
            <w:tcW w:w="5195" w:type="dxa"/>
            <w:vAlign w:val="center"/>
            <w:hideMark/>
          </w:tcPr>
          <w:p w14:paraId="560AFB98"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Interrupción no programada de servicios críticos superior a 1 hora</w:t>
            </w:r>
          </w:p>
        </w:tc>
        <w:tc>
          <w:tcPr>
            <w:tcW w:w="3543" w:type="dxa"/>
            <w:gridSpan w:val="2"/>
            <w:vAlign w:val="center"/>
            <w:hideMark/>
          </w:tcPr>
          <w:p w14:paraId="7E62D320"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5 UF por evento</w:t>
            </w:r>
          </w:p>
        </w:tc>
      </w:tr>
      <w:tr w:rsidR="0058119F" w:rsidRPr="0058119F" w14:paraId="001F1BF8" w14:textId="77777777" w:rsidTr="00DC7E8B">
        <w:trPr>
          <w:tblCellSpacing w:w="15" w:type="dxa"/>
        </w:trPr>
        <w:tc>
          <w:tcPr>
            <w:tcW w:w="5195" w:type="dxa"/>
            <w:vAlign w:val="center"/>
            <w:hideMark/>
          </w:tcPr>
          <w:p w14:paraId="347CF13F"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Incumplimiento de respaldos comprometidos</w:t>
            </w:r>
          </w:p>
        </w:tc>
        <w:tc>
          <w:tcPr>
            <w:tcW w:w="3543" w:type="dxa"/>
            <w:gridSpan w:val="2"/>
            <w:vAlign w:val="center"/>
            <w:hideMark/>
          </w:tcPr>
          <w:p w14:paraId="383FBC14"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5 UF por evento</w:t>
            </w:r>
          </w:p>
        </w:tc>
      </w:tr>
      <w:tr w:rsidR="0058119F" w:rsidRPr="0058119F" w14:paraId="72A8E2C6" w14:textId="77777777" w:rsidTr="00DC7E8B">
        <w:trPr>
          <w:tblCellSpacing w:w="15" w:type="dxa"/>
        </w:trPr>
        <w:tc>
          <w:tcPr>
            <w:tcW w:w="5195" w:type="dxa"/>
            <w:vAlign w:val="center"/>
            <w:hideMark/>
          </w:tcPr>
          <w:p w14:paraId="44809E42"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Pérdida de información atribuible al proveedor</w:t>
            </w:r>
          </w:p>
        </w:tc>
        <w:tc>
          <w:tcPr>
            <w:tcW w:w="3543" w:type="dxa"/>
            <w:gridSpan w:val="2"/>
            <w:vAlign w:val="center"/>
            <w:hideMark/>
          </w:tcPr>
          <w:p w14:paraId="1544276B"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100 UF por evento</w:t>
            </w:r>
          </w:p>
        </w:tc>
      </w:tr>
      <w:tr w:rsidR="0058119F" w:rsidRPr="0058119F" w14:paraId="19660BD8" w14:textId="77777777" w:rsidTr="00DC7E8B">
        <w:trPr>
          <w:tblCellSpacing w:w="15" w:type="dxa"/>
        </w:trPr>
        <w:tc>
          <w:tcPr>
            <w:tcW w:w="5195" w:type="dxa"/>
            <w:vAlign w:val="center"/>
            <w:hideMark/>
          </w:tcPr>
          <w:p w14:paraId="5410BAE4"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Incumplimiento de medidas de seguridad comprometidas</w:t>
            </w:r>
          </w:p>
        </w:tc>
        <w:tc>
          <w:tcPr>
            <w:tcW w:w="3543" w:type="dxa"/>
            <w:gridSpan w:val="2"/>
            <w:vAlign w:val="center"/>
            <w:hideMark/>
          </w:tcPr>
          <w:p w14:paraId="20DEAB80"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20 UF por evento</w:t>
            </w:r>
          </w:p>
        </w:tc>
      </w:tr>
      <w:tr w:rsidR="0058119F" w:rsidRPr="0058119F" w14:paraId="6A35FE08" w14:textId="77777777" w:rsidTr="00DC7E8B">
        <w:trPr>
          <w:tblCellSpacing w:w="15" w:type="dxa"/>
        </w:trPr>
        <w:tc>
          <w:tcPr>
            <w:tcW w:w="5195" w:type="dxa"/>
            <w:vAlign w:val="center"/>
            <w:hideMark/>
          </w:tcPr>
          <w:p w14:paraId="7AE115BD"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No informar incidentes críticos oportunamente</w:t>
            </w:r>
          </w:p>
        </w:tc>
        <w:tc>
          <w:tcPr>
            <w:tcW w:w="3543" w:type="dxa"/>
            <w:gridSpan w:val="2"/>
            <w:vAlign w:val="center"/>
            <w:hideMark/>
          </w:tcPr>
          <w:p w14:paraId="280BDD50"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5 UF por evento</w:t>
            </w:r>
          </w:p>
        </w:tc>
      </w:tr>
      <w:tr w:rsidR="0058119F" w:rsidRPr="0058119F" w14:paraId="7ECFB775" w14:textId="77777777" w:rsidTr="00DC7E8B">
        <w:trPr>
          <w:tblCellSpacing w:w="15" w:type="dxa"/>
        </w:trPr>
        <w:tc>
          <w:tcPr>
            <w:tcW w:w="5195" w:type="dxa"/>
            <w:vAlign w:val="center"/>
            <w:hideMark/>
          </w:tcPr>
          <w:p w14:paraId="345F6D0C"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Negativa injustificada de soporte técnico</w:t>
            </w:r>
          </w:p>
        </w:tc>
        <w:tc>
          <w:tcPr>
            <w:tcW w:w="3543" w:type="dxa"/>
            <w:gridSpan w:val="2"/>
            <w:vAlign w:val="center"/>
            <w:hideMark/>
          </w:tcPr>
          <w:p w14:paraId="4BE72DAA"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10 UF por evento</w:t>
            </w:r>
          </w:p>
        </w:tc>
      </w:tr>
      <w:tr w:rsidR="0058119F" w:rsidRPr="0058119F" w14:paraId="5B6A6FDC" w14:textId="77777777" w:rsidTr="00DC7E8B">
        <w:trPr>
          <w:tblCellSpacing w:w="15" w:type="dxa"/>
        </w:trPr>
        <w:tc>
          <w:tcPr>
            <w:tcW w:w="5195" w:type="dxa"/>
            <w:vAlign w:val="center"/>
            <w:hideMark/>
          </w:tcPr>
          <w:p w14:paraId="01BE0881" w14:textId="77777777" w:rsidR="0058119F" w:rsidRPr="0058119F" w:rsidRDefault="0058119F" w:rsidP="00DC7E8B">
            <w:pPr>
              <w:spacing w:after="0" w:line="270" w:lineRule="auto"/>
              <w:jc w:val="both"/>
              <w:rPr>
                <w:rFonts w:eastAsia="Georgia" w:cstheme="minorHAnsi"/>
                <w:b/>
                <w:bCs/>
                <w:color w:val="000000"/>
              </w:rPr>
            </w:pPr>
            <w:r w:rsidRPr="0058119F">
              <w:rPr>
                <w:rFonts w:eastAsia="Georgia" w:cstheme="minorHAnsi"/>
                <w:b/>
                <w:bCs/>
                <w:color w:val="000000"/>
              </w:rPr>
              <w:t>Incumplimiento reiterado de obligaciones contractuales</w:t>
            </w:r>
          </w:p>
        </w:tc>
        <w:tc>
          <w:tcPr>
            <w:tcW w:w="3543" w:type="dxa"/>
            <w:gridSpan w:val="2"/>
            <w:vAlign w:val="center"/>
            <w:hideMark/>
          </w:tcPr>
          <w:p w14:paraId="72590039" w14:textId="77777777" w:rsidR="0058119F" w:rsidRPr="0058119F" w:rsidRDefault="0058119F" w:rsidP="00DC7E8B">
            <w:pPr>
              <w:spacing w:after="0" w:line="270" w:lineRule="auto"/>
              <w:jc w:val="both"/>
              <w:rPr>
                <w:rFonts w:eastAsia="Georgia" w:cstheme="minorHAnsi"/>
                <w:color w:val="000000"/>
              </w:rPr>
            </w:pPr>
            <w:r w:rsidRPr="0058119F">
              <w:rPr>
                <w:rFonts w:eastAsia="Georgia" w:cstheme="minorHAnsi"/>
                <w:color w:val="000000"/>
              </w:rPr>
              <w:t>Hasta 50 UF según gravedad</w:t>
            </w:r>
          </w:p>
        </w:tc>
      </w:tr>
    </w:tbl>
    <w:p w14:paraId="1D524415"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La aplicación de multas será determinada por la Unidad Técnica mediante informe fundado del Inspector Técnico del Servicio (ITS), previa notificación al proveedor y otorgamiento de plazo para efectuar descargos, conforme a la Ley N° 19.880 y demás normativa aplicable.</w:t>
      </w:r>
    </w:p>
    <w:p w14:paraId="780AA873"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El monto acumulado de multas podrá descontarse administrativamente de los estados de pago pendientes.</w:t>
      </w:r>
    </w:p>
    <w:p w14:paraId="4BED4747" w14:textId="77777777" w:rsidR="0058119F" w:rsidRPr="0058119F" w:rsidRDefault="0058119F" w:rsidP="0058119F">
      <w:pPr>
        <w:spacing w:before="157" w:after="157" w:line="270" w:lineRule="auto"/>
        <w:jc w:val="both"/>
        <w:rPr>
          <w:rFonts w:eastAsia="Georgia" w:cstheme="minorHAnsi"/>
          <w:color w:val="000000"/>
        </w:rPr>
      </w:pPr>
      <w:r w:rsidRPr="0058119F">
        <w:rPr>
          <w:rFonts w:eastAsia="Georgia" w:cstheme="minorHAnsi"/>
          <w:color w:val="000000"/>
        </w:rPr>
        <w:t>En caso de incumplimientos graves o reiterados que afecten la continuidad operacional, seguridad o disponibilidad de los servicios municipales, la Municipalidad podrá poner término anticipado a la contratación, sin derecho a indemnización para el proveedor.</w:t>
      </w:r>
    </w:p>
    <w:p w14:paraId="16A1B9AA" w14:textId="28D1D49A" w:rsidR="00F31F63" w:rsidRPr="00F821B0" w:rsidRDefault="00F31F63" w:rsidP="00F31F63">
      <w:pPr>
        <w:spacing w:after="0" w:line="240" w:lineRule="auto"/>
        <w:jc w:val="both"/>
        <w:rPr>
          <w:rFonts w:eastAsia="Times New Roman" w:cstheme="minorHAnsi"/>
          <w:lang w:val="es-ES" w:eastAsia="es-ES"/>
        </w:rPr>
      </w:pPr>
    </w:p>
    <w:bookmarkEnd w:id="0"/>
    <w:p w14:paraId="555C5D83" w14:textId="77777777" w:rsidR="00F31F63" w:rsidRPr="00DD4C45" w:rsidRDefault="00F31F63" w:rsidP="00F31F63">
      <w:pPr>
        <w:numPr>
          <w:ilvl w:val="0"/>
          <w:numId w:val="1"/>
        </w:numPr>
        <w:spacing w:after="0" w:line="240" w:lineRule="auto"/>
        <w:ind w:left="426" w:hanging="426"/>
        <w:contextualSpacing/>
        <w:rPr>
          <w:rFonts w:eastAsia="Calibri" w:cstheme="minorHAnsi"/>
          <w:b/>
        </w:rPr>
      </w:pPr>
      <w:r w:rsidRPr="00DD4C45">
        <w:rPr>
          <w:rFonts w:eastAsia="Calibri" w:cstheme="minorHAnsi"/>
          <w:b/>
        </w:rPr>
        <w:t>CONDICIONES PARA EL DESPACHO Y FACTURACIÓN:</w:t>
      </w:r>
    </w:p>
    <w:p w14:paraId="537C519E" w14:textId="77777777" w:rsidR="00F31F63" w:rsidRPr="00DD4C45" w:rsidRDefault="00F31F63" w:rsidP="00F31F63">
      <w:pPr>
        <w:numPr>
          <w:ilvl w:val="0"/>
          <w:numId w:val="2"/>
        </w:numPr>
        <w:spacing w:before="120" w:after="0" w:line="240" w:lineRule="auto"/>
        <w:ind w:left="426" w:hanging="426"/>
        <w:jc w:val="both"/>
        <w:rPr>
          <w:rFonts w:eastAsia="Calibri" w:cstheme="minorHAnsi"/>
        </w:rPr>
      </w:pPr>
      <w:r w:rsidRPr="00DD4C45">
        <w:rPr>
          <w:rFonts w:eastAsia="Calibri" w:cstheme="minorHAnsi"/>
        </w:rPr>
        <w:t>El proveedor deberá adjuntar a la guía de despacho o factura según corresponda, copia de la orden de compra.</w:t>
      </w:r>
    </w:p>
    <w:p w14:paraId="6353EADF" w14:textId="77777777" w:rsidR="00F31F63" w:rsidRPr="00F821B0" w:rsidRDefault="00F31F63" w:rsidP="00F31F63">
      <w:pPr>
        <w:numPr>
          <w:ilvl w:val="0"/>
          <w:numId w:val="2"/>
        </w:numPr>
        <w:spacing w:before="120" w:after="0" w:line="240" w:lineRule="auto"/>
        <w:ind w:left="426" w:hanging="426"/>
        <w:jc w:val="both"/>
        <w:rPr>
          <w:rFonts w:eastAsia="Calibri" w:cstheme="minorHAnsi"/>
        </w:rPr>
      </w:pPr>
      <w:r w:rsidRPr="00DD4C45">
        <w:rPr>
          <w:rFonts w:eastAsia="Calibri" w:cstheme="minorHAnsi"/>
        </w:rPr>
        <w:lastRenderedPageBreak/>
        <w:t>El proveedor no podrá despachar en forma parcializada, salvo que se indique expresamente en la solicitud de cotización.</w:t>
      </w:r>
      <w:bookmarkEnd w:id="1"/>
    </w:p>
    <w:p w14:paraId="5F8519C9" w14:textId="77777777" w:rsidR="00D2210E" w:rsidRDefault="00D2210E"/>
    <w:sectPr w:rsidR="00D2210E" w:rsidSect="003D0CC8">
      <w:pgSz w:w="11907" w:h="18711" w:code="14"/>
      <w:pgMar w:top="1134" w:right="1247" w:bottom="1134" w:left="1247" w:header="720"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32C5C"/>
    <w:multiLevelType w:val="hybridMultilevel"/>
    <w:tmpl w:val="007C1194"/>
    <w:lvl w:ilvl="0" w:tplc="70A2814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D004AE"/>
    <w:multiLevelType w:val="hybridMultilevel"/>
    <w:tmpl w:val="5AC82C04"/>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6BA0335"/>
    <w:multiLevelType w:val="hybridMultilevel"/>
    <w:tmpl w:val="7360A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3640AC"/>
    <w:multiLevelType w:val="hybridMultilevel"/>
    <w:tmpl w:val="73AE5D7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B7B7F3C"/>
    <w:multiLevelType w:val="hybridMultilevel"/>
    <w:tmpl w:val="A986191A"/>
    <w:lvl w:ilvl="0" w:tplc="4418A5F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EE735FF"/>
    <w:multiLevelType w:val="hybridMultilevel"/>
    <w:tmpl w:val="9D626814"/>
    <w:lvl w:ilvl="0" w:tplc="70A2814E">
      <w:start w:val="1"/>
      <w:numFmt w:val="upperRoman"/>
      <w:lvlText w:val="%1."/>
      <w:lvlJc w:val="left"/>
      <w:pPr>
        <w:ind w:left="1440" w:hanging="72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30D817A1"/>
    <w:multiLevelType w:val="multilevel"/>
    <w:tmpl w:val="7E4E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0496E"/>
    <w:multiLevelType w:val="multilevel"/>
    <w:tmpl w:val="AC8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24C3A"/>
    <w:multiLevelType w:val="hybridMultilevel"/>
    <w:tmpl w:val="0D3ADBFE"/>
    <w:lvl w:ilvl="0" w:tplc="70A2814E">
      <w:start w:val="1"/>
      <w:numFmt w:val="upperRoman"/>
      <w:lvlText w:val="%1."/>
      <w:lvlJc w:val="left"/>
      <w:pPr>
        <w:ind w:left="1440" w:hanging="72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6"/>
  </w:num>
  <w:num w:numId="5">
    <w:abstractNumId w:val="7"/>
  </w:num>
  <w:num w:numId="6">
    <w:abstractNumId w:val="1"/>
  </w:num>
  <w:num w:numId="7">
    <w:abstractNumId w:val="0"/>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63"/>
    <w:rsid w:val="002B77F3"/>
    <w:rsid w:val="003B66D2"/>
    <w:rsid w:val="0058119F"/>
    <w:rsid w:val="00951141"/>
    <w:rsid w:val="00A50403"/>
    <w:rsid w:val="00CF28B2"/>
    <w:rsid w:val="00D2210E"/>
    <w:rsid w:val="00F31F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CD50"/>
  <w15:chartTrackingRefBased/>
  <w15:docId w15:val="{CA15FC40-1BA7-4C16-97C9-9BF9DB6E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F63"/>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1">
    <w:name w:val="Tabla con cuadrícula1"/>
    <w:basedOn w:val="Tablanormal"/>
    <w:next w:val="Tablaconcuadrcula"/>
    <w:uiPriority w:val="39"/>
    <w:rsid w:val="00F31F63"/>
    <w:pPr>
      <w:spacing w:after="0" w:line="240" w:lineRule="auto"/>
    </w:pPr>
    <w:rPr>
      <w:kern w:val="0"/>
      <w:lang w:val="es-MX"/>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nfasis31">
    <w:name w:val="Lista clara - Énfasis 31"/>
    <w:basedOn w:val="Tablanormal"/>
    <w:next w:val="Listaclara-nfasis3"/>
    <w:uiPriority w:val="61"/>
    <w:rsid w:val="00F31F63"/>
    <w:pPr>
      <w:spacing w:after="0" w:line="240" w:lineRule="auto"/>
    </w:pPr>
    <w:rPr>
      <w:kern w:val="0"/>
      <w:lang w:val="es-MX"/>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Prrafodelista">
    <w:name w:val="List Paragraph"/>
    <w:basedOn w:val="Normal"/>
    <w:link w:val="PrrafodelistaCar"/>
    <w:uiPriority w:val="34"/>
    <w:qFormat/>
    <w:rsid w:val="00F31F63"/>
    <w:pPr>
      <w:ind w:left="720"/>
      <w:contextualSpacing/>
    </w:pPr>
  </w:style>
  <w:style w:type="character" w:styleId="Hipervnculo">
    <w:name w:val="Hyperlink"/>
    <w:basedOn w:val="Fuentedeprrafopredeter"/>
    <w:uiPriority w:val="99"/>
    <w:unhideWhenUsed/>
    <w:rsid w:val="00F31F63"/>
    <w:rPr>
      <w:color w:val="0563C1" w:themeColor="hyperlink"/>
      <w:u w:val="single"/>
    </w:rPr>
  </w:style>
  <w:style w:type="character" w:customStyle="1" w:styleId="PrrafodelistaCar">
    <w:name w:val="Párrafo de lista Car"/>
    <w:link w:val="Prrafodelista"/>
    <w:uiPriority w:val="34"/>
    <w:qFormat/>
    <w:locked/>
    <w:rsid w:val="00F31F63"/>
    <w:rPr>
      <w:kern w:val="0"/>
      <w14:ligatures w14:val="none"/>
    </w:rPr>
  </w:style>
  <w:style w:type="table" w:styleId="Tablaconcuadrcula">
    <w:name w:val="Table Grid"/>
    <w:basedOn w:val="Tablanormal"/>
    <w:uiPriority w:val="39"/>
    <w:rsid w:val="00F31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semiHidden/>
    <w:unhideWhenUsed/>
    <w:rsid w:val="00F31F63"/>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ercadopublico.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2053</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Ramirez</dc:creator>
  <cp:keywords/>
  <dc:description/>
  <cp:lastModifiedBy>matiiaas1997@outlook.es</cp:lastModifiedBy>
  <cp:revision>3</cp:revision>
  <dcterms:created xsi:type="dcterms:W3CDTF">2026-06-25T13:51:00Z</dcterms:created>
  <dcterms:modified xsi:type="dcterms:W3CDTF">2026-07-02T15:38:00Z</dcterms:modified>
</cp:coreProperties>
</file>