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F330" w14:textId="20CA8C63" w:rsidR="00407D04" w:rsidRPr="009E79F7" w:rsidRDefault="009E79F7" w:rsidP="00407D04">
      <w:pPr>
        <w:rPr>
          <w:rFonts w:ascii="Times New Roman" w:hAnsi="Times New Roman" w:cs="Times New Roman"/>
          <w:sz w:val="22"/>
          <w:szCs w:val="22"/>
        </w:rPr>
      </w:pPr>
      <w:r w:rsidRPr="009E79F7">
        <w:rPr>
          <w:rFonts w:ascii="Times New Roman" w:hAnsi="Times New Roman" w:cs="Times New Roman"/>
          <w:b/>
          <w:bCs/>
          <w:sz w:val="22"/>
          <w:szCs w:val="22"/>
        </w:rPr>
        <w:t>COBERTURA Y SERVICIOS REQUERIDOS SIN DEDUCIBLE.</w:t>
      </w:r>
    </w:p>
    <w:p w14:paraId="4C6E32CE" w14:textId="77777777" w:rsidR="00407D04" w:rsidRDefault="00407D04" w:rsidP="00407D04">
      <w:pPr>
        <w:rPr>
          <w:rFonts w:ascii="Times New Roman" w:hAnsi="Times New Roman" w:cs="Times New Roman"/>
          <w:sz w:val="22"/>
          <w:szCs w:val="22"/>
        </w:rPr>
      </w:pPr>
      <w:r w:rsidRPr="009E79F7">
        <w:rPr>
          <w:rFonts w:ascii="Times New Roman" w:hAnsi="Times New Roman" w:cs="Times New Roman"/>
          <w:sz w:val="22"/>
          <w:szCs w:val="22"/>
        </w:rPr>
        <w:t xml:space="preserve">El oferente al momento de su oferta acreditar el cumplimiento de las siguientes materias, rubros o siniestros que cubrirá el seguro respecto de cada uno de estos vehículos, así como los respectivos montos. </w:t>
      </w:r>
    </w:p>
    <w:p w14:paraId="10060C44" w14:textId="77777777" w:rsidR="009E79F7" w:rsidRDefault="009E79F7" w:rsidP="00407D04">
      <w:pPr>
        <w:rPr>
          <w:rFonts w:ascii="Times New Roman" w:hAnsi="Times New Roman" w:cs="Times New Roman"/>
          <w:sz w:val="22"/>
          <w:szCs w:val="22"/>
        </w:rPr>
      </w:pPr>
    </w:p>
    <w:p w14:paraId="565C8774" w14:textId="77777777" w:rsidR="009E79F7" w:rsidRPr="009E79F7" w:rsidRDefault="009E79F7" w:rsidP="00407D04">
      <w:pPr>
        <w:rPr>
          <w:rFonts w:ascii="Times New Roman" w:hAnsi="Times New Roman" w:cs="Times New Roman"/>
          <w:sz w:val="22"/>
          <w:szCs w:val="22"/>
        </w:rPr>
      </w:pPr>
    </w:p>
    <w:tbl>
      <w:tblPr>
        <w:tblW w:w="10994" w:type="dxa"/>
        <w:tblCellMar>
          <w:left w:w="70" w:type="dxa"/>
          <w:right w:w="70" w:type="dxa"/>
        </w:tblCellMar>
        <w:tblLook w:val="04A0" w:firstRow="1" w:lastRow="0" w:firstColumn="1" w:lastColumn="0" w:noHBand="0" w:noVBand="1"/>
      </w:tblPr>
      <w:tblGrid>
        <w:gridCol w:w="8463"/>
        <w:gridCol w:w="2531"/>
      </w:tblGrid>
      <w:tr w:rsidR="009E79F7" w:rsidRPr="009E79F7" w14:paraId="0EE74919" w14:textId="77777777" w:rsidTr="009E79F7">
        <w:trPr>
          <w:trHeight w:val="306"/>
        </w:trPr>
        <w:tc>
          <w:tcPr>
            <w:tcW w:w="8463" w:type="dxa"/>
            <w:tcBorders>
              <w:top w:val="nil"/>
              <w:left w:val="nil"/>
              <w:bottom w:val="nil"/>
              <w:right w:val="nil"/>
            </w:tcBorders>
            <w:noWrap/>
            <w:vAlign w:val="bottom"/>
            <w:hideMark/>
          </w:tcPr>
          <w:p w14:paraId="5B9BC845" w14:textId="77777777" w:rsidR="009E79F7" w:rsidRPr="009E79F7" w:rsidRDefault="009E79F7" w:rsidP="009E79F7">
            <w:pPr>
              <w:spacing w:after="0" w:line="240" w:lineRule="auto"/>
              <w:rPr>
                <w:rFonts w:ascii="Times New Roman" w:eastAsia="Times New Roman" w:hAnsi="Times New Roman" w:cs="Times New Roman"/>
                <w:kern w:val="0"/>
                <w:sz w:val="22"/>
                <w:szCs w:val="22"/>
                <w:lang w:eastAsia="es-CL"/>
                <w14:ligatures w14:val="none"/>
              </w:rPr>
            </w:pPr>
          </w:p>
        </w:tc>
        <w:tc>
          <w:tcPr>
            <w:tcW w:w="2531" w:type="dxa"/>
            <w:tcBorders>
              <w:top w:val="nil"/>
              <w:left w:val="nil"/>
              <w:bottom w:val="nil"/>
              <w:right w:val="nil"/>
            </w:tcBorders>
            <w:noWrap/>
            <w:vAlign w:val="bottom"/>
            <w:hideMark/>
          </w:tcPr>
          <w:p w14:paraId="025EEE44" w14:textId="77777777" w:rsidR="009E79F7" w:rsidRPr="009E79F7" w:rsidRDefault="009E79F7" w:rsidP="009E79F7">
            <w:pPr>
              <w:spacing w:after="0" w:line="240" w:lineRule="auto"/>
              <w:rPr>
                <w:rFonts w:ascii="Times New Roman" w:eastAsia="Times New Roman" w:hAnsi="Times New Roman" w:cs="Times New Roman"/>
                <w:kern w:val="0"/>
                <w:sz w:val="22"/>
                <w:szCs w:val="22"/>
                <w:lang w:eastAsia="es-CL"/>
                <w14:ligatures w14:val="none"/>
              </w:rPr>
            </w:pPr>
          </w:p>
        </w:tc>
      </w:tr>
      <w:tr w:rsidR="009E79F7" w:rsidRPr="009E79F7" w14:paraId="6E8AF890" w14:textId="77777777" w:rsidTr="009E79F7">
        <w:trPr>
          <w:trHeight w:val="306"/>
        </w:trPr>
        <w:tc>
          <w:tcPr>
            <w:tcW w:w="8463" w:type="dxa"/>
            <w:tcBorders>
              <w:top w:val="nil"/>
              <w:left w:val="nil"/>
              <w:bottom w:val="nil"/>
              <w:right w:val="nil"/>
            </w:tcBorders>
            <w:noWrap/>
            <w:vAlign w:val="bottom"/>
            <w:hideMark/>
          </w:tcPr>
          <w:p w14:paraId="59EC05DF" w14:textId="77777777" w:rsidR="009E79F7" w:rsidRPr="009E79F7" w:rsidRDefault="009E79F7" w:rsidP="009E79F7">
            <w:pPr>
              <w:spacing w:after="0" w:line="240" w:lineRule="auto"/>
              <w:rPr>
                <w:rFonts w:ascii="Times New Roman" w:eastAsia="Times New Roman" w:hAnsi="Times New Roman" w:cs="Times New Roman"/>
                <w:kern w:val="0"/>
                <w:sz w:val="22"/>
                <w:szCs w:val="22"/>
                <w:lang w:eastAsia="es-CL"/>
                <w14:ligatures w14:val="none"/>
              </w:rPr>
            </w:pPr>
          </w:p>
        </w:tc>
        <w:tc>
          <w:tcPr>
            <w:tcW w:w="2531" w:type="dxa"/>
            <w:tcBorders>
              <w:top w:val="single" w:sz="8" w:space="0" w:color="auto"/>
              <w:left w:val="single" w:sz="8" w:space="0" w:color="auto"/>
              <w:bottom w:val="single" w:sz="8" w:space="0" w:color="auto"/>
              <w:right w:val="single" w:sz="8" w:space="0" w:color="auto"/>
            </w:tcBorders>
            <w:noWrap/>
            <w:vAlign w:val="bottom"/>
            <w:hideMark/>
          </w:tcPr>
          <w:p w14:paraId="4EAA18EC" w14:textId="77777777" w:rsidR="009E79F7" w:rsidRPr="009E79F7" w:rsidRDefault="009E79F7" w:rsidP="009E79F7">
            <w:pPr>
              <w:spacing w:after="0" w:line="240" w:lineRule="auto"/>
              <w:jc w:val="center"/>
              <w:rPr>
                <w:rFonts w:ascii="Times New Roman" w:eastAsia="Times New Roman" w:hAnsi="Times New Roman" w:cs="Times New Roman"/>
                <w:b/>
                <w:bCs/>
                <w:kern w:val="0"/>
                <w:sz w:val="22"/>
                <w:szCs w:val="22"/>
                <w:lang w:eastAsia="es-CL"/>
                <w14:ligatures w14:val="none"/>
              </w:rPr>
            </w:pPr>
            <w:r w:rsidRPr="009E79F7">
              <w:rPr>
                <w:rFonts w:ascii="Times New Roman" w:eastAsia="Times New Roman" w:hAnsi="Times New Roman" w:cs="Times New Roman"/>
                <w:b/>
                <w:bCs/>
                <w:kern w:val="0"/>
                <w:sz w:val="22"/>
                <w:szCs w:val="22"/>
                <w:lang w:eastAsia="es-CL"/>
                <w14:ligatures w14:val="none"/>
              </w:rPr>
              <w:t>MONTO ASEGURADO UF</w:t>
            </w:r>
          </w:p>
        </w:tc>
      </w:tr>
      <w:tr w:rsidR="009E79F7" w:rsidRPr="009E79F7" w14:paraId="7003198B" w14:textId="77777777" w:rsidTr="009E79F7">
        <w:trPr>
          <w:trHeight w:val="321"/>
        </w:trPr>
        <w:tc>
          <w:tcPr>
            <w:tcW w:w="8463" w:type="dxa"/>
            <w:tcBorders>
              <w:top w:val="single" w:sz="8" w:space="0" w:color="auto"/>
              <w:left w:val="single" w:sz="8" w:space="0" w:color="auto"/>
              <w:bottom w:val="single" w:sz="8" w:space="0" w:color="auto"/>
              <w:right w:val="single" w:sz="8" w:space="0" w:color="auto"/>
            </w:tcBorders>
            <w:vAlign w:val="center"/>
            <w:hideMark/>
          </w:tcPr>
          <w:p w14:paraId="646E9C8E"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1. Daños materiales propios y terceros causados por la propia carga.</w:t>
            </w:r>
          </w:p>
        </w:tc>
        <w:tc>
          <w:tcPr>
            <w:tcW w:w="2531" w:type="dxa"/>
            <w:tcBorders>
              <w:top w:val="nil"/>
              <w:left w:val="nil"/>
              <w:bottom w:val="single" w:sz="8" w:space="0" w:color="auto"/>
              <w:right w:val="single" w:sz="8" w:space="0" w:color="auto"/>
            </w:tcBorders>
            <w:noWrap/>
            <w:vAlign w:val="bottom"/>
            <w:hideMark/>
          </w:tcPr>
          <w:p w14:paraId="0278D153"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37D9172C"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41F7D2C6"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2. Pérdida total y parcial.</w:t>
            </w:r>
          </w:p>
        </w:tc>
        <w:tc>
          <w:tcPr>
            <w:tcW w:w="2531" w:type="dxa"/>
            <w:tcBorders>
              <w:top w:val="nil"/>
              <w:left w:val="nil"/>
              <w:bottom w:val="single" w:sz="8" w:space="0" w:color="auto"/>
              <w:right w:val="single" w:sz="8" w:space="0" w:color="auto"/>
            </w:tcBorders>
            <w:noWrap/>
            <w:vAlign w:val="bottom"/>
            <w:hideMark/>
          </w:tcPr>
          <w:p w14:paraId="5B5DC846"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32CF10A2"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1E5AC27C"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3. Asistencia en viaje y parcial.</w:t>
            </w:r>
          </w:p>
        </w:tc>
        <w:tc>
          <w:tcPr>
            <w:tcW w:w="2531" w:type="dxa"/>
            <w:tcBorders>
              <w:top w:val="nil"/>
              <w:left w:val="nil"/>
              <w:bottom w:val="single" w:sz="8" w:space="0" w:color="auto"/>
              <w:right w:val="single" w:sz="8" w:space="0" w:color="auto"/>
            </w:tcBorders>
            <w:noWrap/>
            <w:vAlign w:val="bottom"/>
            <w:hideMark/>
          </w:tcPr>
          <w:p w14:paraId="1AE3DE2C"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69207741"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4CBDD7BD"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4. Asistencia al vehículo en caso de siniestro total o parcial.</w:t>
            </w:r>
          </w:p>
        </w:tc>
        <w:tc>
          <w:tcPr>
            <w:tcW w:w="2531" w:type="dxa"/>
            <w:tcBorders>
              <w:top w:val="nil"/>
              <w:left w:val="nil"/>
              <w:bottom w:val="single" w:sz="8" w:space="0" w:color="auto"/>
              <w:right w:val="single" w:sz="8" w:space="0" w:color="auto"/>
            </w:tcBorders>
            <w:noWrap/>
            <w:vAlign w:val="bottom"/>
            <w:hideMark/>
          </w:tcPr>
          <w:p w14:paraId="2A0A530A"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423EBD06"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1D8BE38A"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5. Robo y/o hurto o uso no autorizado.</w:t>
            </w:r>
          </w:p>
        </w:tc>
        <w:tc>
          <w:tcPr>
            <w:tcW w:w="2531" w:type="dxa"/>
            <w:tcBorders>
              <w:top w:val="nil"/>
              <w:left w:val="nil"/>
              <w:bottom w:val="single" w:sz="8" w:space="0" w:color="auto"/>
              <w:right w:val="single" w:sz="8" w:space="0" w:color="auto"/>
            </w:tcBorders>
            <w:noWrap/>
            <w:vAlign w:val="bottom"/>
            <w:hideMark/>
          </w:tcPr>
          <w:p w14:paraId="1AA4E054"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60469123"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7BE66618"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6. Reposición de vehículo – Indemnización en caso de pérdida total.</w:t>
            </w:r>
          </w:p>
        </w:tc>
        <w:tc>
          <w:tcPr>
            <w:tcW w:w="2531" w:type="dxa"/>
            <w:tcBorders>
              <w:top w:val="nil"/>
              <w:left w:val="nil"/>
              <w:bottom w:val="single" w:sz="8" w:space="0" w:color="auto"/>
              <w:right w:val="single" w:sz="8" w:space="0" w:color="auto"/>
            </w:tcBorders>
            <w:noWrap/>
            <w:vAlign w:val="bottom"/>
            <w:hideMark/>
          </w:tcPr>
          <w:p w14:paraId="50E79B88"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68E8F97C"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0E3AD8AA"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7. Robo de Accesorios.</w:t>
            </w:r>
          </w:p>
        </w:tc>
        <w:tc>
          <w:tcPr>
            <w:tcW w:w="2531" w:type="dxa"/>
            <w:tcBorders>
              <w:top w:val="nil"/>
              <w:left w:val="nil"/>
              <w:bottom w:val="single" w:sz="8" w:space="0" w:color="auto"/>
              <w:right w:val="single" w:sz="8" w:space="0" w:color="auto"/>
            </w:tcBorders>
            <w:noWrap/>
            <w:vAlign w:val="bottom"/>
            <w:hideMark/>
          </w:tcPr>
          <w:p w14:paraId="0296A949"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28AC3EE8"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4CB7EB15"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8. Riesgos de la naturaleza.</w:t>
            </w:r>
          </w:p>
        </w:tc>
        <w:tc>
          <w:tcPr>
            <w:tcW w:w="2531" w:type="dxa"/>
            <w:tcBorders>
              <w:top w:val="nil"/>
              <w:left w:val="nil"/>
              <w:bottom w:val="single" w:sz="8" w:space="0" w:color="auto"/>
              <w:right w:val="single" w:sz="8" w:space="0" w:color="auto"/>
            </w:tcBorders>
            <w:noWrap/>
            <w:vAlign w:val="bottom"/>
            <w:hideMark/>
          </w:tcPr>
          <w:p w14:paraId="46C257B9"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0F79FF9C"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72F616EE"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9. Granizo.</w:t>
            </w:r>
          </w:p>
        </w:tc>
        <w:tc>
          <w:tcPr>
            <w:tcW w:w="2531" w:type="dxa"/>
            <w:tcBorders>
              <w:top w:val="nil"/>
              <w:left w:val="nil"/>
              <w:bottom w:val="single" w:sz="8" w:space="0" w:color="auto"/>
              <w:right w:val="single" w:sz="8" w:space="0" w:color="auto"/>
            </w:tcBorders>
            <w:noWrap/>
            <w:vAlign w:val="bottom"/>
            <w:hideMark/>
          </w:tcPr>
          <w:p w14:paraId="65DAA1B1"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3A1ECA94"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564FC442"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10. Sismo.</w:t>
            </w:r>
          </w:p>
        </w:tc>
        <w:tc>
          <w:tcPr>
            <w:tcW w:w="2531" w:type="dxa"/>
            <w:tcBorders>
              <w:top w:val="nil"/>
              <w:left w:val="nil"/>
              <w:bottom w:val="single" w:sz="8" w:space="0" w:color="auto"/>
              <w:right w:val="single" w:sz="8" w:space="0" w:color="auto"/>
            </w:tcBorders>
            <w:noWrap/>
            <w:vAlign w:val="bottom"/>
            <w:hideMark/>
          </w:tcPr>
          <w:p w14:paraId="4D2907D8"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6F6427CF"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4A4E52D3"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11. Huelga y/o Terrorismo</w:t>
            </w:r>
          </w:p>
        </w:tc>
        <w:tc>
          <w:tcPr>
            <w:tcW w:w="2531" w:type="dxa"/>
            <w:tcBorders>
              <w:top w:val="nil"/>
              <w:left w:val="nil"/>
              <w:bottom w:val="single" w:sz="8" w:space="0" w:color="auto"/>
              <w:right w:val="single" w:sz="8" w:space="0" w:color="auto"/>
            </w:tcBorders>
            <w:noWrap/>
            <w:vAlign w:val="bottom"/>
            <w:hideMark/>
          </w:tcPr>
          <w:p w14:paraId="39CC584C"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666C1A04"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705825FC"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12. Actos maliciosos.</w:t>
            </w:r>
          </w:p>
        </w:tc>
        <w:tc>
          <w:tcPr>
            <w:tcW w:w="2531" w:type="dxa"/>
            <w:tcBorders>
              <w:top w:val="nil"/>
              <w:left w:val="nil"/>
              <w:bottom w:val="single" w:sz="8" w:space="0" w:color="auto"/>
              <w:right w:val="single" w:sz="8" w:space="0" w:color="auto"/>
            </w:tcBorders>
            <w:noWrap/>
            <w:vAlign w:val="bottom"/>
            <w:hideMark/>
          </w:tcPr>
          <w:p w14:paraId="00B62312"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650C30C7"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5C2EF94C"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13. Daños por carga.</w:t>
            </w:r>
          </w:p>
        </w:tc>
        <w:tc>
          <w:tcPr>
            <w:tcW w:w="2531" w:type="dxa"/>
            <w:tcBorders>
              <w:top w:val="nil"/>
              <w:left w:val="nil"/>
              <w:bottom w:val="single" w:sz="8" w:space="0" w:color="auto"/>
              <w:right w:val="single" w:sz="8" w:space="0" w:color="auto"/>
            </w:tcBorders>
            <w:noWrap/>
            <w:vAlign w:val="bottom"/>
            <w:hideMark/>
          </w:tcPr>
          <w:p w14:paraId="111EC8DB"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01EBCEEB"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1FB83D7A"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14. Conductores dependientes.</w:t>
            </w:r>
          </w:p>
        </w:tc>
        <w:tc>
          <w:tcPr>
            <w:tcW w:w="2531" w:type="dxa"/>
            <w:tcBorders>
              <w:top w:val="nil"/>
              <w:left w:val="nil"/>
              <w:bottom w:val="single" w:sz="8" w:space="0" w:color="auto"/>
              <w:right w:val="single" w:sz="8" w:space="0" w:color="auto"/>
            </w:tcBorders>
            <w:noWrap/>
            <w:vAlign w:val="bottom"/>
            <w:hideMark/>
          </w:tcPr>
          <w:p w14:paraId="7A1B3C78"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66E230A1"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4E6DC2A5"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15. Infracciones de tránsito.</w:t>
            </w:r>
          </w:p>
        </w:tc>
        <w:tc>
          <w:tcPr>
            <w:tcW w:w="2531" w:type="dxa"/>
            <w:tcBorders>
              <w:top w:val="nil"/>
              <w:left w:val="nil"/>
              <w:bottom w:val="single" w:sz="8" w:space="0" w:color="auto"/>
              <w:right w:val="single" w:sz="8" w:space="0" w:color="auto"/>
            </w:tcBorders>
            <w:noWrap/>
            <w:vAlign w:val="bottom"/>
            <w:hideMark/>
          </w:tcPr>
          <w:p w14:paraId="63D11367"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7D2F4DE6"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0E708501"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16. Responsabilidad civil – Daños emergentes.</w:t>
            </w:r>
          </w:p>
        </w:tc>
        <w:tc>
          <w:tcPr>
            <w:tcW w:w="2531" w:type="dxa"/>
            <w:tcBorders>
              <w:top w:val="nil"/>
              <w:left w:val="nil"/>
              <w:bottom w:val="single" w:sz="8" w:space="0" w:color="auto"/>
              <w:right w:val="single" w:sz="8" w:space="0" w:color="auto"/>
            </w:tcBorders>
            <w:noWrap/>
            <w:vAlign w:val="bottom"/>
            <w:hideMark/>
          </w:tcPr>
          <w:p w14:paraId="0DAB3C27"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10D11F77"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1ACC776E"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17. Responsabilidad civil – Lucro cesante.</w:t>
            </w:r>
          </w:p>
        </w:tc>
        <w:tc>
          <w:tcPr>
            <w:tcW w:w="2531" w:type="dxa"/>
            <w:tcBorders>
              <w:top w:val="nil"/>
              <w:left w:val="nil"/>
              <w:bottom w:val="single" w:sz="8" w:space="0" w:color="auto"/>
              <w:right w:val="single" w:sz="8" w:space="0" w:color="auto"/>
            </w:tcBorders>
            <w:noWrap/>
            <w:vAlign w:val="bottom"/>
            <w:hideMark/>
          </w:tcPr>
          <w:p w14:paraId="310E68A4"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60D81347"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41B0E170"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18. Responsabilidad civil – Daño Moral.</w:t>
            </w:r>
          </w:p>
        </w:tc>
        <w:tc>
          <w:tcPr>
            <w:tcW w:w="2531" w:type="dxa"/>
            <w:tcBorders>
              <w:top w:val="nil"/>
              <w:left w:val="nil"/>
              <w:bottom w:val="single" w:sz="8" w:space="0" w:color="auto"/>
              <w:right w:val="single" w:sz="8" w:space="0" w:color="auto"/>
            </w:tcBorders>
            <w:noWrap/>
            <w:vAlign w:val="bottom"/>
            <w:hideMark/>
          </w:tcPr>
          <w:p w14:paraId="39C54AEC"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717F4270"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5C6878F0"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19. Cobertura en caminos no enrolados.</w:t>
            </w:r>
          </w:p>
        </w:tc>
        <w:tc>
          <w:tcPr>
            <w:tcW w:w="2531" w:type="dxa"/>
            <w:tcBorders>
              <w:top w:val="nil"/>
              <w:left w:val="nil"/>
              <w:bottom w:val="single" w:sz="8" w:space="0" w:color="auto"/>
              <w:right w:val="single" w:sz="8" w:space="0" w:color="auto"/>
            </w:tcBorders>
            <w:noWrap/>
            <w:vAlign w:val="bottom"/>
            <w:hideMark/>
          </w:tcPr>
          <w:p w14:paraId="2EF4697A"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4047CA7F" w14:textId="77777777" w:rsidTr="009E79F7">
        <w:trPr>
          <w:trHeight w:val="321"/>
        </w:trPr>
        <w:tc>
          <w:tcPr>
            <w:tcW w:w="8463" w:type="dxa"/>
            <w:tcBorders>
              <w:top w:val="nil"/>
              <w:left w:val="single" w:sz="8" w:space="0" w:color="auto"/>
              <w:bottom w:val="single" w:sz="8" w:space="0" w:color="auto"/>
              <w:right w:val="single" w:sz="8" w:space="0" w:color="auto"/>
            </w:tcBorders>
            <w:vAlign w:val="center"/>
            <w:hideMark/>
          </w:tcPr>
          <w:p w14:paraId="3A24A9B7"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20. Imprevistos por causas naturales.</w:t>
            </w:r>
          </w:p>
        </w:tc>
        <w:tc>
          <w:tcPr>
            <w:tcW w:w="2531" w:type="dxa"/>
            <w:tcBorders>
              <w:top w:val="nil"/>
              <w:left w:val="nil"/>
              <w:bottom w:val="single" w:sz="8" w:space="0" w:color="auto"/>
              <w:right w:val="single" w:sz="8" w:space="0" w:color="auto"/>
            </w:tcBorders>
            <w:noWrap/>
            <w:vAlign w:val="bottom"/>
            <w:hideMark/>
          </w:tcPr>
          <w:p w14:paraId="2B8FA208"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0BE4D8E4" w14:textId="77777777" w:rsidTr="009E79F7">
        <w:trPr>
          <w:trHeight w:val="627"/>
        </w:trPr>
        <w:tc>
          <w:tcPr>
            <w:tcW w:w="8463" w:type="dxa"/>
            <w:tcBorders>
              <w:top w:val="nil"/>
              <w:left w:val="single" w:sz="8" w:space="0" w:color="auto"/>
              <w:bottom w:val="single" w:sz="8" w:space="0" w:color="auto"/>
              <w:right w:val="single" w:sz="8" w:space="0" w:color="auto"/>
            </w:tcBorders>
            <w:vAlign w:val="center"/>
            <w:hideMark/>
          </w:tcPr>
          <w:p w14:paraId="1D304FD1"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21. Remolque de vehículos, en caso de siniestros sin distinción para todo evento, sin límite de kilometraje.</w:t>
            </w:r>
          </w:p>
        </w:tc>
        <w:tc>
          <w:tcPr>
            <w:tcW w:w="2531" w:type="dxa"/>
            <w:tcBorders>
              <w:top w:val="nil"/>
              <w:left w:val="nil"/>
              <w:bottom w:val="single" w:sz="8" w:space="0" w:color="auto"/>
              <w:right w:val="single" w:sz="8" w:space="0" w:color="auto"/>
            </w:tcBorders>
            <w:noWrap/>
            <w:vAlign w:val="bottom"/>
            <w:hideMark/>
          </w:tcPr>
          <w:p w14:paraId="6172CB0F"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31FFC6AB" w14:textId="77777777" w:rsidTr="009E79F7">
        <w:trPr>
          <w:trHeight w:val="933"/>
        </w:trPr>
        <w:tc>
          <w:tcPr>
            <w:tcW w:w="8463" w:type="dxa"/>
            <w:tcBorders>
              <w:top w:val="nil"/>
              <w:left w:val="single" w:sz="8" w:space="0" w:color="auto"/>
              <w:bottom w:val="single" w:sz="8" w:space="0" w:color="auto"/>
              <w:right w:val="single" w:sz="8" w:space="0" w:color="auto"/>
            </w:tcBorders>
            <w:vAlign w:val="center"/>
            <w:hideMark/>
          </w:tcPr>
          <w:p w14:paraId="65615F85"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22. Reparación completa de los daños en taller mecanice que cuente con todas las autorizaciones competentes, la aseguradora deberá responder por la totalidad de los daños tanto en repuestos como en mano de obra.</w:t>
            </w:r>
          </w:p>
        </w:tc>
        <w:tc>
          <w:tcPr>
            <w:tcW w:w="2531" w:type="dxa"/>
            <w:tcBorders>
              <w:top w:val="nil"/>
              <w:left w:val="nil"/>
              <w:bottom w:val="single" w:sz="8" w:space="0" w:color="auto"/>
              <w:right w:val="single" w:sz="8" w:space="0" w:color="auto"/>
            </w:tcBorders>
            <w:noWrap/>
            <w:vAlign w:val="bottom"/>
            <w:hideMark/>
          </w:tcPr>
          <w:p w14:paraId="639A5019"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r w:rsidR="009E79F7" w:rsidRPr="009E79F7" w14:paraId="740048B4" w14:textId="77777777" w:rsidTr="009E79F7">
        <w:trPr>
          <w:trHeight w:val="627"/>
        </w:trPr>
        <w:tc>
          <w:tcPr>
            <w:tcW w:w="8463" w:type="dxa"/>
            <w:tcBorders>
              <w:top w:val="nil"/>
              <w:left w:val="single" w:sz="8" w:space="0" w:color="auto"/>
              <w:bottom w:val="single" w:sz="8" w:space="0" w:color="auto"/>
              <w:right w:val="single" w:sz="8" w:space="0" w:color="auto"/>
            </w:tcBorders>
            <w:vAlign w:val="center"/>
            <w:hideMark/>
          </w:tcPr>
          <w:p w14:paraId="3C756410"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23. Incorporación de vehículos nuevos, por lo que se emitirá orden de compra en forma complementaria a la licitación.</w:t>
            </w:r>
          </w:p>
        </w:tc>
        <w:tc>
          <w:tcPr>
            <w:tcW w:w="2531" w:type="dxa"/>
            <w:tcBorders>
              <w:top w:val="nil"/>
              <w:left w:val="nil"/>
              <w:bottom w:val="single" w:sz="8" w:space="0" w:color="auto"/>
              <w:right w:val="single" w:sz="8" w:space="0" w:color="auto"/>
            </w:tcBorders>
            <w:noWrap/>
            <w:vAlign w:val="bottom"/>
            <w:hideMark/>
          </w:tcPr>
          <w:p w14:paraId="7E8CA0C3" w14:textId="77777777" w:rsidR="009E79F7" w:rsidRPr="009E79F7" w:rsidRDefault="009E79F7" w:rsidP="009E79F7">
            <w:pPr>
              <w:spacing w:after="0" w:line="240" w:lineRule="auto"/>
              <w:rPr>
                <w:rFonts w:ascii="Times New Roman" w:eastAsia="Times New Roman" w:hAnsi="Times New Roman" w:cs="Times New Roman"/>
                <w:color w:val="000000"/>
                <w:kern w:val="0"/>
                <w:sz w:val="22"/>
                <w:szCs w:val="22"/>
                <w:lang w:eastAsia="es-CL"/>
                <w14:ligatures w14:val="none"/>
              </w:rPr>
            </w:pPr>
            <w:r w:rsidRPr="009E79F7">
              <w:rPr>
                <w:rFonts w:ascii="Times New Roman" w:eastAsia="Times New Roman" w:hAnsi="Times New Roman" w:cs="Times New Roman"/>
                <w:color w:val="000000"/>
                <w:kern w:val="0"/>
                <w:sz w:val="22"/>
                <w:szCs w:val="22"/>
                <w:lang w:eastAsia="es-CL"/>
                <w14:ligatures w14:val="none"/>
              </w:rPr>
              <w:t> </w:t>
            </w:r>
          </w:p>
        </w:tc>
      </w:tr>
    </w:tbl>
    <w:p w14:paraId="63DD2EDD" w14:textId="77777777" w:rsidR="00407D04" w:rsidRPr="009E79F7" w:rsidRDefault="00407D04">
      <w:pPr>
        <w:rPr>
          <w:rFonts w:ascii="Times New Roman" w:hAnsi="Times New Roman" w:cs="Times New Roman"/>
          <w:sz w:val="22"/>
          <w:szCs w:val="22"/>
        </w:rPr>
      </w:pPr>
    </w:p>
    <w:sectPr w:rsidR="00407D04" w:rsidRPr="009E79F7" w:rsidSect="00407D04">
      <w:pgSz w:w="12240" w:h="20660"/>
      <w:pgMar w:top="1400" w:right="900" w:bottom="393" w:left="825"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D04"/>
    <w:rsid w:val="00407D04"/>
    <w:rsid w:val="008B253A"/>
    <w:rsid w:val="009E79F7"/>
    <w:rsid w:val="00EE4E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286C2"/>
  <w15:chartTrackingRefBased/>
  <w15:docId w15:val="{498ACB67-3EBB-42EA-BC07-6C31DBE59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7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7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7D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7D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7D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7D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7D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7D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7D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7D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7D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7D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7D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7D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7D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7D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7D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7D04"/>
    <w:rPr>
      <w:rFonts w:eastAsiaTheme="majorEastAsia" w:cstheme="majorBidi"/>
      <w:color w:val="272727" w:themeColor="text1" w:themeTint="D8"/>
    </w:rPr>
  </w:style>
  <w:style w:type="paragraph" w:styleId="Ttulo">
    <w:name w:val="Title"/>
    <w:basedOn w:val="Normal"/>
    <w:next w:val="Normal"/>
    <w:link w:val="TtuloCar"/>
    <w:uiPriority w:val="10"/>
    <w:qFormat/>
    <w:rsid w:val="00407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7D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7D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7D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7D04"/>
    <w:pPr>
      <w:spacing w:before="160"/>
      <w:jc w:val="center"/>
    </w:pPr>
    <w:rPr>
      <w:i/>
      <w:iCs/>
      <w:color w:val="404040" w:themeColor="text1" w:themeTint="BF"/>
    </w:rPr>
  </w:style>
  <w:style w:type="character" w:customStyle="1" w:styleId="CitaCar">
    <w:name w:val="Cita Car"/>
    <w:basedOn w:val="Fuentedeprrafopredeter"/>
    <w:link w:val="Cita"/>
    <w:uiPriority w:val="29"/>
    <w:rsid w:val="00407D04"/>
    <w:rPr>
      <w:i/>
      <w:iCs/>
      <w:color w:val="404040" w:themeColor="text1" w:themeTint="BF"/>
    </w:rPr>
  </w:style>
  <w:style w:type="paragraph" w:styleId="Prrafodelista">
    <w:name w:val="List Paragraph"/>
    <w:basedOn w:val="Normal"/>
    <w:uiPriority w:val="34"/>
    <w:qFormat/>
    <w:rsid w:val="00407D04"/>
    <w:pPr>
      <w:ind w:left="720"/>
      <w:contextualSpacing/>
    </w:pPr>
  </w:style>
  <w:style w:type="character" w:styleId="nfasisintenso">
    <w:name w:val="Intense Emphasis"/>
    <w:basedOn w:val="Fuentedeprrafopredeter"/>
    <w:uiPriority w:val="21"/>
    <w:qFormat/>
    <w:rsid w:val="00407D04"/>
    <w:rPr>
      <w:i/>
      <w:iCs/>
      <w:color w:val="0F4761" w:themeColor="accent1" w:themeShade="BF"/>
    </w:rPr>
  </w:style>
  <w:style w:type="paragraph" w:styleId="Citadestacada">
    <w:name w:val="Intense Quote"/>
    <w:basedOn w:val="Normal"/>
    <w:next w:val="Normal"/>
    <w:link w:val="CitadestacadaCar"/>
    <w:uiPriority w:val="30"/>
    <w:qFormat/>
    <w:rsid w:val="00407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7D04"/>
    <w:rPr>
      <w:i/>
      <w:iCs/>
      <w:color w:val="0F4761" w:themeColor="accent1" w:themeShade="BF"/>
    </w:rPr>
  </w:style>
  <w:style w:type="character" w:styleId="Referenciaintensa">
    <w:name w:val="Intense Reference"/>
    <w:basedOn w:val="Fuentedeprrafopredeter"/>
    <w:uiPriority w:val="32"/>
    <w:qFormat/>
    <w:rsid w:val="00407D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231</Words>
  <Characters>1271</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Andres Orellana Molina</dc:creator>
  <cp:keywords/>
  <dc:description/>
  <cp:lastModifiedBy>Claudio Andres Orellana Molina</cp:lastModifiedBy>
  <cp:revision>2</cp:revision>
  <dcterms:created xsi:type="dcterms:W3CDTF">2026-07-01T16:04:00Z</dcterms:created>
  <dcterms:modified xsi:type="dcterms:W3CDTF">2026-07-01T16:04:00Z</dcterms:modified>
</cp:coreProperties>
</file>