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27FC" w:rsidRPr="003927FC" w:rsidRDefault="003927FC" w:rsidP="003927FC">
      <w:pPr>
        <w:spacing w:after="80"/>
        <w:jc w:val="center"/>
        <w:rPr>
          <w:rFonts w:ascii="Arial" w:eastAsia="Arial" w:hAnsi="Arial" w:cs="Arial"/>
          <w:b/>
          <w:sz w:val="24"/>
          <w:szCs w:val="24"/>
          <w:lang w:val="es-CL"/>
        </w:rPr>
      </w:pPr>
      <w:r w:rsidRPr="003927FC">
        <w:rPr>
          <w:rFonts w:ascii="Arial" w:eastAsia="Arial" w:hAnsi="Arial" w:cs="Arial"/>
          <w:b/>
          <w:sz w:val="24"/>
          <w:szCs w:val="24"/>
          <w:lang w:val="es-CL"/>
        </w:rPr>
        <w:t>CARTA GANTT O CRONOGRAMA DE EJECUCIÓN</w:t>
      </w:r>
    </w:p>
    <w:p w:rsidR="003927FC" w:rsidRPr="003927FC" w:rsidRDefault="003927FC" w:rsidP="003927FC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3927FC" w:rsidRPr="003927FC" w:rsidRDefault="003927FC" w:rsidP="003927FC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  <w:r w:rsidRPr="003927FC">
        <w:rPr>
          <w:rFonts w:ascii="Arial" w:eastAsia="Arial" w:hAnsi="Arial" w:cs="Arial"/>
          <w:sz w:val="24"/>
          <w:szCs w:val="24"/>
          <w:lang w:val="es-CL"/>
        </w:rPr>
        <w:t>El oferente deberá presentar una Carta Gantt o cronograma de ejecución coherente con su propuesta técnica de intervención y con el plazo total ofertado. El plazo comenzará a regir desde la suscripción del acta de inicio del servicio o acta de entrega de terreno, una vez aceptada la orden de compra o suscrito el contrato, según corresponda, y entregada la garantía de fiel y oportuno cumplimiento, si procediere.</w:t>
      </w:r>
    </w:p>
    <w:p w:rsidR="003927FC" w:rsidRPr="003927FC" w:rsidRDefault="003927FC" w:rsidP="003927FC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3927FC" w:rsidRPr="003927FC" w:rsidRDefault="003927FC" w:rsidP="003927FC">
      <w:pPr>
        <w:numPr>
          <w:ilvl w:val="0"/>
          <w:numId w:val="1"/>
        </w:numPr>
        <w:spacing w:after="80" w:line="252" w:lineRule="auto"/>
        <w:ind w:left="567" w:hanging="567"/>
        <w:contextualSpacing/>
        <w:jc w:val="both"/>
        <w:rPr>
          <w:rFonts w:ascii="Arial" w:eastAsia="Arial" w:hAnsi="Arial" w:cs="Arial"/>
          <w:sz w:val="24"/>
          <w:szCs w:val="24"/>
          <w:lang w:val="es-CL"/>
        </w:rPr>
      </w:pPr>
      <w:r w:rsidRPr="003927FC">
        <w:rPr>
          <w:rFonts w:ascii="Arial" w:eastAsia="Arial" w:hAnsi="Arial" w:cs="Arial"/>
          <w:b/>
          <w:sz w:val="24"/>
          <w:szCs w:val="24"/>
          <w:lang w:val="es-CL"/>
        </w:rPr>
        <w:t xml:space="preserve">Plazo </w:t>
      </w:r>
    </w:p>
    <w:p w:rsidR="003927FC" w:rsidRPr="003927FC" w:rsidRDefault="003927FC" w:rsidP="003927FC">
      <w:pPr>
        <w:spacing w:after="80"/>
        <w:ind w:left="567"/>
        <w:contextualSpacing/>
        <w:jc w:val="both"/>
        <w:rPr>
          <w:rFonts w:ascii="Arial" w:eastAsia="Arial" w:hAnsi="Arial" w:cs="Arial"/>
          <w:sz w:val="24"/>
          <w:szCs w:val="24"/>
          <w:lang w:val="es-CL"/>
        </w:rPr>
      </w:pPr>
      <w:r w:rsidRPr="003927FC">
        <w:rPr>
          <w:rFonts w:ascii="Arial" w:eastAsia="Arial" w:hAnsi="Arial" w:cs="Arial"/>
          <w:sz w:val="24"/>
          <w:szCs w:val="24"/>
          <w:lang w:val="es-CL"/>
        </w:rPr>
        <w:t xml:space="preserve">Plazo máximo de ejecución: </w:t>
      </w:r>
      <w:r w:rsidRPr="003927FC">
        <w:rPr>
          <w:rFonts w:ascii="Arial" w:eastAsia="Arial" w:hAnsi="Arial" w:cs="Arial"/>
          <w:b/>
          <w:sz w:val="24"/>
          <w:szCs w:val="24"/>
          <w:lang w:val="es-CL"/>
        </w:rPr>
        <w:t>130 días corridos.</w:t>
      </w:r>
    </w:p>
    <w:p w:rsidR="003927FC" w:rsidRPr="003927FC" w:rsidRDefault="003927FC" w:rsidP="003927FC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3927FC" w:rsidRPr="003927FC" w:rsidRDefault="003927FC" w:rsidP="003927FC">
      <w:pPr>
        <w:numPr>
          <w:ilvl w:val="0"/>
          <w:numId w:val="1"/>
        </w:numPr>
        <w:spacing w:after="80" w:line="252" w:lineRule="auto"/>
        <w:ind w:left="567" w:hanging="567"/>
        <w:contextualSpacing/>
        <w:jc w:val="both"/>
        <w:rPr>
          <w:rFonts w:ascii="Arial" w:eastAsia="Arial" w:hAnsi="Arial" w:cs="Arial"/>
          <w:sz w:val="24"/>
          <w:szCs w:val="24"/>
          <w:lang w:val="es-CL"/>
        </w:rPr>
      </w:pPr>
      <w:r w:rsidRPr="003927FC">
        <w:rPr>
          <w:rFonts w:ascii="Arial" w:eastAsia="Arial" w:hAnsi="Arial" w:cs="Arial"/>
          <w:b/>
          <w:sz w:val="24"/>
          <w:szCs w:val="24"/>
          <w:lang w:val="es-CL"/>
        </w:rPr>
        <w:t>Cronograma de ejecución</w:t>
      </w:r>
    </w:p>
    <w:tbl>
      <w:tblPr>
        <w:tblStyle w:val="Tablaconcuadrcula"/>
        <w:tblW w:w="9809" w:type="dxa"/>
        <w:tblLayout w:type="fixed"/>
        <w:tblLook w:val="04A0" w:firstRow="1" w:lastRow="0" w:firstColumn="1" w:lastColumn="0" w:noHBand="0" w:noVBand="1"/>
      </w:tblPr>
      <w:tblGrid>
        <w:gridCol w:w="454"/>
        <w:gridCol w:w="2971"/>
        <w:gridCol w:w="363"/>
        <w:gridCol w:w="364"/>
        <w:gridCol w:w="363"/>
        <w:gridCol w:w="364"/>
        <w:gridCol w:w="363"/>
        <w:gridCol w:w="364"/>
        <w:gridCol w:w="363"/>
        <w:gridCol w:w="364"/>
        <w:gridCol w:w="364"/>
        <w:gridCol w:w="363"/>
        <w:gridCol w:w="364"/>
        <w:gridCol w:w="363"/>
        <w:gridCol w:w="364"/>
        <w:gridCol w:w="363"/>
        <w:gridCol w:w="364"/>
        <w:gridCol w:w="364"/>
        <w:gridCol w:w="567"/>
      </w:tblGrid>
      <w:tr w:rsidR="003927FC" w:rsidRPr="003927FC" w:rsidTr="004722E4">
        <w:trPr>
          <w:cantSplit/>
          <w:trHeight w:val="1407"/>
        </w:trPr>
        <w:tc>
          <w:tcPr>
            <w:tcW w:w="454" w:type="dxa"/>
            <w:shd w:val="clear" w:color="auto" w:fill="D9D9D9" w:themeFill="background1" w:themeFillShade="D9"/>
            <w:vAlign w:val="center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</w:pPr>
            <w:bookmarkStart w:id="0" w:name="_GoBack"/>
            <w:r w:rsidRPr="003927F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  <w:t>N°</w:t>
            </w:r>
          </w:p>
        </w:tc>
        <w:tc>
          <w:tcPr>
            <w:tcW w:w="2971" w:type="dxa"/>
            <w:shd w:val="clear" w:color="auto" w:fill="D9D9D9" w:themeFill="background1" w:themeFillShade="D9"/>
            <w:vAlign w:val="center"/>
            <w:hideMark/>
          </w:tcPr>
          <w:p w:rsidR="003927FC" w:rsidRPr="003927FC" w:rsidRDefault="003927FC" w:rsidP="003927FC">
            <w:pPr>
              <w:spacing w:after="80" w:line="252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  <w:t>Actividad / partida</w:t>
            </w:r>
          </w:p>
        </w:tc>
        <w:tc>
          <w:tcPr>
            <w:tcW w:w="363" w:type="dxa"/>
            <w:shd w:val="clear" w:color="auto" w:fill="D9D9D9" w:themeFill="background1" w:themeFillShade="D9"/>
            <w:textDirection w:val="btLr"/>
            <w:hideMark/>
          </w:tcPr>
          <w:p w:rsidR="003927FC" w:rsidRPr="003927FC" w:rsidRDefault="003927FC" w:rsidP="003927FC">
            <w:pPr>
              <w:spacing w:after="80" w:line="252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  <w:t>Semana 1</w:t>
            </w:r>
          </w:p>
        </w:tc>
        <w:tc>
          <w:tcPr>
            <w:tcW w:w="364" w:type="dxa"/>
            <w:shd w:val="clear" w:color="auto" w:fill="D9D9D9" w:themeFill="background1" w:themeFillShade="D9"/>
            <w:textDirection w:val="btLr"/>
            <w:hideMark/>
          </w:tcPr>
          <w:p w:rsidR="003927FC" w:rsidRPr="003927FC" w:rsidRDefault="003927FC" w:rsidP="003927FC">
            <w:pPr>
              <w:spacing w:after="80" w:line="252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  <w:t>Semana 2</w:t>
            </w:r>
          </w:p>
        </w:tc>
        <w:tc>
          <w:tcPr>
            <w:tcW w:w="363" w:type="dxa"/>
            <w:shd w:val="clear" w:color="auto" w:fill="D9D9D9" w:themeFill="background1" w:themeFillShade="D9"/>
            <w:textDirection w:val="btLr"/>
            <w:hideMark/>
          </w:tcPr>
          <w:p w:rsidR="003927FC" w:rsidRPr="003927FC" w:rsidRDefault="003927FC" w:rsidP="003927FC">
            <w:pPr>
              <w:spacing w:after="80" w:line="252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  <w:t>Semana 3</w:t>
            </w:r>
          </w:p>
        </w:tc>
        <w:tc>
          <w:tcPr>
            <w:tcW w:w="364" w:type="dxa"/>
            <w:shd w:val="clear" w:color="auto" w:fill="D9D9D9" w:themeFill="background1" w:themeFillShade="D9"/>
            <w:textDirection w:val="btLr"/>
            <w:hideMark/>
          </w:tcPr>
          <w:p w:rsidR="003927FC" w:rsidRPr="003927FC" w:rsidRDefault="003927FC" w:rsidP="003927FC">
            <w:pPr>
              <w:spacing w:after="80" w:line="252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  <w:t>Semana 4</w:t>
            </w:r>
          </w:p>
        </w:tc>
        <w:tc>
          <w:tcPr>
            <w:tcW w:w="363" w:type="dxa"/>
            <w:shd w:val="clear" w:color="auto" w:fill="D9D9D9" w:themeFill="background1" w:themeFillShade="D9"/>
            <w:textDirection w:val="btLr"/>
            <w:hideMark/>
          </w:tcPr>
          <w:p w:rsidR="003927FC" w:rsidRPr="003927FC" w:rsidRDefault="003927FC" w:rsidP="003927FC">
            <w:pPr>
              <w:spacing w:after="80" w:line="252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  <w:t>Semana 5</w:t>
            </w:r>
          </w:p>
        </w:tc>
        <w:tc>
          <w:tcPr>
            <w:tcW w:w="364" w:type="dxa"/>
            <w:shd w:val="clear" w:color="auto" w:fill="D9D9D9" w:themeFill="background1" w:themeFillShade="D9"/>
            <w:textDirection w:val="btLr"/>
            <w:hideMark/>
          </w:tcPr>
          <w:p w:rsidR="003927FC" w:rsidRPr="003927FC" w:rsidRDefault="003927FC" w:rsidP="003927FC">
            <w:pPr>
              <w:spacing w:after="80" w:line="252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  <w:t>Semana 6</w:t>
            </w:r>
          </w:p>
        </w:tc>
        <w:tc>
          <w:tcPr>
            <w:tcW w:w="363" w:type="dxa"/>
            <w:shd w:val="clear" w:color="auto" w:fill="D9D9D9" w:themeFill="background1" w:themeFillShade="D9"/>
            <w:textDirection w:val="btLr"/>
            <w:hideMark/>
          </w:tcPr>
          <w:p w:rsidR="003927FC" w:rsidRPr="003927FC" w:rsidRDefault="003927FC" w:rsidP="003927FC">
            <w:pPr>
              <w:spacing w:after="80" w:line="252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  <w:t>Semana 7</w:t>
            </w:r>
          </w:p>
        </w:tc>
        <w:tc>
          <w:tcPr>
            <w:tcW w:w="364" w:type="dxa"/>
            <w:shd w:val="clear" w:color="auto" w:fill="D9D9D9" w:themeFill="background1" w:themeFillShade="D9"/>
            <w:textDirection w:val="btLr"/>
            <w:hideMark/>
          </w:tcPr>
          <w:p w:rsidR="003927FC" w:rsidRPr="003927FC" w:rsidRDefault="003927FC" w:rsidP="003927FC">
            <w:pPr>
              <w:spacing w:after="80" w:line="252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  <w:t>Semana 8</w:t>
            </w:r>
          </w:p>
        </w:tc>
        <w:tc>
          <w:tcPr>
            <w:tcW w:w="364" w:type="dxa"/>
            <w:shd w:val="clear" w:color="auto" w:fill="D9D9D9" w:themeFill="background1" w:themeFillShade="D9"/>
            <w:textDirection w:val="btLr"/>
            <w:hideMark/>
          </w:tcPr>
          <w:p w:rsidR="003927FC" w:rsidRPr="003927FC" w:rsidRDefault="003927FC" w:rsidP="003927FC">
            <w:pPr>
              <w:spacing w:after="80" w:line="252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  <w:t>Semana 9</w:t>
            </w:r>
          </w:p>
        </w:tc>
        <w:tc>
          <w:tcPr>
            <w:tcW w:w="363" w:type="dxa"/>
            <w:shd w:val="clear" w:color="auto" w:fill="D9D9D9" w:themeFill="background1" w:themeFillShade="D9"/>
            <w:textDirection w:val="btLr"/>
            <w:hideMark/>
          </w:tcPr>
          <w:p w:rsidR="003927FC" w:rsidRPr="003927FC" w:rsidRDefault="003927FC" w:rsidP="003927FC">
            <w:pPr>
              <w:spacing w:after="80" w:line="252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  <w:t>Semana 10</w:t>
            </w:r>
          </w:p>
        </w:tc>
        <w:tc>
          <w:tcPr>
            <w:tcW w:w="364" w:type="dxa"/>
            <w:shd w:val="clear" w:color="auto" w:fill="D9D9D9" w:themeFill="background1" w:themeFillShade="D9"/>
            <w:textDirection w:val="btLr"/>
            <w:hideMark/>
          </w:tcPr>
          <w:p w:rsidR="003927FC" w:rsidRPr="003927FC" w:rsidRDefault="003927FC" w:rsidP="003927FC">
            <w:pPr>
              <w:spacing w:after="80" w:line="252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  <w:t>Semana 11</w:t>
            </w:r>
          </w:p>
        </w:tc>
        <w:tc>
          <w:tcPr>
            <w:tcW w:w="363" w:type="dxa"/>
            <w:shd w:val="clear" w:color="auto" w:fill="D9D9D9" w:themeFill="background1" w:themeFillShade="D9"/>
            <w:textDirection w:val="btLr"/>
            <w:hideMark/>
          </w:tcPr>
          <w:p w:rsidR="003927FC" w:rsidRPr="003927FC" w:rsidRDefault="003927FC" w:rsidP="003927FC">
            <w:pPr>
              <w:spacing w:after="80" w:line="252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  <w:t>Semana 12</w:t>
            </w:r>
          </w:p>
        </w:tc>
        <w:tc>
          <w:tcPr>
            <w:tcW w:w="364" w:type="dxa"/>
            <w:shd w:val="clear" w:color="auto" w:fill="D9D9D9" w:themeFill="background1" w:themeFillShade="D9"/>
            <w:textDirection w:val="btLr"/>
            <w:hideMark/>
          </w:tcPr>
          <w:p w:rsidR="003927FC" w:rsidRPr="003927FC" w:rsidRDefault="003927FC" w:rsidP="003927FC">
            <w:pPr>
              <w:spacing w:after="80" w:line="252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  <w:t>Semana 13</w:t>
            </w:r>
          </w:p>
        </w:tc>
        <w:tc>
          <w:tcPr>
            <w:tcW w:w="363" w:type="dxa"/>
            <w:shd w:val="clear" w:color="auto" w:fill="D9D9D9" w:themeFill="background1" w:themeFillShade="D9"/>
            <w:textDirection w:val="btLr"/>
            <w:hideMark/>
          </w:tcPr>
          <w:p w:rsidR="003927FC" w:rsidRPr="003927FC" w:rsidRDefault="003927FC" w:rsidP="003927FC">
            <w:pPr>
              <w:spacing w:after="80" w:line="252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  <w:t>Semana 14</w:t>
            </w:r>
          </w:p>
        </w:tc>
        <w:tc>
          <w:tcPr>
            <w:tcW w:w="364" w:type="dxa"/>
            <w:shd w:val="clear" w:color="auto" w:fill="D9D9D9" w:themeFill="background1" w:themeFillShade="D9"/>
            <w:textDirection w:val="btLr"/>
            <w:hideMark/>
          </w:tcPr>
          <w:p w:rsidR="003927FC" w:rsidRPr="003927FC" w:rsidRDefault="003927FC" w:rsidP="003927FC">
            <w:pPr>
              <w:spacing w:after="80" w:line="252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  <w:t>Semana 15</w:t>
            </w:r>
          </w:p>
        </w:tc>
        <w:tc>
          <w:tcPr>
            <w:tcW w:w="364" w:type="dxa"/>
            <w:shd w:val="clear" w:color="auto" w:fill="D9D9D9" w:themeFill="background1" w:themeFillShade="D9"/>
            <w:textDirection w:val="btLr"/>
            <w:hideMark/>
          </w:tcPr>
          <w:p w:rsidR="003927FC" w:rsidRPr="003927FC" w:rsidRDefault="003927FC" w:rsidP="003927FC">
            <w:pPr>
              <w:spacing w:after="80" w:line="252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  <w:t>Semana 16</w:t>
            </w:r>
          </w:p>
        </w:tc>
        <w:tc>
          <w:tcPr>
            <w:tcW w:w="567" w:type="dxa"/>
            <w:shd w:val="clear" w:color="auto" w:fill="D9D9D9" w:themeFill="background1" w:themeFillShade="D9"/>
            <w:textDirection w:val="btLr"/>
            <w:hideMark/>
          </w:tcPr>
          <w:p w:rsidR="003927FC" w:rsidRPr="003927FC" w:rsidRDefault="003927FC" w:rsidP="003927FC">
            <w:pPr>
              <w:spacing w:after="80" w:line="252" w:lineRule="auto"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CL" w:eastAsia="es-CL"/>
              </w:rPr>
              <w:t>Semana final</w:t>
            </w:r>
          </w:p>
        </w:tc>
      </w:tr>
      <w:bookmarkEnd w:id="0"/>
      <w:tr w:rsidR="003927FC" w:rsidRPr="003927FC" w:rsidTr="004722E4">
        <w:tc>
          <w:tcPr>
            <w:tcW w:w="454" w:type="dxa"/>
            <w:vAlign w:val="center"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b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Arial" w:hAnsi="Arial" w:cs="Arial"/>
                <w:sz w:val="20"/>
                <w:szCs w:val="20"/>
                <w:lang w:val="es-CL"/>
              </w:rPr>
              <w:t>1</w:t>
            </w:r>
          </w:p>
        </w:tc>
        <w:tc>
          <w:tcPr>
            <w:tcW w:w="2971" w:type="dxa"/>
            <w:vAlign w:val="center"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Arial" w:hAnsi="Arial" w:cs="Arial"/>
                <w:sz w:val="20"/>
                <w:szCs w:val="20"/>
                <w:lang w:val="es-CL"/>
              </w:rPr>
              <w:t>Suministro e instalación de intercambiador de calor definitivo</w:t>
            </w: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567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</w:tr>
      <w:tr w:rsidR="003927FC" w:rsidRPr="003927FC" w:rsidTr="004722E4">
        <w:tc>
          <w:tcPr>
            <w:tcW w:w="454" w:type="dxa"/>
            <w:vAlign w:val="center"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b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Arial" w:hAnsi="Arial" w:cs="Arial"/>
                <w:sz w:val="20"/>
                <w:szCs w:val="20"/>
                <w:lang w:val="es-CL"/>
              </w:rPr>
              <w:t>2</w:t>
            </w:r>
          </w:p>
        </w:tc>
        <w:tc>
          <w:tcPr>
            <w:tcW w:w="2971" w:type="dxa"/>
            <w:vAlign w:val="center"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Arial" w:hAnsi="Arial" w:cs="Arial"/>
                <w:sz w:val="20"/>
                <w:szCs w:val="20"/>
                <w:lang w:val="es-CL"/>
              </w:rPr>
              <w:t>Reparación provisoria del intercambiador de calor</w:t>
            </w: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567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</w:tr>
      <w:tr w:rsidR="003927FC" w:rsidRPr="003927FC" w:rsidTr="004722E4">
        <w:tc>
          <w:tcPr>
            <w:tcW w:w="454" w:type="dxa"/>
            <w:vAlign w:val="center"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b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Arial" w:hAnsi="Arial" w:cs="Arial"/>
                <w:sz w:val="20"/>
                <w:szCs w:val="20"/>
                <w:lang w:val="es-CL"/>
              </w:rPr>
              <w:t>3</w:t>
            </w:r>
          </w:p>
        </w:tc>
        <w:tc>
          <w:tcPr>
            <w:tcW w:w="2971" w:type="dxa"/>
            <w:vAlign w:val="center"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Arial" w:hAnsi="Arial" w:cs="Arial"/>
                <w:sz w:val="20"/>
                <w:szCs w:val="20"/>
                <w:lang w:val="es-CL"/>
              </w:rPr>
              <w:t>Mantención anual de motobomba diésel contra incendios</w:t>
            </w: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567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</w:tr>
      <w:tr w:rsidR="003927FC" w:rsidRPr="003927FC" w:rsidTr="004722E4">
        <w:tc>
          <w:tcPr>
            <w:tcW w:w="454" w:type="dxa"/>
            <w:vAlign w:val="center"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b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Arial" w:hAnsi="Arial" w:cs="Arial"/>
                <w:sz w:val="20"/>
                <w:szCs w:val="20"/>
                <w:lang w:val="es-CL"/>
              </w:rPr>
              <w:t>4</w:t>
            </w:r>
          </w:p>
        </w:tc>
        <w:tc>
          <w:tcPr>
            <w:tcW w:w="2971" w:type="dxa"/>
            <w:vAlign w:val="center"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Arial" w:hAnsi="Arial" w:cs="Arial"/>
                <w:sz w:val="20"/>
                <w:szCs w:val="20"/>
                <w:lang w:val="es-CL"/>
              </w:rPr>
              <w:t>Pruebas y diagnóstico eléctrico, mecánico e hidráulico</w:t>
            </w: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567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</w:tr>
      <w:tr w:rsidR="003927FC" w:rsidRPr="003927FC" w:rsidTr="004722E4">
        <w:tc>
          <w:tcPr>
            <w:tcW w:w="454" w:type="dxa"/>
            <w:vAlign w:val="center"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b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Arial" w:hAnsi="Arial" w:cs="Arial"/>
                <w:sz w:val="20"/>
                <w:szCs w:val="20"/>
                <w:lang w:val="es-CL"/>
              </w:rPr>
              <w:t>5</w:t>
            </w:r>
          </w:p>
        </w:tc>
        <w:tc>
          <w:tcPr>
            <w:tcW w:w="2971" w:type="dxa"/>
            <w:vAlign w:val="center"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Arial" w:hAnsi="Arial" w:cs="Arial"/>
                <w:sz w:val="20"/>
                <w:szCs w:val="20"/>
                <w:lang w:val="es-CL"/>
              </w:rPr>
              <w:t>Revisión y diagnóstico de línea sensible</w:t>
            </w: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567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</w:tr>
      <w:tr w:rsidR="003927FC" w:rsidRPr="003927FC" w:rsidTr="004722E4">
        <w:tc>
          <w:tcPr>
            <w:tcW w:w="454" w:type="dxa"/>
            <w:vAlign w:val="center"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b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Arial" w:hAnsi="Arial" w:cs="Arial"/>
                <w:sz w:val="20"/>
                <w:szCs w:val="20"/>
                <w:lang w:val="es-CL"/>
              </w:rPr>
              <w:t>6</w:t>
            </w:r>
          </w:p>
        </w:tc>
        <w:tc>
          <w:tcPr>
            <w:tcW w:w="2971" w:type="dxa"/>
            <w:vAlign w:val="center"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3927FC">
              <w:rPr>
                <w:rFonts w:ascii="Arial" w:eastAsia="Arial" w:hAnsi="Arial" w:cs="Arial"/>
                <w:sz w:val="20"/>
                <w:szCs w:val="20"/>
                <w:lang w:val="es-CL"/>
              </w:rPr>
              <w:t>Informes, puesta en marcha y capacitación</w:t>
            </w: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567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</w:tr>
      <w:tr w:rsidR="003927FC" w:rsidRPr="003927FC" w:rsidTr="004722E4">
        <w:tc>
          <w:tcPr>
            <w:tcW w:w="454" w:type="dxa"/>
            <w:vAlign w:val="center"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b/>
                <w:sz w:val="20"/>
                <w:szCs w:val="20"/>
                <w:lang w:val="es-CL" w:eastAsia="es-CL"/>
              </w:rPr>
            </w:pPr>
          </w:p>
        </w:tc>
        <w:tc>
          <w:tcPr>
            <w:tcW w:w="2971" w:type="dxa"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567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</w:tr>
      <w:tr w:rsidR="003927FC" w:rsidRPr="003927FC" w:rsidTr="004722E4">
        <w:tc>
          <w:tcPr>
            <w:tcW w:w="454" w:type="dxa"/>
            <w:vAlign w:val="center"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b/>
                <w:sz w:val="20"/>
                <w:szCs w:val="20"/>
                <w:lang w:val="es-CL" w:eastAsia="es-CL"/>
              </w:rPr>
            </w:pPr>
          </w:p>
        </w:tc>
        <w:tc>
          <w:tcPr>
            <w:tcW w:w="2971" w:type="dxa"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3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364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  <w:tc>
          <w:tcPr>
            <w:tcW w:w="567" w:type="dxa"/>
            <w:hideMark/>
          </w:tcPr>
          <w:p w:rsidR="003927FC" w:rsidRPr="003927FC" w:rsidRDefault="003927FC" w:rsidP="003927FC">
            <w:pPr>
              <w:spacing w:after="80" w:line="252" w:lineRule="auto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</w:p>
        </w:tc>
      </w:tr>
    </w:tbl>
    <w:p w:rsidR="003927FC" w:rsidRPr="003927FC" w:rsidRDefault="003927FC" w:rsidP="003927FC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3927FC" w:rsidRPr="003927FC" w:rsidRDefault="003927FC" w:rsidP="003927FC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3927FC" w:rsidRPr="003927FC" w:rsidRDefault="003927FC" w:rsidP="003927FC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  <w:r w:rsidRPr="003927FC">
        <w:rPr>
          <w:rFonts w:ascii="Arial" w:eastAsia="Arial" w:hAnsi="Arial" w:cs="Arial"/>
          <w:sz w:val="24"/>
          <w:szCs w:val="24"/>
          <w:lang w:val="es-CL"/>
        </w:rPr>
        <w:t>Firma: ____________________________________</w:t>
      </w:r>
    </w:p>
    <w:p w:rsidR="003927FC" w:rsidRPr="003927FC" w:rsidRDefault="003927FC" w:rsidP="003927FC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  <w:r w:rsidRPr="003927FC">
        <w:rPr>
          <w:rFonts w:ascii="Arial" w:eastAsia="Arial" w:hAnsi="Arial" w:cs="Arial"/>
          <w:sz w:val="24"/>
          <w:szCs w:val="24"/>
          <w:lang w:val="es-CL"/>
        </w:rPr>
        <w:t>Nombre: __________________________________</w:t>
      </w:r>
    </w:p>
    <w:p w:rsidR="003927FC" w:rsidRPr="003927FC" w:rsidRDefault="003927FC" w:rsidP="003927FC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  <w:r w:rsidRPr="003927FC">
        <w:rPr>
          <w:rFonts w:ascii="Arial" w:eastAsia="Arial" w:hAnsi="Arial" w:cs="Arial"/>
          <w:sz w:val="24"/>
          <w:szCs w:val="24"/>
          <w:lang w:val="es-CL"/>
        </w:rPr>
        <w:t>RUT: _____________________________________</w:t>
      </w:r>
    </w:p>
    <w:p w:rsidR="003927FC" w:rsidRPr="003927FC" w:rsidRDefault="003927FC" w:rsidP="003927FC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  <w:r w:rsidRPr="003927FC">
        <w:rPr>
          <w:rFonts w:ascii="Arial" w:eastAsia="Arial" w:hAnsi="Arial" w:cs="Arial"/>
          <w:sz w:val="24"/>
          <w:szCs w:val="24"/>
          <w:lang w:val="es-CL"/>
        </w:rPr>
        <w:t>Cargo o calidad en que comparece: ______________________________</w:t>
      </w:r>
    </w:p>
    <w:p w:rsidR="003927FC" w:rsidRPr="003927FC" w:rsidRDefault="003927FC" w:rsidP="003927FC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  <w:r w:rsidRPr="003927FC">
        <w:rPr>
          <w:rFonts w:ascii="Arial" w:eastAsia="Arial" w:hAnsi="Arial" w:cs="Arial"/>
          <w:sz w:val="24"/>
          <w:szCs w:val="24"/>
          <w:lang w:val="es-CL"/>
        </w:rPr>
        <w:t>Razón social del oferente: ______________________________________</w:t>
      </w:r>
    </w:p>
    <w:p w:rsidR="003927FC" w:rsidRPr="003927FC" w:rsidRDefault="003927FC" w:rsidP="003927FC">
      <w:pPr>
        <w:spacing w:after="80" w:line="252" w:lineRule="auto"/>
        <w:rPr>
          <w:rFonts w:ascii="Arial" w:eastAsia="Arial" w:hAnsi="Arial" w:cs="Arial"/>
          <w:b/>
          <w:sz w:val="24"/>
          <w:szCs w:val="24"/>
          <w:lang w:val="es-CL"/>
        </w:rPr>
      </w:pPr>
    </w:p>
    <w:p w:rsidR="003927FC" w:rsidRPr="003927FC" w:rsidRDefault="003927FC" w:rsidP="003927FC">
      <w:pPr>
        <w:spacing w:after="80" w:line="252" w:lineRule="auto"/>
        <w:rPr>
          <w:rFonts w:ascii="Arial" w:eastAsia="Arial" w:hAnsi="Arial"/>
          <w:sz w:val="21"/>
          <w:lang w:val="en-US"/>
        </w:rPr>
      </w:pPr>
    </w:p>
    <w:p w:rsidR="00493241" w:rsidRDefault="00493241"/>
    <w:sectPr w:rsidR="00493241" w:rsidSect="004722E4">
      <w:footerReference w:type="default" r:id="rId7"/>
      <w:pgSz w:w="12242" w:h="18722" w:code="124"/>
      <w:pgMar w:top="1134" w:right="1247" w:bottom="1020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27FC" w:rsidRDefault="003927FC" w:rsidP="003927FC">
      <w:pPr>
        <w:spacing w:after="0" w:line="240" w:lineRule="auto"/>
      </w:pPr>
      <w:r>
        <w:separator/>
      </w:r>
    </w:p>
  </w:endnote>
  <w:endnote w:type="continuationSeparator" w:id="0">
    <w:p w:rsidR="003927FC" w:rsidRDefault="003927FC" w:rsidP="00392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61B1" w:rsidRPr="00624727" w:rsidRDefault="003927FC">
    <w:pPr>
      <w:pStyle w:val="Piedepgina"/>
      <w:rPr>
        <w:lang w:val="es-CL"/>
      </w:rPr>
    </w:pPr>
    <w:r>
      <w:rPr>
        <w:color w:val="646464"/>
        <w:sz w:val="15"/>
        <w:lang w:val="es-CL"/>
      </w:rPr>
      <w:t>Bases</w:t>
    </w:r>
    <w:r w:rsidRPr="00624727">
      <w:rPr>
        <w:color w:val="646464"/>
        <w:sz w:val="15"/>
        <w:lang w:val="es-CL"/>
      </w:rPr>
      <w:t xml:space="preserve"> técnicos - Sistema de bombeo R.C.I. C.D.P. Puerto Aysén</w:t>
    </w:r>
  </w:p>
  <w:p w:rsidR="00EC61B1" w:rsidRDefault="003927FC">
    <w:pPr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27FC" w:rsidRDefault="003927FC" w:rsidP="003927FC">
      <w:pPr>
        <w:spacing w:after="0" w:line="240" w:lineRule="auto"/>
      </w:pPr>
      <w:r>
        <w:separator/>
      </w:r>
    </w:p>
  </w:footnote>
  <w:footnote w:type="continuationSeparator" w:id="0">
    <w:p w:rsidR="003927FC" w:rsidRDefault="003927FC" w:rsidP="003927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43E4785"/>
    <w:multiLevelType w:val="hybridMultilevel"/>
    <w:tmpl w:val="1D604AB2"/>
    <w:lvl w:ilvl="0" w:tplc="EB20D2D2">
      <w:start w:val="1"/>
      <w:numFmt w:val="decimal"/>
      <w:lvlText w:val="%1."/>
      <w:lvlJc w:val="left"/>
      <w:pPr>
        <w:ind w:left="360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4320" w:hanging="360"/>
      </w:pPr>
    </w:lvl>
    <w:lvl w:ilvl="2" w:tplc="340A001B" w:tentative="1">
      <w:start w:val="1"/>
      <w:numFmt w:val="lowerRoman"/>
      <w:lvlText w:val="%3."/>
      <w:lvlJc w:val="right"/>
      <w:pPr>
        <w:ind w:left="5040" w:hanging="180"/>
      </w:pPr>
    </w:lvl>
    <w:lvl w:ilvl="3" w:tplc="340A000F" w:tentative="1">
      <w:start w:val="1"/>
      <w:numFmt w:val="decimal"/>
      <w:lvlText w:val="%4."/>
      <w:lvlJc w:val="left"/>
      <w:pPr>
        <w:ind w:left="5760" w:hanging="360"/>
      </w:pPr>
    </w:lvl>
    <w:lvl w:ilvl="4" w:tplc="340A0019" w:tentative="1">
      <w:start w:val="1"/>
      <w:numFmt w:val="lowerLetter"/>
      <w:lvlText w:val="%5."/>
      <w:lvlJc w:val="left"/>
      <w:pPr>
        <w:ind w:left="6480" w:hanging="360"/>
      </w:pPr>
    </w:lvl>
    <w:lvl w:ilvl="5" w:tplc="340A001B" w:tentative="1">
      <w:start w:val="1"/>
      <w:numFmt w:val="lowerRoman"/>
      <w:lvlText w:val="%6."/>
      <w:lvlJc w:val="right"/>
      <w:pPr>
        <w:ind w:left="7200" w:hanging="180"/>
      </w:pPr>
    </w:lvl>
    <w:lvl w:ilvl="6" w:tplc="340A000F" w:tentative="1">
      <w:start w:val="1"/>
      <w:numFmt w:val="decimal"/>
      <w:lvlText w:val="%7."/>
      <w:lvlJc w:val="left"/>
      <w:pPr>
        <w:ind w:left="7920" w:hanging="360"/>
      </w:pPr>
    </w:lvl>
    <w:lvl w:ilvl="7" w:tplc="340A0019" w:tentative="1">
      <w:start w:val="1"/>
      <w:numFmt w:val="lowerLetter"/>
      <w:lvlText w:val="%8."/>
      <w:lvlJc w:val="left"/>
      <w:pPr>
        <w:ind w:left="8640" w:hanging="360"/>
      </w:pPr>
    </w:lvl>
    <w:lvl w:ilvl="8" w:tplc="340A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7FC"/>
    <w:rsid w:val="003927FC"/>
    <w:rsid w:val="0049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F416EA-0AF5-4D71-8FB2-A9C9BBE46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3927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27FC"/>
  </w:style>
  <w:style w:type="table" w:styleId="Tablaconcuadrcula">
    <w:name w:val="Table Grid"/>
    <w:basedOn w:val="Tablanormal"/>
    <w:uiPriority w:val="59"/>
    <w:rsid w:val="003927FC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927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27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A. Nahuelnir Gonzalez</dc:creator>
  <cp:keywords/>
  <dc:description/>
  <cp:lastModifiedBy>Pedro A. Nahuelnir Gonzalez</cp:lastModifiedBy>
  <cp:revision>1</cp:revision>
  <dcterms:created xsi:type="dcterms:W3CDTF">2026-07-28T19:48:00Z</dcterms:created>
  <dcterms:modified xsi:type="dcterms:W3CDTF">2026-07-28T19:52:00Z</dcterms:modified>
</cp:coreProperties>
</file>