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CF72" w14:textId="06BADB2E" w:rsidR="00AF62E3" w:rsidRPr="008F1141" w:rsidRDefault="008B4B00" w:rsidP="008F1141">
      <w:pPr>
        <w:jc w:val="center"/>
        <w:rPr>
          <w:b/>
          <w:bCs/>
          <w:sz w:val="24"/>
          <w:szCs w:val="24"/>
          <w:lang w:val="es-ES"/>
        </w:rPr>
      </w:pPr>
      <w:r w:rsidRPr="00AC0B0E">
        <w:rPr>
          <w:b/>
          <w:bCs/>
          <w:sz w:val="24"/>
          <w:szCs w:val="24"/>
          <w:u w:val="single"/>
          <w:lang w:val="es-ES"/>
        </w:rPr>
        <w:t>REQUERIMIENTO DE</w:t>
      </w:r>
      <w:r w:rsidR="002F7AF2">
        <w:rPr>
          <w:b/>
          <w:bCs/>
          <w:sz w:val="24"/>
          <w:szCs w:val="24"/>
          <w:u w:val="single"/>
          <w:lang w:val="es-ES"/>
        </w:rPr>
        <w:t>L PRODUCTO</w:t>
      </w:r>
    </w:p>
    <w:tbl>
      <w:tblPr>
        <w:tblStyle w:val="Tablaconcuadrcula"/>
        <w:tblW w:w="9634" w:type="dxa"/>
        <w:tblLook w:val="04A0" w:firstRow="1" w:lastRow="0" w:firstColumn="1" w:lastColumn="0" w:noHBand="0" w:noVBand="1"/>
      </w:tblPr>
      <w:tblGrid>
        <w:gridCol w:w="3539"/>
        <w:gridCol w:w="1134"/>
        <w:gridCol w:w="2126"/>
        <w:gridCol w:w="2835"/>
      </w:tblGrid>
      <w:tr w:rsidR="002F7AF2" w:rsidRPr="00AC0B0E" w14:paraId="4AFCDD6E" w14:textId="213D815E" w:rsidTr="00215A0C">
        <w:tc>
          <w:tcPr>
            <w:tcW w:w="3539" w:type="dxa"/>
            <w:shd w:val="clear" w:color="auto" w:fill="9CC2E5" w:themeFill="accent5" w:themeFillTint="99"/>
          </w:tcPr>
          <w:p w14:paraId="57CB2A1F" w14:textId="77777777" w:rsidR="002F7AF2" w:rsidRPr="00AC0B0E" w:rsidRDefault="002F7AF2" w:rsidP="002F7AF2">
            <w:pPr>
              <w:rPr>
                <w:rFonts w:cstheme="minorHAnsi"/>
                <w:b/>
                <w:bCs/>
                <w:sz w:val="24"/>
                <w:szCs w:val="24"/>
                <w:lang w:val="es-ES"/>
              </w:rPr>
            </w:pPr>
            <w:r w:rsidRPr="00AC0B0E">
              <w:rPr>
                <w:rFonts w:cstheme="minorHAnsi"/>
                <w:b/>
                <w:bCs/>
                <w:sz w:val="24"/>
                <w:szCs w:val="24"/>
                <w:lang w:val="es-ES"/>
              </w:rPr>
              <w:t>Oficina requirente</w:t>
            </w:r>
          </w:p>
        </w:tc>
        <w:tc>
          <w:tcPr>
            <w:tcW w:w="3260" w:type="dxa"/>
            <w:gridSpan w:val="2"/>
            <w:shd w:val="clear" w:color="auto" w:fill="9CC2E5" w:themeFill="accent5" w:themeFillTint="99"/>
          </w:tcPr>
          <w:p w14:paraId="281BBBB5" w14:textId="77777777" w:rsidR="002F7AF2" w:rsidRPr="00AC0B0E" w:rsidRDefault="002F7AF2" w:rsidP="002F7AF2">
            <w:pPr>
              <w:rPr>
                <w:rFonts w:cstheme="minorHAnsi"/>
                <w:b/>
                <w:bCs/>
                <w:sz w:val="24"/>
                <w:szCs w:val="24"/>
                <w:lang w:val="es-ES"/>
              </w:rPr>
            </w:pPr>
            <w:r w:rsidRPr="00AC0B0E">
              <w:rPr>
                <w:rFonts w:cstheme="minorHAnsi"/>
                <w:b/>
                <w:bCs/>
                <w:sz w:val="24"/>
                <w:szCs w:val="24"/>
                <w:lang w:val="es-ES"/>
              </w:rPr>
              <w:t>Ubicación</w:t>
            </w:r>
          </w:p>
        </w:tc>
        <w:tc>
          <w:tcPr>
            <w:tcW w:w="2835" w:type="dxa"/>
            <w:shd w:val="clear" w:color="auto" w:fill="9CC2E5" w:themeFill="accent5" w:themeFillTint="99"/>
          </w:tcPr>
          <w:p w14:paraId="4F98A81F" w14:textId="23C8C923" w:rsidR="002F7AF2" w:rsidRPr="00AC0B0E" w:rsidRDefault="002F7AF2" w:rsidP="002F7AF2">
            <w:pPr>
              <w:rPr>
                <w:rFonts w:cstheme="minorHAnsi"/>
                <w:b/>
                <w:bCs/>
                <w:sz w:val="24"/>
                <w:szCs w:val="24"/>
                <w:lang w:val="es-ES"/>
              </w:rPr>
            </w:pPr>
            <w:r>
              <w:rPr>
                <w:rFonts w:cstheme="minorHAnsi"/>
                <w:b/>
                <w:bCs/>
                <w:sz w:val="24"/>
                <w:szCs w:val="24"/>
                <w:lang w:val="es-ES"/>
              </w:rPr>
              <w:t>SAR</w:t>
            </w:r>
          </w:p>
        </w:tc>
      </w:tr>
      <w:tr w:rsidR="002F7AF2" w:rsidRPr="00AC0B0E" w14:paraId="4CB1D85B" w14:textId="2E769736" w:rsidTr="00262521">
        <w:trPr>
          <w:trHeight w:val="246"/>
        </w:trPr>
        <w:tc>
          <w:tcPr>
            <w:tcW w:w="3539" w:type="dxa"/>
          </w:tcPr>
          <w:p w14:paraId="61C79429" w14:textId="0DB63319" w:rsidR="002F7AF2" w:rsidRPr="0093746B" w:rsidRDefault="00ED7170" w:rsidP="002F7AF2">
            <w:pPr>
              <w:rPr>
                <w:rFonts w:cstheme="minorHAnsi"/>
                <w:sz w:val="24"/>
                <w:szCs w:val="24"/>
              </w:rPr>
            </w:pPr>
            <w:r>
              <w:rPr>
                <w:rFonts w:cstheme="minorHAnsi"/>
                <w:sz w:val="24"/>
                <w:szCs w:val="24"/>
              </w:rPr>
              <w:t>Laboratorio de Salud Pública Ambiental y Laboral</w:t>
            </w:r>
          </w:p>
        </w:tc>
        <w:tc>
          <w:tcPr>
            <w:tcW w:w="3260" w:type="dxa"/>
            <w:gridSpan w:val="2"/>
          </w:tcPr>
          <w:p w14:paraId="408BC282" w14:textId="17E3E974" w:rsidR="002F7AF2" w:rsidRPr="00AC0B0E" w:rsidRDefault="00ED7170" w:rsidP="002F7AF2">
            <w:pPr>
              <w:autoSpaceDE w:val="0"/>
              <w:autoSpaceDN w:val="0"/>
              <w:adjustRightInd w:val="0"/>
              <w:rPr>
                <w:rFonts w:cstheme="minorHAnsi"/>
                <w:sz w:val="24"/>
                <w:szCs w:val="24"/>
              </w:rPr>
            </w:pPr>
            <w:r>
              <w:rPr>
                <w:rFonts w:cstheme="minorHAnsi"/>
                <w:sz w:val="24"/>
                <w:szCs w:val="24"/>
              </w:rPr>
              <w:t>Avenida El Belloto 17, Belloto Norte, Quilpué</w:t>
            </w:r>
            <w:r w:rsidR="00001F47">
              <w:rPr>
                <w:rFonts w:cstheme="minorHAnsi"/>
                <w:sz w:val="24"/>
                <w:szCs w:val="24"/>
              </w:rPr>
              <w:t>.</w:t>
            </w:r>
          </w:p>
        </w:tc>
        <w:tc>
          <w:tcPr>
            <w:tcW w:w="2835" w:type="dxa"/>
            <w:vAlign w:val="center"/>
          </w:tcPr>
          <w:p w14:paraId="1693C651" w14:textId="403D3207" w:rsidR="002F7AF2" w:rsidRPr="00001F47" w:rsidRDefault="00955E6C" w:rsidP="00262521">
            <w:pPr>
              <w:autoSpaceDE w:val="0"/>
              <w:autoSpaceDN w:val="0"/>
              <w:adjustRightInd w:val="0"/>
              <w:jc w:val="center"/>
              <w:rPr>
                <w:rFonts w:cstheme="minorHAnsi"/>
                <w:b/>
                <w:sz w:val="24"/>
                <w:szCs w:val="24"/>
              </w:rPr>
            </w:pPr>
            <w:r>
              <w:rPr>
                <w:rFonts w:cstheme="minorHAnsi"/>
                <w:b/>
                <w:sz w:val="24"/>
                <w:szCs w:val="24"/>
              </w:rPr>
              <w:t>1120</w:t>
            </w:r>
          </w:p>
        </w:tc>
      </w:tr>
      <w:tr w:rsidR="00AC0B0E" w:rsidRPr="00AC0B0E" w14:paraId="00568456" w14:textId="77777777" w:rsidTr="002F7AF2">
        <w:tc>
          <w:tcPr>
            <w:tcW w:w="4673" w:type="dxa"/>
            <w:gridSpan w:val="2"/>
            <w:shd w:val="clear" w:color="auto" w:fill="9CC2E5" w:themeFill="accent5" w:themeFillTint="99"/>
          </w:tcPr>
          <w:p w14:paraId="1019F8AB" w14:textId="531F44D2" w:rsidR="00992597" w:rsidRPr="00AC0B0E" w:rsidRDefault="008F1141" w:rsidP="003D7D77">
            <w:pPr>
              <w:jc w:val="center"/>
              <w:rPr>
                <w:b/>
                <w:bCs/>
                <w:lang w:val="es-ES"/>
              </w:rPr>
            </w:pPr>
            <w:r>
              <w:rPr>
                <w:b/>
                <w:bCs/>
                <w:lang w:val="es-ES"/>
              </w:rPr>
              <w:t>Objetivo</w:t>
            </w:r>
          </w:p>
        </w:tc>
        <w:tc>
          <w:tcPr>
            <w:tcW w:w="4961" w:type="dxa"/>
            <w:gridSpan w:val="2"/>
            <w:shd w:val="clear" w:color="auto" w:fill="9CC2E5" w:themeFill="accent5" w:themeFillTint="99"/>
          </w:tcPr>
          <w:p w14:paraId="4F656813" w14:textId="77777777" w:rsidR="00992597" w:rsidRPr="00AC0B0E" w:rsidRDefault="00992597" w:rsidP="003D7D77">
            <w:pPr>
              <w:jc w:val="center"/>
              <w:rPr>
                <w:b/>
                <w:bCs/>
                <w:lang w:val="es-ES"/>
              </w:rPr>
            </w:pPr>
            <w:r w:rsidRPr="00AC0B0E">
              <w:rPr>
                <w:b/>
                <w:bCs/>
                <w:lang w:val="es-ES"/>
              </w:rPr>
              <w:t>Descripción</w:t>
            </w:r>
          </w:p>
        </w:tc>
      </w:tr>
      <w:tr w:rsidR="00AC0B0E" w:rsidRPr="00AC0B0E" w14:paraId="208439A3" w14:textId="77777777" w:rsidTr="002F7AF2">
        <w:trPr>
          <w:trHeight w:val="605"/>
        </w:trPr>
        <w:tc>
          <w:tcPr>
            <w:tcW w:w="4673" w:type="dxa"/>
            <w:gridSpan w:val="2"/>
          </w:tcPr>
          <w:p w14:paraId="608D0A96" w14:textId="1A972BC7" w:rsidR="00105F8B" w:rsidRPr="00105F8B" w:rsidRDefault="00105F8B" w:rsidP="00105F8B">
            <w:pPr>
              <w:autoSpaceDE w:val="0"/>
              <w:autoSpaceDN w:val="0"/>
              <w:adjustRightInd w:val="0"/>
              <w:jc w:val="both"/>
              <w:rPr>
                <w:rFonts w:ascii="Calibri" w:eastAsia="Times New Roman" w:hAnsi="Calibri" w:cs="Calibri"/>
                <w:bCs/>
                <w:color w:val="000000"/>
                <w:lang w:eastAsia="es-CL"/>
              </w:rPr>
            </w:pPr>
            <w:r w:rsidRPr="00105F8B">
              <w:rPr>
                <w:rFonts w:ascii="Calibri" w:eastAsia="Times New Roman" w:hAnsi="Calibri" w:cs="Calibri"/>
                <w:bCs/>
                <w:color w:val="000000"/>
                <w:lang w:eastAsia="es-CL"/>
              </w:rPr>
              <w:t xml:space="preserve">Se requiere la adquisición de </w:t>
            </w:r>
            <w:r>
              <w:rPr>
                <w:rFonts w:ascii="Calibri" w:eastAsia="Times New Roman" w:hAnsi="Calibri" w:cs="Calibri"/>
                <w:bCs/>
                <w:color w:val="000000"/>
                <w:lang w:eastAsia="es-CL"/>
              </w:rPr>
              <w:t xml:space="preserve">70 </w:t>
            </w:r>
            <w:r w:rsidRPr="00105F8B">
              <w:rPr>
                <w:rFonts w:ascii="Calibri" w:eastAsia="Times New Roman" w:hAnsi="Calibri" w:cs="Calibri"/>
                <w:bCs/>
                <w:color w:val="000000"/>
                <w:lang w:eastAsia="es-CL"/>
              </w:rPr>
              <w:t>bidones destinados al almacenamiento y eliminación segura de residuos líquidos generados en las actividades analíticas del laboratorio. Estos insumos son necesarios para la segregación, recolección y manejo adecuado de residuos químicos, contribuyendo al cumplimiento de las normas de seguridad, prevención de riesgos y gestión ambiental, además de asegurar la continuidad operativa de los procesos analíticos realizados por las distintas áreas del laboratorio.</w:t>
            </w:r>
          </w:p>
          <w:p w14:paraId="121F8C25" w14:textId="1DDBF6C8" w:rsidR="00B351CD" w:rsidRPr="00AC0B0E" w:rsidRDefault="00B351CD" w:rsidP="00B351CD">
            <w:pPr>
              <w:jc w:val="both"/>
              <w:rPr>
                <w:rFonts w:cstheme="minorHAnsi"/>
                <w:sz w:val="24"/>
                <w:szCs w:val="24"/>
                <w:lang w:val="es-ES"/>
              </w:rPr>
            </w:pPr>
          </w:p>
        </w:tc>
        <w:tc>
          <w:tcPr>
            <w:tcW w:w="4961" w:type="dxa"/>
            <w:gridSpan w:val="2"/>
          </w:tcPr>
          <w:p w14:paraId="239BEB1E" w14:textId="77777777" w:rsidR="00105F8B" w:rsidRPr="00105F8B" w:rsidRDefault="00105F8B" w:rsidP="00105F8B">
            <w:pPr>
              <w:autoSpaceDE w:val="0"/>
              <w:autoSpaceDN w:val="0"/>
              <w:adjustRightInd w:val="0"/>
              <w:jc w:val="both"/>
              <w:rPr>
                <w:rFonts w:ascii="Calibri" w:eastAsia="Times New Roman" w:hAnsi="Calibri" w:cs="Calibri"/>
                <w:bCs/>
                <w:color w:val="000000"/>
                <w:lang w:eastAsia="es-CL"/>
              </w:rPr>
            </w:pPr>
            <w:r w:rsidRPr="00105F8B">
              <w:rPr>
                <w:rFonts w:ascii="Calibri" w:eastAsia="Times New Roman" w:hAnsi="Calibri" w:cs="Calibri"/>
                <w:bCs/>
                <w:color w:val="000000"/>
                <w:lang w:eastAsia="es-CL"/>
              </w:rPr>
              <w:t xml:space="preserve">Se requiere la adquisición de </w:t>
            </w:r>
            <w:r w:rsidRPr="00105F8B">
              <w:rPr>
                <w:rFonts w:ascii="Calibri" w:eastAsia="Times New Roman" w:hAnsi="Calibri" w:cs="Calibri"/>
                <w:b/>
                <w:bCs/>
                <w:color w:val="000000"/>
                <w:lang w:eastAsia="es-CL"/>
              </w:rPr>
              <w:t>70 bidones plásticos de alta resistencia, capacidad de 20 litros, con tapa de 5,5 cm de diámetro</w:t>
            </w:r>
            <w:r w:rsidRPr="00105F8B">
              <w:rPr>
                <w:rFonts w:ascii="Calibri" w:eastAsia="Times New Roman" w:hAnsi="Calibri" w:cs="Calibri"/>
                <w:bCs/>
                <w:color w:val="000000"/>
                <w:lang w:eastAsia="es-CL"/>
              </w:rPr>
              <w:t>, destinados al almacenamiento y eliminación de residuos líquidos generados durante las actividades analíticas del laboratorio.</w:t>
            </w:r>
          </w:p>
          <w:p w14:paraId="2E9B8495" w14:textId="6B4E7E5E" w:rsidR="00672473" w:rsidRDefault="00105F8B" w:rsidP="001B371D">
            <w:pPr>
              <w:autoSpaceDE w:val="0"/>
              <w:autoSpaceDN w:val="0"/>
              <w:adjustRightInd w:val="0"/>
              <w:jc w:val="both"/>
              <w:rPr>
                <w:rFonts w:ascii="Calibri" w:eastAsia="Times New Roman" w:hAnsi="Calibri" w:cs="Calibri"/>
                <w:bCs/>
                <w:color w:val="000000"/>
                <w:lang w:eastAsia="es-CL"/>
              </w:rPr>
            </w:pPr>
            <w:r>
              <w:rPr>
                <w:noProof/>
              </w:rPr>
              <w:drawing>
                <wp:anchor distT="0" distB="0" distL="114300" distR="114300" simplePos="0" relativeHeight="251658240" behindDoc="0" locked="0" layoutInCell="1" allowOverlap="1" wp14:anchorId="1A11B49F" wp14:editId="14334E84">
                  <wp:simplePos x="0" y="0"/>
                  <wp:positionH relativeFrom="column">
                    <wp:posOffset>521970</wp:posOffset>
                  </wp:positionH>
                  <wp:positionV relativeFrom="paragraph">
                    <wp:posOffset>107315</wp:posOffset>
                  </wp:positionV>
                  <wp:extent cx="1655070" cy="2174240"/>
                  <wp:effectExtent l="0" t="0" r="2540" b="0"/>
                  <wp:wrapNone/>
                  <wp:docPr id="2" name="Imagen 1" descr="Vea los detalles de la imagen relacionada. Garrafa 20 Litros (1 Pieza) Bidón Porrón Tapa Negra Inv | Mercado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a los detalles de la imagen relacionada. Garrafa 20 Litros (1 Pieza) Bidón Porrón Tapa Negra Inv | MercadoLib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5070" cy="2174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ABE3C9" w14:textId="43CEB04E" w:rsidR="005B58B1" w:rsidRPr="005B58B1" w:rsidRDefault="005B58B1" w:rsidP="001B371D">
            <w:pPr>
              <w:autoSpaceDE w:val="0"/>
              <w:autoSpaceDN w:val="0"/>
              <w:adjustRightInd w:val="0"/>
              <w:jc w:val="both"/>
              <w:rPr>
                <w:rFonts w:ascii="Calibri" w:eastAsia="Times New Roman" w:hAnsi="Calibri" w:cs="Calibri"/>
                <w:bCs/>
                <w:color w:val="000000"/>
                <w:lang w:eastAsia="es-CL"/>
              </w:rPr>
            </w:pPr>
          </w:p>
          <w:p w14:paraId="5A61D99B" w14:textId="08B7C749" w:rsidR="005B58B1" w:rsidRDefault="005B58B1" w:rsidP="001B371D">
            <w:pPr>
              <w:autoSpaceDE w:val="0"/>
              <w:autoSpaceDN w:val="0"/>
              <w:adjustRightInd w:val="0"/>
              <w:jc w:val="both"/>
              <w:rPr>
                <w:rFonts w:ascii="Calibri" w:eastAsia="Times New Roman" w:hAnsi="Calibri" w:cs="Calibri"/>
                <w:bCs/>
                <w:color w:val="000000"/>
                <w:lang w:eastAsia="es-CL"/>
              </w:rPr>
            </w:pPr>
          </w:p>
          <w:p w14:paraId="71F95FBC" w14:textId="69FA9224" w:rsidR="00672473" w:rsidRDefault="00672473" w:rsidP="001B371D">
            <w:pPr>
              <w:autoSpaceDE w:val="0"/>
              <w:autoSpaceDN w:val="0"/>
              <w:adjustRightInd w:val="0"/>
              <w:jc w:val="both"/>
              <w:rPr>
                <w:rFonts w:ascii="Calibri" w:eastAsia="Times New Roman" w:hAnsi="Calibri" w:cs="Calibri"/>
                <w:bCs/>
                <w:color w:val="000000"/>
                <w:lang w:eastAsia="es-CL"/>
              </w:rPr>
            </w:pPr>
          </w:p>
          <w:p w14:paraId="0B107B57" w14:textId="320D3DDE" w:rsidR="00672473" w:rsidRDefault="00672473" w:rsidP="001B371D">
            <w:pPr>
              <w:autoSpaceDE w:val="0"/>
              <w:autoSpaceDN w:val="0"/>
              <w:adjustRightInd w:val="0"/>
              <w:jc w:val="both"/>
              <w:rPr>
                <w:rFonts w:ascii="Calibri" w:eastAsia="Times New Roman" w:hAnsi="Calibri" w:cs="Calibri"/>
                <w:bCs/>
                <w:color w:val="000000"/>
                <w:lang w:eastAsia="es-CL"/>
              </w:rPr>
            </w:pPr>
          </w:p>
          <w:p w14:paraId="09EC33A3" w14:textId="401BB087" w:rsidR="00672473" w:rsidRDefault="00672473" w:rsidP="001B371D">
            <w:pPr>
              <w:autoSpaceDE w:val="0"/>
              <w:autoSpaceDN w:val="0"/>
              <w:adjustRightInd w:val="0"/>
              <w:jc w:val="both"/>
              <w:rPr>
                <w:rFonts w:ascii="Calibri" w:eastAsia="Times New Roman" w:hAnsi="Calibri" w:cs="Calibri"/>
                <w:bCs/>
                <w:color w:val="000000"/>
                <w:lang w:eastAsia="es-CL"/>
              </w:rPr>
            </w:pPr>
          </w:p>
          <w:p w14:paraId="5D10F35B" w14:textId="0B0E8C04" w:rsidR="00672473" w:rsidRDefault="00672473" w:rsidP="001B371D">
            <w:pPr>
              <w:autoSpaceDE w:val="0"/>
              <w:autoSpaceDN w:val="0"/>
              <w:adjustRightInd w:val="0"/>
              <w:jc w:val="both"/>
              <w:rPr>
                <w:rFonts w:ascii="Calibri" w:eastAsia="Times New Roman" w:hAnsi="Calibri" w:cs="Calibri"/>
                <w:bCs/>
                <w:color w:val="000000"/>
                <w:lang w:eastAsia="es-CL"/>
              </w:rPr>
            </w:pPr>
          </w:p>
          <w:p w14:paraId="47BD9FC4" w14:textId="00988817" w:rsidR="00672473" w:rsidRDefault="00672473" w:rsidP="001B371D">
            <w:pPr>
              <w:autoSpaceDE w:val="0"/>
              <w:autoSpaceDN w:val="0"/>
              <w:adjustRightInd w:val="0"/>
              <w:jc w:val="both"/>
              <w:rPr>
                <w:rFonts w:ascii="Calibri" w:eastAsia="Times New Roman" w:hAnsi="Calibri" w:cs="Calibri"/>
                <w:bCs/>
                <w:color w:val="000000"/>
                <w:lang w:eastAsia="es-CL"/>
              </w:rPr>
            </w:pPr>
          </w:p>
          <w:p w14:paraId="314841DC" w14:textId="77777777" w:rsidR="00672473" w:rsidRDefault="00672473" w:rsidP="001B371D">
            <w:pPr>
              <w:autoSpaceDE w:val="0"/>
              <w:autoSpaceDN w:val="0"/>
              <w:adjustRightInd w:val="0"/>
              <w:jc w:val="both"/>
              <w:rPr>
                <w:rFonts w:ascii="Calibri" w:eastAsia="Times New Roman" w:hAnsi="Calibri" w:cs="Calibri"/>
                <w:bCs/>
                <w:color w:val="000000"/>
                <w:lang w:eastAsia="es-CL"/>
              </w:rPr>
            </w:pPr>
          </w:p>
          <w:p w14:paraId="3D21D14D" w14:textId="3C567219" w:rsidR="009771AD" w:rsidRDefault="009771AD" w:rsidP="009771AD">
            <w:pPr>
              <w:spacing w:before="100" w:beforeAutospacing="1" w:after="100" w:afterAutospacing="1"/>
              <w:rPr>
                <w:rFonts w:ascii="Times New Roman" w:eastAsia="Times New Roman" w:hAnsi="Times New Roman" w:cs="Times New Roman"/>
                <w:sz w:val="24"/>
                <w:szCs w:val="24"/>
                <w:lang w:eastAsia="es-CL"/>
              </w:rPr>
            </w:pPr>
          </w:p>
          <w:p w14:paraId="753B4843" w14:textId="2271527F" w:rsidR="009771AD" w:rsidRPr="009771AD" w:rsidRDefault="009771AD" w:rsidP="009771AD">
            <w:pPr>
              <w:spacing w:before="100" w:beforeAutospacing="1" w:after="100" w:afterAutospacing="1"/>
              <w:rPr>
                <w:rFonts w:ascii="Times New Roman" w:eastAsia="Times New Roman" w:hAnsi="Times New Roman" w:cs="Times New Roman"/>
                <w:sz w:val="24"/>
                <w:szCs w:val="24"/>
                <w:lang w:eastAsia="es-CL"/>
              </w:rPr>
            </w:pPr>
          </w:p>
          <w:p w14:paraId="5F50240F" w14:textId="21845D9D" w:rsidR="00ED7170" w:rsidRPr="00ED7170" w:rsidRDefault="00ED7170" w:rsidP="001B371D">
            <w:pPr>
              <w:autoSpaceDE w:val="0"/>
              <w:autoSpaceDN w:val="0"/>
              <w:adjustRightInd w:val="0"/>
              <w:jc w:val="both"/>
              <w:rPr>
                <w:rFonts w:ascii="Calibri" w:eastAsia="Times New Roman" w:hAnsi="Calibri" w:cs="Times New Roman"/>
                <w:b/>
                <w:lang w:eastAsia="es-CL"/>
              </w:rPr>
            </w:pPr>
          </w:p>
        </w:tc>
      </w:tr>
    </w:tbl>
    <w:p w14:paraId="440DFBFF" w14:textId="77777777" w:rsidR="00262521" w:rsidRPr="00A92CF8" w:rsidRDefault="00262521" w:rsidP="00A56CEE">
      <w:pPr>
        <w:rPr>
          <w:b/>
          <w:sz w:val="8"/>
          <w:lang w:val="es-ES"/>
        </w:rPr>
      </w:pPr>
    </w:p>
    <w:tbl>
      <w:tblPr>
        <w:tblStyle w:val="Tablaconcuadrcula"/>
        <w:tblW w:w="9634" w:type="dxa"/>
        <w:tblLayout w:type="fixed"/>
        <w:tblLook w:val="04A0" w:firstRow="1" w:lastRow="0" w:firstColumn="1" w:lastColumn="0" w:noHBand="0" w:noVBand="1"/>
      </w:tblPr>
      <w:tblGrid>
        <w:gridCol w:w="6516"/>
        <w:gridCol w:w="1559"/>
        <w:gridCol w:w="1559"/>
      </w:tblGrid>
      <w:tr w:rsidR="002177FA" w:rsidRPr="00AC0B0E" w14:paraId="3D8BBC35" w14:textId="77777777" w:rsidTr="00105F8B">
        <w:tc>
          <w:tcPr>
            <w:tcW w:w="6516" w:type="dxa"/>
            <w:shd w:val="clear" w:color="auto" w:fill="9CC2E5" w:themeFill="accent5" w:themeFillTint="99"/>
          </w:tcPr>
          <w:p w14:paraId="27131B6F" w14:textId="5B586073" w:rsidR="002177FA" w:rsidRPr="00AC0B0E" w:rsidRDefault="002177FA" w:rsidP="00754172">
            <w:pPr>
              <w:jc w:val="center"/>
              <w:rPr>
                <w:b/>
                <w:bCs/>
                <w:lang w:val="es-ES"/>
              </w:rPr>
            </w:pPr>
            <w:r>
              <w:rPr>
                <w:b/>
                <w:bCs/>
                <w:lang w:val="es-ES"/>
              </w:rPr>
              <w:t>Especificaciones Técnicas de lo solicitado</w:t>
            </w:r>
          </w:p>
        </w:tc>
        <w:tc>
          <w:tcPr>
            <w:tcW w:w="1559" w:type="dxa"/>
            <w:shd w:val="clear" w:color="auto" w:fill="9CC2E5" w:themeFill="accent5" w:themeFillTint="99"/>
          </w:tcPr>
          <w:p w14:paraId="4DBC83CC" w14:textId="657484D3" w:rsidR="002177FA" w:rsidRPr="00AC0B0E" w:rsidRDefault="002177FA" w:rsidP="00D046FC">
            <w:pPr>
              <w:jc w:val="center"/>
              <w:rPr>
                <w:b/>
                <w:lang w:val="es-ES"/>
              </w:rPr>
            </w:pPr>
            <w:r>
              <w:rPr>
                <w:b/>
                <w:lang w:val="es-ES"/>
              </w:rPr>
              <w:t>Valor unitario</w:t>
            </w:r>
          </w:p>
        </w:tc>
        <w:tc>
          <w:tcPr>
            <w:tcW w:w="1559" w:type="dxa"/>
            <w:shd w:val="clear" w:color="auto" w:fill="9CC2E5" w:themeFill="accent5" w:themeFillTint="99"/>
          </w:tcPr>
          <w:p w14:paraId="231025ED" w14:textId="03A4361C" w:rsidR="002177FA" w:rsidRPr="00AC0B0E" w:rsidRDefault="002177FA" w:rsidP="00D046FC">
            <w:pPr>
              <w:jc w:val="center"/>
              <w:rPr>
                <w:b/>
                <w:bCs/>
                <w:lang w:val="es-ES"/>
              </w:rPr>
            </w:pPr>
            <w:r w:rsidRPr="00AC0B0E">
              <w:rPr>
                <w:b/>
                <w:lang w:val="es-ES"/>
              </w:rPr>
              <w:t>Presupuesto:</w:t>
            </w:r>
            <w:r w:rsidRPr="00AC0B0E">
              <w:rPr>
                <w:lang w:val="es-ES"/>
              </w:rPr>
              <w:t xml:space="preserve"> </w:t>
            </w:r>
          </w:p>
        </w:tc>
      </w:tr>
      <w:tr w:rsidR="002177FA" w:rsidRPr="005407C2" w14:paraId="5049FFE7" w14:textId="77777777" w:rsidTr="00105F8B">
        <w:trPr>
          <w:trHeight w:val="357"/>
        </w:trPr>
        <w:tc>
          <w:tcPr>
            <w:tcW w:w="6516" w:type="dxa"/>
          </w:tcPr>
          <w:p w14:paraId="57099711" w14:textId="45F71193" w:rsidR="002177FA" w:rsidRPr="00105F8B" w:rsidRDefault="00105F8B" w:rsidP="00A92CF8">
            <w:pPr>
              <w:autoSpaceDE w:val="0"/>
              <w:autoSpaceDN w:val="0"/>
              <w:adjustRightInd w:val="0"/>
              <w:jc w:val="both"/>
              <w:rPr>
                <w:rFonts w:ascii="Calibri" w:eastAsia="Times New Roman" w:hAnsi="Calibri" w:cs="Calibri"/>
                <w:color w:val="000000"/>
                <w:lang w:eastAsia="es-CL"/>
              </w:rPr>
            </w:pPr>
            <w:r w:rsidRPr="00105F8B">
              <w:rPr>
                <w:rFonts w:ascii="Calibri" w:eastAsia="Times New Roman" w:hAnsi="Calibri" w:cs="Calibri"/>
                <w:color w:val="000000"/>
                <w:lang w:eastAsia="es-CL"/>
              </w:rPr>
              <w:t>70 bidones plásticos de alta resistencia, capacidad de 20 litros, con tapa de 5,5 cm de diámetro</w:t>
            </w:r>
          </w:p>
        </w:tc>
        <w:tc>
          <w:tcPr>
            <w:tcW w:w="1559" w:type="dxa"/>
            <w:vAlign w:val="center"/>
          </w:tcPr>
          <w:p w14:paraId="5F704BFD" w14:textId="10ABAD0A" w:rsidR="002177FA" w:rsidRDefault="002177FA" w:rsidP="00105F8B">
            <w:pPr>
              <w:autoSpaceDE w:val="0"/>
              <w:autoSpaceDN w:val="0"/>
              <w:adjustRightInd w:val="0"/>
              <w:jc w:val="center"/>
              <w:rPr>
                <w:rFonts w:cstheme="minorHAnsi"/>
                <w:sz w:val="24"/>
                <w:szCs w:val="24"/>
              </w:rPr>
            </w:pPr>
            <w:r>
              <w:rPr>
                <w:rFonts w:cstheme="minorHAnsi"/>
                <w:sz w:val="24"/>
                <w:szCs w:val="24"/>
              </w:rPr>
              <w:t>$8.900.-</w:t>
            </w:r>
          </w:p>
        </w:tc>
        <w:tc>
          <w:tcPr>
            <w:tcW w:w="1559" w:type="dxa"/>
            <w:vAlign w:val="center"/>
          </w:tcPr>
          <w:p w14:paraId="25F55852" w14:textId="673EB90D" w:rsidR="002177FA" w:rsidRPr="00ED7170" w:rsidRDefault="002177FA" w:rsidP="00105F8B">
            <w:pPr>
              <w:autoSpaceDE w:val="0"/>
              <w:autoSpaceDN w:val="0"/>
              <w:adjustRightInd w:val="0"/>
              <w:jc w:val="center"/>
              <w:rPr>
                <w:rFonts w:cstheme="minorHAnsi"/>
                <w:sz w:val="24"/>
                <w:szCs w:val="24"/>
              </w:rPr>
            </w:pPr>
            <w:r>
              <w:rPr>
                <w:rFonts w:cstheme="minorHAnsi"/>
                <w:sz w:val="24"/>
                <w:szCs w:val="24"/>
              </w:rPr>
              <w:t>$623.000.-</w:t>
            </w:r>
          </w:p>
        </w:tc>
      </w:tr>
      <w:tr w:rsidR="002177FA" w:rsidRPr="00AC0B0E" w14:paraId="461B5DC3" w14:textId="77777777" w:rsidTr="00105F8B">
        <w:trPr>
          <w:trHeight w:val="435"/>
        </w:trPr>
        <w:tc>
          <w:tcPr>
            <w:tcW w:w="6516" w:type="dxa"/>
            <w:vAlign w:val="center"/>
          </w:tcPr>
          <w:p w14:paraId="41EB3103" w14:textId="7F606348" w:rsidR="002177FA" w:rsidRPr="00AC0B0E" w:rsidRDefault="002177FA" w:rsidP="00A92CF8">
            <w:pPr>
              <w:jc w:val="right"/>
              <w:rPr>
                <w:rFonts w:cstheme="minorHAnsi"/>
                <w:b/>
                <w:sz w:val="24"/>
                <w:szCs w:val="24"/>
                <w:lang w:val="es-ES"/>
              </w:rPr>
            </w:pPr>
            <w:r w:rsidRPr="00AC0B0E">
              <w:rPr>
                <w:b/>
              </w:rPr>
              <w:t>MONTO TOTAL CON IVA</w:t>
            </w:r>
            <w:r>
              <w:rPr>
                <w:b/>
              </w:rPr>
              <w:t xml:space="preserve"> </w:t>
            </w:r>
          </w:p>
        </w:tc>
        <w:tc>
          <w:tcPr>
            <w:tcW w:w="1559" w:type="dxa"/>
          </w:tcPr>
          <w:p w14:paraId="553541F5" w14:textId="77777777" w:rsidR="002177FA" w:rsidRDefault="002177FA" w:rsidP="00A92CF8">
            <w:pPr>
              <w:autoSpaceDE w:val="0"/>
              <w:autoSpaceDN w:val="0"/>
              <w:adjustRightInd w:val="0"/>
              <w:jc w:val="center"/>
              <w:rPr>
                <w:rFonts w:cstheme="minorHAnsi"/>
                <w:b/>
                <w:sz w:val="24"/>
                <w:szCs w:val="24"/>
              </w:rPr>
            </w:pPr>
          </w:p>
        </w:tc>
        <w:tc>
          <w:tcPr>
            <w:tcW w:w="1559" w:type="dxa"/>
            <w:vAlign w:val="center"/>
          </w:tcPr>
          <w:p w14:paraId="5A9CA2B8" w14:textId="446B272E" w:rsidR="002177FA" w:rsidRPr="00AC0B0E" w:rsidRDefault="002177FA" w:rsidP="00A92CF8">
            <w:pPr>
              <w:autoSpaceDE w:val="0"/>
              <w:autoSpaceDN w:val="0"/>
              <w:adjustRightInd w:val="0"/>
              <w:jc w:val="center"/>
              <w:rPr>
                <w:rFonts w:cstheme="minorHAnsi"/>
                <w:b/>
                <w:sz w:val="24"/>
                <w:szCs w:val="24"/>
              </w:rPr>
            </w:pPr>
            <w:r>
              <w:rPr>
                <w:rFonts w:cstheme="minorHAnsi"/>
                <w:b/>
                <w:sz w:val="24"/>
                <w:szCs w:val="24"/>
              </w:rPr>
              <w:t>$741.370.-</w:t>
            </w:r>
          </w:p>
        </w:tc>
      </w:tr>
    </w:tbl>
    <w:p w14:paraId="66F848FF" w14:textId="1A08C3D5" w:rsidR="00ED7170" w:rsidRDefault="00ED7170" w:rsidP="00A92CF8">
      <w:pPr>
        <w:pStyle w:val="Sinespaciado"/>
        <w:jc w:val="right"/>
        <w:rPr>
          <w:b/>
          <w:lang w:val="es-ES"/>
        </w:rPr>
      </w:pPr>
    </w:p>
    <w:p w14:paraId="756B1383" w14:textId="2154C9E5" w:rsidR="00ED7170" w:rsidRPr="00ED7170" w:rsidRDefault="009D19FC" w:rsidP="00ED7170">
      <w:pPr>
        <w:pStyle w:val="Sinespaciado"/>
        <w:jc w:val="both"/>
        <w:rPr>
          <w:b/>
          <w:lang w:val="es-ES"/>
        </w:rPr>
      </w:pPr>
      <w:r w:rsidRPr="00ED7170">
        <w:rPr>
          <w:b/>
          <w:lang w:val="es-ES"/>
        </w:rPr>
        <w:t>Lugar de Entrega</w:t>
      </w:r>
      <w:r w:rsidR="00ED7170" w:rsidRPr="00ED7170">
        <w:rPr>
          <w:lang w:val="es-ES"/>
        </w:rPr>
        <w:t xml:space="preserve">: </w:t>
      </w:r>
      <w:r w:rsidR="00ED7170" w:rsidRPr="00ED7170">
        <w:rPr>
          <w:b/>
        </w:rPr>
        <w:t>Laboratorio</w:t>
      </w:r>
      <w:r w:rsidR="00ED7170" w:rsidRPr="00ED7170">
        <w:rPr>
          <w:b/>
          <w:lang w:val="es-ES"/>
        </w:rPr>
        <w:t xml:space="preserve"> Salud Publica Ambiental y Laboral de la Seremi de Salud, Avenida El Belloto 17, Belloto Norte, Quilpué.</w:t>
      </w:r>
    </w:p>
    <w:p w14:paraId="5521BB27" w14:textId="30A83E56" w:rsidR="002F7AF2" w:rsidRDefault="002F7AF2" w:rsidP="00ED7170">
      <w:pPr>
        <w:pStyle w:val="Sinespaciado"/>
        <w:jc w:val="both"/>
        <w:rPr>
          <w:color w:val="FF0000"/>
          <w:lang w:val="es-ES"/>
        </w:rPr>
      </w:pPr>
      <w:r w:rsidRPr="00057B6C">
        <w:rPr>
          <w:b/>
          <w:lang w:val="es-ES"/>
        </w:rPr>
        <w:t>Fecha Entrega:</w:t>
      </w:r>
      <w:r>
        <w:rPr>
          <w:lang w:val="es-ES"/>
        </w:rPr>
        <w:t xml:space="preserve"> </w:t>
      </w:r>
      <w:r w:rsidRPr="00306AAA">
        <w:rPr>
          <w:lang w:val="es-ES"/>
        </w:rPr>
        <w:t>Entrega 5 días hábiles una vez enviada OC</w:t>
      </w:r>
      <w:r w:rsidRPr="00001F47">
        <w:rPr>
          <w:lang w:val="es-ES"/>
        </w:rPr>
        <w:t>.</w:t>
      </w:r>
    </w:p>
    <w:p w14:paraId="615E6508" w14:textId="7DB3DB62" w:rsidR="007B2B87" w:rsidRDefault="007B2B87" w:rsidP="007B2B87">
      <w:pPr>
        <w:spacing w:after="0" w:line="276" w:lineRule="auto"/>
        <w:rPr>
          <w:b/>
          <w:lang w:val="es-ES"/>
        </w:rPr>
      </w:pPr>
      <w:r w:rsidRPr="008863E3">
        <w:rPr>
          <w:b/>
          <w:lang w:val="es-ES"/>
        </w:rPr>
        <w:t xml:space="preserve">Persona de contacto: </w:t>
      </w:r>
      <w:r w:rsidRPr="008863E3">
        <w:rPr>
          <w:lang w:val="es-ES"/>
        </w:rPr>
        <w:t>Virginia Montenegro Quiroga</w:t>
      </w:r>
    </w:p>
    <w:p w14:paraId="24176EE6" w14:textId="66B1139E" w:rsidR="00B351CD" w:rsidRPr="00B351CD" w:rsidRDefault="007B2B87" w:rsidP="00B351CD">
      <w:pPr>
        <w:spacing w:after="0" w:line="276" w:lineRule="auto"/>
        <w:rPr>
          <w:rFonts w:ascii="Calibri" w:eastAsia="Calibri" w:hAnsi="Calibri" w:cs="Times New Roman"/>
          <w:lang w:val="es-ES"/>
        </w:rPr>
      </w:pPr>
      <w:r>
        <w:rPr>
          <w:b/>
          <w:lang w:val="es-ES"/>
        </w:rPr>
        <w:t xml:space="preserve">Flete: </w:t>
      </w:r>
      <w:r w:rsidR="00B351CD" w:rsidRPr="00B351CD">
        <w:rPr>
          <w:rFonts w:ascii="Calibri" w:eastAsia="Calibri" w:hAnsi="Calibri" w:cs="Times New Roman"/>
          <w:lang w:val="es-ES"/>
        </w:rPr>
        <w:t>incluido en el precio.</w:t>
      </w:r>
    </w:p>
    <w:p w14:paraId="07FE68EB" w14:textId="1DC83149" w:rsidR="007B2B87" w:rsidRDefault="007B2B87" w:rsidP="00B351CD">
      <w:pPr>
        <w:spacing w:after="0" w:line="276" w:lineRule="auto"/>
        <w:rPr>
          <w:noProof/>
          <w:lang w:eastAsia="es-CL"/>
        </w:rPr>
      </w:pPr>
      <w:r>
        <w:rPr>
          <w:b/>
          <w:noProof/>
          <w:lang w:eastAsia="es-CL"/>
        </w:rPr>
        <w:t xml:space="preserve">Incluir Ficha técnica: </w:t>
      </w:r>
      <w:r w:rsidRPr="008863E3">
        <w:rPr>
          <w:noProof/>
          <w:lang w:eastAsia="es-CL"/>
        </w:rPr>
        <w:t>No aplica</w:t>
      </w:r>
    </w:p>
    <w:p w14:paraId="4E2F03B8" w14:textId="77777777" w:rsidR="002177FA" w:rsidRDefault="002177FA" w:rsidP="00B351CD">
      <w:pPr>
        <w:spacing w:after="0" w:line="276" w:lineRule="auto"/>
        <w:rPr>
          <w:noProof/>
          <w:lang w:eastAsia="es-CL"/>
        </w:rPr>
      </w:pPr>
    </w:p>
    <w:p w14:paraId="4F51D2FC" w14:textId="77777777" w:rsidR="002177FA" w:rsidRDefault="002177FA" w:rsidP="00B351CD">
      <w:pPr>
        <w:spacing w:after="0" w:line="276" w:lineRule="auto"/>
        <w:rPr>
          <w:noProof/>
          <w:lang w:eastAsia="es-CL"/>
        </w:rPr>
      </w:pPr>
    </w:p>
    <w:p w14:paraId="5EE07DF1" w14:textId="77777777" w:rsidR="002177FA" w:rsidRDefault="002177FA" w:rsidP="00B351CD">
      <w:pPr>
        <w:spacing w:after="0" w:line="276" w:lineRule="auto"/>
        <w:rPr>
          <w:noProof/>
          <w:lang w:eastAsia="es-CL"/>
        </w:rPr>
      </w:pPr>
    </w:p>
    <w:p w14:paraId="42B538FA" w14:textId="77777777" w:rsidR="002177FA" w:rsidRDefault="002177FA" w:rsidP="00B351CD">
      <w:pPr>
        <w:spacing w:after="0" w:line="276" w:lineRule="auto"/>
        <w:rPr>
          <w:noProof/>
          <w:lang w:eastAsia="es-CL"/>
        </w:rPr>
      </w:pPr>
    </w:p>
    <w:p w14:paraId="669DB0AF" w14:textId="77777777" w:rsidR="002177FA" w:rsidRDefault="002177FA" w:rsidP="00B351CD">
      <w:pPr>
        <w:spacing w:after="0" w:line="276" w:lineRule="auto"/>
        <w:rPr>
          <w:noProof/>
          <w:lang w:eastAsia="es-CL"/>
        </w:rPr>
      </w:pPr>
    </w:p>
    <w:p w14:paraId="1799C93A" w14:textId="77777777" w:rsidR="002177FA" w:rsidRDefault="002177FA" w:rsidP="00B351CD">
      <w:pPr>
        <w:spacing w:after="0" w:line="276" w:lineRule="auto"/>
        <w:rPr>
          <w:noProof/>
          <w:lang w:eastAsia="es-CL"/>
        </w:rPr>
      </w:pPr>
    </w:p>
    <w:p w14:paraId="280DE415" w14:textId="77777777" w:rsidR="002177FA" w:rsidRDefault="002177FA" w:rsidP="00B351CD">
      <w:pPr>
        <w:spacing w:after="0" w:line="276" w:lineRule="auto"/>
        <w:rPr>
          <w:noProof/>
          <w:lang w:eastAsia="es-CL"/>
        </w:rPr>
      </w:pPr>
    </w:p>
    <w:p w14:paraId="1EF6576D" w14:textId="77777777" w:rsidR="002177FA" w:rsidRDefault="002177FA" w:rsidP="00B351CD">
      <w:pPr>
        <w:spacing w:after="0" w:line="276" w:lineRule="auto"/>
        <w:rPr>
          <w:noProof/>
          <w:lang w:eastAsia="es-CL"/>
        </w:rPr>
      </w:pPr>
    </w:p>
    <w:p w14:paraId="42367B0A" w14:textId="77777777" w:rsidR="00B87B07" w:rsidRPr="00602FC1" w:rsidRDefault="00B87B07" w:rsidP="00B87B07">
      <w:pPr>
        <w:jc w:val="both"/>
        <w:rPr>
          <w:b/>
          <w:bCs/>
        </w:rPr>
      </w:pPr>
      <w:r w:rsidRPr="00602FC1">
        <w:rPr>
          <w:rFonts w:ascii="Roboto" w:hAnsi="Roboto"/>
          <w:b/>
          <w:bCs/>
          <w:color w:val="2E384D"/>
          <w:spacing w:val="2"/>
          <w:sz w:val="21"/>
          <w:szCs w:val="21"/>
        </w:rPr>
        <w:lastRenderedPageBreak/>
        <w:t>“Esta compra incorpora el criterio de evaluación sello mujer. Ante ofertas de igual valor, que cumplan con todo lo requerido, se preferirá aquella que cumpla con este criterio, verificable en registro de proveedores de la plataforma Mercado Público”.</w:t>
      </w:r>
    </w:p>
    <w:p w14:paraId="3427BAF4" w14:textId="77777777" w:rsidR="00B87B07" w:rsidRPr="002B6941" w:rsidRDefault="00B87B07" w:rsidP="00B87B07">
      <w:pPr>
        <w:pStyle w:val="NormalWeb"/>
        <w:jc w:val="both"/>
        <w:rPr>
          <w:b/>
          <w:u w:val="single"/>
        </w:rPr>
      </w:pPr>
      <w:r>
        <w:rPr>
          <w:b/>
          <w:noProof/>
        </w:rPr>
        <w:t xml:space="preserve">             </w:t>
      </w:r>
      <w:r w:rsidRPr="002B6941">
        <w:rPr>
          <w:b/>
          <w:u w:val="single"/>
        </w:rPr>
        <w:t>Multas</w:t>
      </w:r>
    </w:p>
    <w:p w14:paraId="733BE027" w14:textId="77777777" w:rsidR="00B87B07" w:rsidRDefault="00B87B07" w:rsidP="00B87B07">
      <w:pPr>
        <w:pStyle w:val="NormalWeb"/>
        <w:jc w:val="both"/>
      </w:pPr>
      <w:r>
        <w:t>Cada vez que el proveedor, luego de aceptar la Orden de Compra, incurra en incumplimientos como, Homologar el producto y/o servicios ofrecidos en la oferta del proveedor (Ficha de producto), no entregar “el o los productos y/o servicios” dentro del plazo estipulado y/o, el o los entregados tuvieren defectos, no cumpla con las especificaciones técnicas contratadas, o no fueren canjeados, devueltos o retirados respectivamente, la SEREMI podrá aplicar administrativamente multas, equivalente al 1% de el o los valores netos de productos no entregados conforme, por cada día corrido de atraso, con un tope de 10 días corridos. Lo que deberá ser informado por el requirente o contraparte técnica.</w:t>
      </w:r>
    </w:p>
    <w:p w14:paraId="5B133D3D" w14:textId="77777777" w:rsidR="00B87B07" w:rsidRDefault="00B87B07" w:rsidP="00B87B07">
      <w:pPr>
        <w:pStyle w:val="NormalWeb"/>
        <w:jc w:val="both"/>
      </w:pPr>
      <w:r>
        <w:t>Si el atraso en la entrega de los productos fuese por caso fortuito o fuerza mayor debidamente justificado por el proveedor de acuerdo con los artículos 45 y 1547 del Código Civil o una causa enteramente ajena a la voluntad de las partes y acreditado con la documentación pertinente, a través de correo electrónico o carta, la SEREMI aplicará las multas correspondientes hasta el día que reciba la justificación por escrito, sin perjuicio de la facultad de adquirirlos en el mercado.</w:t>
      </w:r>
    </w:p>
    <w:p w14:paraId="0C213DC8" w14:textId="77777777" w:rsidR="00B87B07" w:rsidRDefault="00B87B07" w:rsidP="00B87B07">
      <w:pPr>
        <w:pStyle w:val="NormalWeb"/>
        <w:jc w:val="both"/>
      </w:pPr>
      <w:r>
        <w:t xml:space="preserve">Detectada una situación que amerite la aplicación de multas, la Contraparte Técnica, deberá informar al </w:t>
      </w:r>
      <w:proofErr w:type="gramStart"/>
      <w:r>
        <w:t>Jefe</w:t>
      </w:r>
      <w:proofErr w:type="gramEnd"/>
      <w:r>
        <w:t xml:space="preserve"> de la Unidad de Administración Interna y Servicios y/o quien lo subrogue, mediante Memo indicando la infracción cometida y los hechos que la constituyen.</w:t>
      </w:r>
    </w:p>
    <w:p w14:paraId="724BD55B" w14:textId="77777777" w:rsidR="00B87B07" w:rsidRDefault="00B87B07" w:rsidP="00B87B07">
      <w:pPr>
        <w:pStyle w:val="NormalWeb"/>
        <w:jc w:val="both"/>
      </w:pPr>
      <w:r>
        <w:t>El jefe de la Unidad de Administración Interna y Servicios recopilará los antecedentes que dieron origen a la contratación para ser remitidos al Departamento Jurídico, quienes notificaran al proveedor el hecho que constituye la multa, mediante carta certificada al proveedor, los detalles de la falta de cumplimiento y el cálculo del monto asociado a la multa, comunicación que se entenderá notificada al tercer día siguiente de su recepción en la oficina de correos. El proveedor podrá efectuar sus descargos en el plazo de 5 días corridos contados desde la notificación, lo que será resuelto por la SEREMI dentro de los 10 días siguientes a la recepción de dichos descargos.</w:t>
      </w:r>
    </w:p>
    <w:p w14:paraId="6244EAA2" w14:textId="77777777" w:rsidR="00B87B07" w:rsidRDefault="00B87B07" w:rsidP="00B87B07">
      <w:pPr>
        <w:pStyle w:val="NormalWeb"/>
        <w:jc w:val="both"/>
      </w:pPr>
      <w:r>
        <w:t xml:space="preserve">La aplicación definitiva de la multa se hará por resolución fundada de la SEREMI, quien tendrá en cuenta los antecedentes recabados por la Unidad Jurídica y los descargos que pueda presentar el proveedor. En contra de dicha resolución procederán los recursos dispuestos en la Ley </w:t>
      </w:r>
      <w:proofErr w:type="spellStart"/>
      <w:r>
        <w:t>Nº</w:t>
      </w:r>
      <w:proofErr w:type="spellEnd"/>
      <w:r>
        <w:t xml:space="preserve"> 19.880.</w:t>
      </w:r>
    </w:p>
    <w:p w14:paraId="08EA3C52" w14:textId="77777777" w:rsidR="00B87B07" w:rsidRDefault="00B87B07" w:rsidP="00B87B07">
      <w:pPr>
        <w:pStyle w:val="NormalWeb"/>
        <w:jc w:val="both"/>
      </w:pPr>
      <w:r>
        <w:t xml:space="preserve">En el evento que el proveedor no pague la multa dentro del plazo señalado, el monto de </w:t>
      </w:r>
      <w:proofErr w:type="gramStart"/>
      <w:r>
        <w:t>la misma</w:t>
      </w:r>
      <w:proofErr w:type="gramEnd"/>
      <w:r>
        <w:t xml:space="preserve"> podrá ser descontado del pago de la factura que deba realizar la SEREMI.</w:t>
      </w:r>
    </w:p>
    <w:p w14:paraId="1D18C5BF" w14:textId="77777777" w:rsidR="00B87B07" w:rsidRDefault="00B87B07" w:rsidP="00B87B07">
      <w:pPr>
        <w:pStyle w:val="NormalWeb"/>
        <w:jc w:val="both"/>
      </w:pPr>
      <w:r>
        <w:t>Sin perjuicio de lo señalado precedentemente, la SEREMI podrá ejercer las acciones legales que correspondan para el debido resguardo del interés fiscal y asegurar el pago de las multas, por los conceptos indicados.</w:t>
      </w:r>
    </w:p>
    <w:p w14:paraId="5A66ED74" w14:textId="77777777" w:rsidR="00B87B07" w:rsidRPr="002E2E80" w:rsidRDefault="00B87B07" w:rsidP="00B87B07">
      <w:pPr>
        <w:rPr>
          <w:b/>
          <w:lang w:val="es-ES"/>
        </w:rPr>
      </w:pPr>
    </w:p>
    <w:p w14:paraId="679B5488" w14:textId="77777777" w:rsidR="00B87B07" w:rsidRDefault="00B87B07" w:rsidP="00B351CD">
      <w:pPr>
        <w:spacing w:before="100" w:beforeAutospacing="1" w:after="100" w:afterAutospacing="1" w:line="240" w:lineRule="auto"/>
        <w:jc w:val="both"/>
        <w:rPr>
          <w:rFonts w:ascii="Calibri" w:eastAsia="Calibri" w:hAnsi="Calibri" w:cs="Calibri"/>
          <w:b/>
          <w:u w:val="single"/>
          <w:lang w:eastAsia="es-CL"/>
        </w:rPr>
      </w:pPr>
    </w:p>
    <w:p w14:paraId="1B7B50AB" w14:textId="77777777" w:rsidR="00B87B07" w:rsidRDefault="00B87B07" w:rsidP="00B351CD">
      <w:pPr>
        <w:spacing w:before="100" w:beforeAutospacing="1" w:after="100" w:afterAutospacing="1" w:line="240" w:lineRule="auto"/>
        <w:jc w:val="both"/>
        <w:rPr>
          <w:rFonts w:ascii="Calibri" w:eastAsia="Calibri" w:hAnsi="Calibri" w:cs="Calibri"/>
          <w:b/>
          <w:u w:val="single"/>
          <w:lang w:eastAsia="es-CL"/>
        </w:rPr>
      </w:pPr>
    </w:p>
    <w:sectPr w:rsidR="00B87B07" w:rsidSect="00105F8B">
      <w:headerReference w:type="default" r:id="rId9"/>
      <w:pgSz w:w="12240" w:h="15840" w:code="1"/>
      <w:pgMar w:top="1417" w:right="758"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F773" w14:textId="77777777" w:rsidR="00022C63" w:rsidRDefault="00022C63" w:rsidP="003602A5">
      <w:pPr>
        <w:spacing w:after="0" w:line="240" w:lineRule="auto"/>
      </w:pPr>
      <w:r>
        <w:separator/>
      </w:r>
    </w:p>
  </w:endnote>
  <w:endnote w:type="continuationSeparator" w:id="0">
    <w:p w14:paraId="47949E5F" w14:textId="77777777" w:rsidR="00022C63" w:rsidRDefault="00022C63" w:rsidP="0036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1921" w14:textId="77777777" w:rsidR="00022C63" w:rsidRDefault="00022C63" w:rsidP="003602A5">
      <w:pPr>
        <w:spacing w:after="0" w:line="240" w:lineRule="auto"/>
      </w:pPr>
      <w:r>
        <w:separator/>
      </w:r>
    </w:p>
  </w:footnote>
  <w:footnote w:type="continuationSeparator" w:id="0">
    <w:p w14:paraId="6B464CFD" w14:textId="77777777" w:rsidR="00022C63" w:rsidRDefault="00022C63" w:rsidP="0036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5400" w14:textId="77777777" w:rsidR="008F1141" w:rsidRPr="00F37B7D" w:rsidRDefault="008F1141" w:rsidP="008F1141">
    <w:pPr>
      <w:pStyle w:val="Encabezado"/>
      <w:tabs>
        <w:tab w:val="clear" w:pos="4419"/>
        <w:tab w:val="clear" w:pos="8838"/>
        <w:tab w:val="center" w:pos="4962"/>
      </w:tabs>
      <w:ind w:left="142"/>
      <w:rPr>
        <w:b/>
        <w:bCs/>
        <w:noProof/>
        <w:sz w:val="28"/>
        <w:szCs w:val="28"/>
        <w:lang w:eastAsia="es-CL"/>
      </w:rPr>
    </w:pPr>
    <w:r w:rsidRPr="00F37B7D">
      <w:rPr>
        <w:b/>
        <w:bCs/>
        <w:noProof/>
        <w:sz w:val="28"/>
        <w:szCs w:val="28"/>
        <w:lang w:eastAsia="es-CL"/>
      </w:rPr>
      <w:drawing>
        <wp:anchor distT="0" distB="0" distL="114300" distR="114300" simplePos="0" relativeHeight="251659264" behindDoc="0" locked="0" layoutInCell="1" allowOverlap="1" wp14:anchorId="4F7E097F" wp14:editId="37D5FAC3">
          <wp:simplePos x="0" y="0"/>
          <wp:positionH relativeFrom="leftMargin">
            <wp:align>right</wp:align>
          </wp:positionH>
          <wp:positionV relativeFrom="paragraph">
            <wp:posOffset>-125730</wp:posOffset>
          </wp:positionV>
          <wp:extent cx="732419" cy="733425"/>
          <wp:effectExtent l="19050" t="19050" r="10795" b="9525"/>
          <wp:wrapNone/>
          <wp:docPr id="1413477639" name="Imagen 14134776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1040" name="Imagen 1847761040" descr="Diagrama&#10;&#10;Descripción generada automáticamente"/>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685" b="100000" l="0" r="100000">
                                <a14:foregroundMark x1="50000" y1="5479" x2="50000" y2="5479"/>
                                <a14:foregroundMark x1="42466" y1="8219" x2="42466" y2="8219"/>
                                <a14:foregroundMark x1="56164" y1="3425" x2="56164" y2="3425"/>
                                <a14:foregroundMark x1="58904" y1="7534" x2="58904" y2="7534"/>
                                <a14:foregroundMark x1="62329" y1="8219" x2="62329" y2="8219"/>
                                <a14:foregroundMark x1="64384" y1="7534" x2="64384" y2="7534"/>
                                <a14:foregroundMark x1="70548" y1="10959" x2="70548" y2="10959"/>
                                <a14:foregroundMark x1="41096" y1="92466" x2="41096" y2="92466"/>
                                <a14:foregroundMark x1="53425" y1="31507" x2="53425" y2="31507"/>
                                <a14:foregroundMark x1="27397" y1="48630" x2="27397" y2="48630"/>
                                <a14:foregroundMark x1="26712" y1="60959" x2="26712" y2="60959"/>
                                <a14:foregroundMark x1="28767" y1="68493" x2="28767" y2="68493"/>
                                <a14:foregroundMark x1="48630" y1="68493" x2="54110" y2="70548"/>
                                <a14:foregroundMark x1="58904" y1="71233" x2="65068" y2="69863"/>
                                <a14:foregroundMark x1="67123" y1="68493" x2="76712" y2="58219"/>
                                <a14:foregroundMark x1="77397" y1="57534" x2="77397" y2="57534"/>
                                <a14:foregroundMark x1="76712" y1="53425" x2="76027" y2="49315"/>
                                <a14:foregroundMark x1="75342" y1="40411" x2="75342" y2="37671"/>
                                <a14:foregroundMark x1="75342" y1="35616" x2="17808" y2="42466"/>
                                <a14:foregroundMark x1="24658" y1="54795" x2="48630" y2="68493"/>
                                <a14:foregroundMark x1="14384" y1="34932" x2="32192" y2="17123"/>
                                <a14:foregroundMark x1="43836" y1="18493" x2="65068" y2="21918"/>
                                <a14:foregroundMark x1="81507" y1="34932" x2="88356" y2="50000"/>
                                <a14:foregroundMark x1="55479" y1="26027" x2="43836" y2="39041"/>
                                <a14:foregroundMark x1="45205" y1="25342" x2="36301" y2="36986"/>
                                <a14:foregroundMark x1="37671" y1="25342" x2="26027" y2="36301"/>
                                <a14:foregroundMark x1="49315" y1="24658" x2="42466" y2="32877"/>
                                <a14:foregroundMark x1="83562" y1="50685" x2="79452" y2="68493"/>
                                <a14:foregroundMark x1="32877" y1="76712" x2="65068" y2="67808"/>
                                <a14:foregroundMark x1="53425" y1="83562" x2="68493" y2="6506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419" cy="733425"/>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Pr="00F37B7D">
      <w:rPr>
        <w:b/>
        <w:bCs/>
        <w:noProof/>
        <w:sz w:val="28"/>
        <w:szCs w:val="28"/>
        <w:lang w:eastAsia="es-CL"/>
      </w:rPr>
      <w:t>Razón Social</w:t>
    </w:r>
    <w:r w:rsidRPr="00F37B7D">
      <w:rPr>
        <w:b/>
        <w:bCs/>
        <w:noProof/>
        <w:sz w:val="28"/>
        <w:szCs w:val="28"/>
        <w:lang w:eastAsia="es-CL"/>
      </w:rPr>
      <w:tab/>
      <w:t>:</w:t>
    </w:r>
    <w:r>
      <w:rPr>
        <w:b/>
        <w:bCs/>
        <w:noProof/>
        <w:sz w:val="28"/>
        <w:szCs w:val="28"/>
        <w:lang w:eastAsia="es-CL"/>
      </w:rPr>
      <w:t xml:space="preserve"> </w:t>
    </w:r>
    <w:r w:rsidRPr="00F37B7D">
      <w:rPr>
        <w:b/>
        <w:bCs/>
        <w:noProof/>
        <w:sz w:val="28"/>
        <w:szCs w:val="28"/>
        <w:lang w:eastAsia="es-CL"/>
      </w:rPr>
      <w:t xml:space="preserve">Secretaría Regional Ministerial </w:t>
    </w:r>
    <w:r>
      <w:rPr>
        <w:b/>
        <w:bCs/>
        <w:noProof/>
        <w:sz w:val="28"/>
        <w:szCs w:val="28"/>
        <w:lang w:eastAsia="es-CL"/>
      </w:rPr>
      <w:t>d</w:t>
    </w:r>
    <w:r w:rsidRPr="00F37B7D">
      <w:rPr>
        <w:b/>
        <w:bCs/>
        <w:noProof/>
        <w:sz w:val="28"/>
        <w:szCs w:val="28"/>
        <w:lang w:eastAsia="es-CL"/>
      </w:rPr>
      <w:t>e Salud Pública Región Valparaíso.</w:t>
    </w:r>
  </w:p>
  <w:p w14:paraId="7FC06A59" w14:textId="77777777" w:rsidR="008F1141" w:rsidRPr="00F37B7D" w:rsidRDefault="008F1141" w:rsidP="008F1141">
    <w:pPr>
      <w:pStyle w:val="Encabezado"/>
      <w:tabs>
        <w:tab w:val="clear" w:pos="4419"/>
        <w:tab w:val="center" w:pos="4962"/>
      </w:tabs>
      <w:ind w:left="142"/>
      <w:rPr>
        <w:b/>
        <w:bCs/>
        <w:noProof/>
        <w:sz w:val="28"/>
        <w:szCs w:val="28"/>
        <w:lang w:eastAsia="es-CL"/>
      </w:rPr>
    </w:pPr>
    <w:r w:rsidRPr="00F37B7D">
      <w:rPr>
        <w:b/>
        <w:bCs/>
        <w:noProof/>
        <w:sz w:val="28"/>
        <w:szCs w:val="28"/>
        <w:lang w:eastAsia="es-CL"/>
      </w:rPr>
      <w:t>Dirección:</w:t>
    </w:r>
    <w:r>
      <w:rPr>
        <w:b/>
        <w:bCs/>
        <w:noProof/>
        <w:sz w:val="28"/>
        <w:szCs w:val="28"/>
        <w:lang w:eastAsia="es-CL"/>
      </w:rPr>
      <w:t xml:space="preserve"> </w:t>
    </w:r>
    <w:r w:rsidRPr="00F37B7D">
      <w:rPr>
        <w:b/>
        <w:bCs/>
        <w:noProof/>
        <w:sz w:val="28"/>
        <w:szCs w:val="28"/>
        <w:lang w:eastAsia="es-CL"/>
      </w:rPr>
      <w:t xml:space="preserve">Blanco 1514, 3er Piso, Valparaíso. </w:t>
    </w:r>
  </w:p>
  <w:p w14:paraId="13BCDD2F" w14:textId="77777777" w:rsidR="008F1141" w:rsidRPr="00F37B7D" w:rsidRDefault="008F1141" w:rsidP="008F1141">
    <w:pPr>
      <w:pStyle w:val="Encabezado"/>
      <w:tabs>
        <w:tab w:val="clear" w:pos="4419"/>
        <w:tab w:val="clear" w:pos="8838"/>
        <w:tab w:val="center" w:pos="4253"/>
      </w:tabs>
      <w:ind w:left="142"/>
      <w:rPr>
        <w:b/>
        <w:bCs/>
        <w:sz w:val="28"/>
        <w:szCs w:val="28"/>
      </w:rPr>
    </w:pPr>
    <w:r w:rsidRPr="00F37B7D">
      <w:rPr>
        <w:b/>
        <w:bCs/>
        <w:noProof/>
        <w:sz w:val="28"/>
        <w:szCs w:val="28"/>
        <w:lang w:eastAsia="es-CL"/>
      </w:rPr>
      <w:t>Rut Nº:</w:t>
    </w:r>
    <w:r>
      <w:rPr>
        <w:b/>
        <w:bCs/>
        <w:noProof/>
        <w:sz w:val="28"/>
        <w:szCs w:val="28"/>
        <w:lang w:eastAsia="es-CL"/>
      </w:rPr>
      <w:t xml:space="preserve"> </w:t>
    </w:r>
    <w:r w:rsidRPr="00F37B7D">
      <w:rPr>
        <w:b/>
        <w:bCs/>
        <w:noProof/>
        <w:sz w:val="28"/>
        <w:szCs w:val="28"/>
        <w:lang w:eastAsia="es-CL"/>
      </w:rPr>
      <w:t>61.601.000-K</w:t>
    </w:r>
  </w:p>
  <w:p w14:paraId="0E792AC5" w14:textId="416F0FE3" w:rsidR="003602A5" w:rsidRDefault="003602A5" w:rsidP="00134F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4257"/>
    <w:multiLevelType w:val="hybridMultilevel"/>
    <w:tmpl w:val="F38A796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228204E"/>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26B23C3"/>
    <w:multiLevelType w:val="hybridMultilevel"/>
    <w:tmpl w:val="FB9AF4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08C13E3"/>
    <w:multiLevelType w:val="hybridMultilevel"/>
    <w:tmpl w:val="2DEE88D4"/>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7DD5472"/>
    <w:multiLevelType w:val="hybridMultilevel"/>
    <w:tmpl w:val="4432A9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FF56C2D"/>
    <w:multiLevelType w:val="hybridMultilevel"/>
    <w:tmpl w:val="492A4898"/>
    <w:lvl w:ilvl="0" w:tplc="81481066">
      <w:start w:val="1"/>
      <w:numFmt w:val="decimal"/>
      <w:lvlText w:val="%1."/>
      <w:lvlJc w:val="left"/>
      <w:pPr>
        <w:ind w:left="720" w:hanging="360"/>
      </w:pPr>
      <w:rPr>
        <w:rFonts w:cstheme="min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E637143"/>
    <w:multiLevelType w:val="hybridMultilevel"/>
    <w:tmpl w:val="CF322C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12177967">
    <w:abstractNumId w:val="0"/>
  </w:num>
  <w:num w:numId="2" w16cid:durableId="92360240">
    <w:abstractNumId w:val="2"/>
  </w:num>
  <w:num w:numId="3" w16cid:durableId="895582088">
    <w:abstractNumId w:val="4"/>
  </w:num>
  <w:num w:numId="4" w16cid:durableId="1656565754">
    <w:abstractNumId w:val="3"/>
  </w:num>
  <w:num w:numId="5" w16cid:durableId="1754279022">
    <w:abstractNumId w:val="1"/>
  </w:num>
  <w:num w:numId="6" w16cid:durableId="1105466298">
    <w:abstractNumId w:val="5"/>
  </w:num>
  <w:num w:numId="7" w16cid:durableId="2119837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2B7"/>
    <w:rsid w:val="00001F47"/>
    <w:rsid w:val="00003019"/>
    <w:rsid w:val="000119DE"/>
    <w:rsid w:val="00022C63"/>
    <w:rsid w:val="00024C7D"/>
    <w:rsid w:val="00025C00"/>
    <w:rsid w:val="00033E16"/>
    <w:rsid w:val="00042F40"/>
    <w:rsid w:val="00053AFC"/>
    <w:rsid w:val="00057B6C"/>
    <w:rsid w:val="000670BB"/>
    <w:rsid w:val="000765B8"/>
    <w:rsid w:val="0008194E"/>
    <w:rsid w:val="000A0014"/>
    <w:rsid w:val="000C5EAF"/>
    <w:rsid w:val="000D510C"/>
    <w:rsid w:val="000E5690"/>
    <w:rsid w:val="000E5D01"/>
    <w:rsid w:val="00105F8B"/>
    <w:rsid w:val="00122E9A"/>
    <w:rsid w:val="001304F7"/>
    <w:rsid w:val="00134FBF"/>
    <w:rsid w:val="001400E0"/>
    <w:rsid w:val="00157D2D"/>
    <w:rsid w:val="00157FC4"/>
    <w:rsid w:val="00166C89"/>
    <w:rsid w:val="001A6867"/>
    <w:rsid w:val="001B1506"/>
    <w:rsid w:val="001B1DB6"/>
    <w:rsid w:val="001B2830"/>
    <w:rsid w:val="001B371D"/>
    <w:rsid w:val="001C67E2"/>
    <w:rsid w:val="001D702C"/>
    <w:rsid w:val="00215A0C"/>
    <w:rsid w:val="002177FA"/>
    <w:rsid w:val="00222090"/>
    <w:rsid w:val="00262521"/>
    <w:rsid w:val="0027607C"/>
    <w:rsid w:val="00277C4F"/>
    <w:rsid w:val="00291A5E"/>
    <w:rsid w:val="002E2E80"/>
    <w:rsid w:val="002F7AF2"/>
    <w:rsid w:val="00306AAA"/>
    <w:rsid w:val="003074C3"/>
    <w:rsid w:val="003104EF"/>
    <w:rsid w:val="003163BD"/>
    <w:rsid w:val="00330341"/>
    <w:rsid w:val="00331003"/>
    <w:rsid w:val="00354B2E"/>
    <w:rsid w:val="003602A5"/>
    <w:rsid w:val="00361728"/>
    <w:rsid w:val="003816F3"/>
    <w:rsid w:val="003A48D6"/>
    <w:rsid w:val="003A4C56"/>
    <w:rsid w:val="003E4235"/>
    <w:rsid w:val="003F2049"/>
    <w:rsid w:val="00427175"/>
    <w:rsid w:val="00442C66"/>
    <w:rsid w:val="00481F4F"/>
    <w:rsid w:val="004A4178"/>
    <w:rsid w:val="004B3EFF"/>
    <w:rsid w:val="004E380F"/>
    <w:rsid w:val="005103CA"/>
    <w:rsid w:val="00517B99"/>
    <w:rsid w:val="00520904"/>
    <w:rsid w:val="00527460"/>
    <w:rsid w:val="00536369"/>
    <w:rsid w:val="005407C2"/>
    <w:rsid w:val="00574DD8"/>
    <w:rsid w:val="005800E9"/>
    <w:rsid w:val="005B58B1"/>
    <w:rsid w:val="005B659A"/>
    <w:rsid w:val="005D12B5"/>
    <w:rsid w:val="005D2BC9"/>
    <w:rsid w:val="005D7BC5"/>
    <w:rsid w:val="005E2BD5"/>
    <w:rsid w:val="005E32B7"/>
    <w:rsid w:val="005E4244"/>
    <w:rsid w:val="00612B8B"/>
    <w:rsid w:val="00615802"/>
    <w:rsid w:val="00621D41"/>
    <w:rsid w:val="006269A4"/>
    <w:rsid w:val="00652485"/>
    <w:rsid w:val="00672473"/>
    <w:rsid w:val="00686C04"/>
    <w:rsid w:val="006C6605"/>
    <w:rsid w:val="006F08FA"/>
    <w:rsid w:val="006F2AEB"/>
    <w:rsid w:val="00717F54"/>
    <w:rsid w:val="00720FCC"/>
    <w:rsid w:val="0075616B"/>
    <w:rsid w:val="0076342D"/>
    <w:rsid w:val="0077098C"/>
    <w:rsid w:val="00774FE4"/>
    <w:rsid w:val="00784E15"/>
    <w:rsid w:val="00785FFA"/>
    <w:rsid w:val="007B2B87"/>
    <w:rsid w:val="007B36F1"/>
    <w:rsid w:val="007D28B9"/>
    <w:rsid w:val="007E4B07"/>
    <w:rsid w:val="00824DC9"/>
    <w:rsid w:val="00830319"/>
    <w:rsid w:val="008407AF"/>
    <w:rsid w:val="0085240A"/>
    <w:rsid w:val="00852F95"/>
    <w:rsid w:val="00881E6D"/>
    <w:rsid w:val="00883F8D"/>
    <w:rsid w:val="00893702"/>
    <w:rsid w:val="008B4B00"/>
    <w:rsid w:val="008C76DC"/>
    <w:rsid w:val="008D5A80"/>
    <w:rsid w:val="008E3F57"/>
    <w:rsid w:val="008E6A59"/>
    <w:rsid w:val="008F1141"/>
    <w:rsid w:val="009341DA"/>
    <w:rsid w:val="0093746B"/>
    <w:rsid w:val="00955A51"/>
    <w:rsid w:val="00955E6C"/>
    <w:rsid w:val="009771AD"/>
    <w:rsid w:val="00983129"/>
    <w:rsid w:val="00992597"/>
    <w:rsid w:val="009D19FC"/>
    <w:rsid w:val="009D3200"/>
    <w:rsid w:val="009D469C"/>
    <w:rsid w:val="009F146A"/>
    <w:rsid w:val="00A24E80"/>
    <w:rsid w:val="00A54286"/>
    <w:rsid w:val="00A56CEE"/>
    <w:rsid w:val="00A92CF8"/>
    <w:rsid w:val="00A97D03"/>
    <w:rsid w:val="00AA3656"/>
    <w:rsid w:val="00AA4124"/>
    <w:rsid w:val="00AB5AC2"/>
    <w:rsid w:val="00AC0B0E"/>
    <w:rsid w:val="00AE5DAF"/>
    <w:rsid w:val="00AE6DCA"/>
    <w:rsid w:val="00AF62E3"/>
    <w:rsid w:val="00B022FC"/>
    <w:rsid w:val="00B10CDC"/>
    <w:rsid w:val="00B1468F"/>
    <w:rsid w:val="00B351CD"/>
    <w:rsid w:val="00B71D0B"/>
    <w:rsid w:val="00B873A9"/>
    <w:rsid w:val="00B87B07"/>
    <w:rsid w:val="00BB0491"/>
    <w:rsid w:val="00BB7E53"/>
    <w:rsid w:val="00BE6E8B"/>
    <w:rsid w:val="00BF3F49"/>
    <w:rsid w:val="00C03C7B"/>
    <w:rsid w:val="00C102F4"/>
    <w:rsid w:val="00C76113"/>
    <w:rsid w:val="00C90239"/>
    <w:rsid w:val="00C91509"/>
    <w:rsid w:val="00C9279B"/>
    <w:rsid w:val="00C977CC"/>
    <w:rsid w:val="00CA7D2F"/>
    <w:rsid w:val="00CB40CA"/>
    <w:rsid w:val="00CC6995"/>
    <w:rsid w:val="00CE5EDF"/>
    <w:rsid w:val="00D046FC"/>
    <w:rsid w:val="00D23F5F"/>
    <w:rsid w:val="00D24E93"/>
    <w:rsid w:val="00D376CD"/>
    <w:rsid w:val="00D45587"/>
    <w:rsid w:val="00D638CF"/>
    <w:rsid w:val="00D65DA4"/>
    <w:rsid w:val="00D76971"/>
    <w:rsid w:val="00D82C2F"/>
    <w:rsid w:val="00D927F2"/>
    <w:rsid w:val="00DB3AFE"/>
    <w:rsid w:val="00DB56A8"/>
    <w:rsid w:val="00DC444C"/>
    <w:rsid w:val="00DC556B"/>
    <w:rsid w:val="00DE155C"/>
    <w:rsid w:val="00DF2BD8"/>
    <w:rsid w:val="00DF64FA"/>
    <w:rsid w:val="00E02EF9"/>
    <w:rsid w:val="00E03A39"/>
    <w:rsid w:val="00E054D4"/>
    <w:rsid w:val="00E10192"/>
    <w:rsid w:val="00E144A9"/>
    <w:rsid w:val="00E16056"/>
    <w:rsid w:val="00E27310"/>
    <w:rsid w:val="00E41E15"/>
    <w:rsid w:val="00E65D24"/>
    <w:rsid w:val="00E75B5C"/>
    <w:rsid w:val="00E82E29"/>
    <w:rsid w:val="00E85C87"/>
    <w:rsid w:val="00EB154A"/>
    <w:rsid w:val="00EB7A58"/>
    <w:rsid w:val="00ED7170"/>
    <w:rsid w:val="00F11613"/>
    <w:rsid w:val="00F2323C"/>
    <w:rsid w:val="00F3048C"/>
    <w:rsid w:val="00F60505"/>
    <w:rsid w:val="00F614FB"/>
    <w:rsid w:val="00F90331"/>
    <w:rsid w:val="00FA2BB8"/>
    <w:rsid w:val="00FB301E"/>
    <w:rsid w:val="00FC58EA"/>
    <w:rsid w:val="00FE049A"/>
    <w:rsid w:val="00FF08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FB4FA"/>
  <w15:docId w15:val="{50F0FAA0-BBB8-4789-9E3D-4AF4A0D1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0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02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02A5"/>
  </w:style>
  <w:style w:type="paragraph" w:styleId="Piedepgina">
    <w:name w:val="footer"/>
    <w:basedOn w:val="Normal"/>
    <w:link w:val="PiedepginaCar"/>
    <w:uiPriority w:val="99"/>
    <w:unhideWhenUsed/>
    <w:rsid w:val="003602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02A5"/>
  </w:style>
  <w:style w:type="table" w:styleId="Tablaconcuadrcula">
    <w:name w:val="Table Grid"/>
    <w:basedOn w:val="Tablanormal"/>
    <w:uiPriority w:val="39"/>
    <w:rsid w:val="0036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B40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0CA"/>
    <w:rPr>
      <w:rFonts w:ascii="Segoe UI" w:hAnsi="Segoe UI" w:cs="Segoe UI"/>
      <w:sz w:val="18"/>
      <w:szCs w:val="18"/>
    </w:rPr>
  </w:style>
  <w:style w:type="paragraph" w:styleId="Prrafodelista">
    <w:name w:val="List Paragraph"/>
    <w:basedOn w:val="Normal"/>
    <w:uiPriority w:val="34"/>
    <w:qFormat/>
    <w:rsid w:val="00354B2E"/>
    <w:pPr>
      <w:ind w:left="720"/>
      <w:contextualSpacing/>
    </w:pPr>
  </w:style>
  <w:style w:type="paragraph" w:styleId="Sinespaciado">
    <w:name w:val="No Spacing"/>
    <w:uiPriority w:val="1"/>
    <w:qFormat/>
    <w:rsid w:val="002E2E80"/>
    <w:pPr>
      <w:spacing w:after="0" w:line="240" w:lineRule="auto"/>
    </w:pPr>
  </w:style>
  <w:style w:type="paragraph" w:styleId="NormalWeb">
    <w:name w:val="Normal (Web)"/>
    <w:basedOn w:val="Normal"/>
    <w:uiPriority w:val="99"/>
    <w:unhideWhenUsed/>
    <w:rsid w:val="008F1141"/>
    <w:pPr>
      <w:spacing w:before="100" w:beforeAutospacing="1" w:after="100" w:afterAutospacing="1" w:line="240" w:lineRule="auto"/>
    </w:pPr>
    <w:rPr>
      <w:rFonts w:ascii="Calibri" w:hAnsi="Calibri" w:cs="Calibri"/>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0723">
      <w:bodyDiv w:val="1"/>
      <w:marLeft w:val="0"/>
      <w:marRight w:val="0"/>
      <w:marTop w:val="0"/>
      <w:marBottom w:val="0"/>
      <w:divBdr>
        <w:top w:val="none" w:sz="0" w:space="0" w:color="auto"/>
        <w:left w:val="none" w:sz="0" w:space="0" w:color="auto"/>
        <w:bottom w:val="none" w:sz="0" w:space="0" w:color="auto"/>
        <w:right w:val="none" w:sz="0" w:space="0" w:color="auto"/>
      </w:divBdr>
    </w:div>
    <w:div w:id="227692950">
      <w:bodyDiv w:val="1"/>
      <w:marLeft w:val="0"/>
      <w:marRight w:val="0"/>
      <w:marTop w:val="0"/>
      <w:marBottom w:val="0"/>
      <w:divBdr>
        <w:top w:val="none" w:sz="0" w:space="0" w:color="auto"/>
        <w:left w:val="none" w:sz="0" w:space="0" w:color="auto"/>
        <w:bottom w:val="none" w:sz="0" w:space="0" w:color="auto"/>
        <w:right w:val="none" w:sz="0" w:space="0" w:color="auto"/>
      </w:divBdr>
    </w:div>
    <w:div w:id="589200638">
      <w:bodyDiv w:val="1"/>
      <w:marLeft w:val="0"/>
      <w:marRight w:val="0"/>
      <w:marTop w:val="0"/>
      <w:marBottom w:val="0"/>
      <w:divBdr>
        <w:top w:val="none" w:sz="0" w:space="0" w:color="auto"/>
        <w:left w:val="none" w:sz="0" w:space="0" w:color="auto"/>
        <w:bottom w:val="none" w:sz="0" w:space="0" w:color="auto"/>
        <w:right w:val="none" w:sz="0" w:space="0" w:color="auto"/>
      </w:divBdr>
    </w:div>
    <w:div w:id="731923935">
      <w:bodyDiv w:val="1"/>
      <w:marLeft w:val="0"/>
      <w:marRight w:val="0"/>
      <w:marTop w:val="0"/>
      <w:marBottom w:val="0"/>
      <w:divBdr>
        <w:top w:val="none" w:sz="0" w:space="0" w:color="auto"/>
        <w:left w:val="none" w:sz="0" w:space="0" w:color="auto"/>
        <w:bottom w:val="none" w:sz="0" w:space="0" w:color="auto"/>
        <w:right w:val="none" w:sz="0" w:space="0" w:color="auto"/>
      </w:divBdr>
    </w:div>
    <w:div w:id="786435508">
      <w:bodyDiv w:val="1"/>
      <w:marLeft w:val="0"/>
      <w:marRight w:val="0"/>
      <w:marTop w:val="0"/>
      <w:marBottom w:val="0"/>
      <w:divBdr>
        <w:top w:val="none" w:sz="0" w:space="0" w:color="auto"/>
        <w:left w:val="none" w:sz="0" w:space="0" w:color="auto"/>
        <w:bottom w:val="none" w:sz="0" w:space="0" w:color="auto"/>
        <w:right w:val="none" w:sz="0" w:space="0" w:color="auto"/>
      </w:divBdr>
    </w:div>
    <w:div w:id="1403139078">
      <w:bodyDiv w:val="1"/>
      <w:marLeft w:val="0"/>
      <w:marRight w:val="0"/>
      <w:marTop w:val="0"/>
      <w:marBottom w:val="0"/>
      <w:divBdr>
        <w:top w:val="none" w:sz="0" w:space="0" w:color="auto"/>
        <w:left w:val="none" w:sz="0" w:space="0" w:color="auto"/>
        <w:bottom w:val="none" w:sz="0" w:space="0" w:color="auto"/>
        <w:right w:val="none" w:sz="0" w:space="0" w:color="auto"/>
      </w:divBdr>
    </w:div>
    <w:div w:id="1669795633">
      <w:bodyDiv w:val="1"/>
      <w:marLeft w:val="0"/>
      <w:marRight w:val="0"/>
      <w:marTop w:val="0"/>
      <w:marBottom w:val="0"/>
      <w:divBdr>
        <w:top w:val="none" w:sz="0" w:space="0" w:color="auto"/>
        <w:left w:val="none" w:sz="0" w:space="0" w:color="auto"/>
        <w:bottom w:val="none" w:sz="0" w:space="0" w:color="auto"/>
        <w:right w:val="none" w:sz="0" w:space="0" w:color="auto"/>
      </w:divBdr>
    </w:div>
    <w:div w:id="1693460963">
      <w:bodyDiv w:val="1"/>
      <w:marLeft w:val="0"/>
      <w:marRight w:val="0"/>
      <w:marTop w:val="0"/>
      <w:marBottom w:val="0"/>
      <w:divBdr>
        <w:top w:val="none" w:sz="0" w:space="0" w:color="auto"/>
        <w:left w:val="none" w:sz="0" w:space="0" w:color="auto"/>
        <w:bottom w:val="none" w:sz="0" w:space="0" w:color="auto"/>
        <w:right w:val="none" w:sz="0" w:space="0" w:color="auto"/>
      </w:divBdr>
    </w:div>
    <w:div w:id="1760717087">
      <w:bodyDiv w:val="1"/>
      <w:marLeft w:val="0"/>
      <w:marRight w:val="0"/>
      <w:marTop w:val="0"/>
      <w:marBottom w:val="0"/>
      <w:divBdr>
        <w:top w:val="none" w:sz="0" w:space="0" w:color="auto"/>
        <w:left w:val="none" w:sz="0" w:space="0" w:color="auto"/>
        <w:bottom w:val="none" w:sz="0" w:space="0" w:color="auto"/>
        <w:right w:val="none" w:sz="0" w:space="0" w:color="auto"/>
      </w:divBdr>
    </w:div>
    <w:div w:id="190718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006F21-5CAA-46DB-9828-91ED03176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701</Words>
  <Characters>3856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funcionario res</dc:creator>
  <cp:lastModifiedBy>Jacqueline Diaz</cp:lastModifiedBy>
  <cp:revision>2</cp:revision>
  <cp:lastPrinted>2026-08-10T16:15:00Z</cp:lastPrinted>
  <dcterms:created xsi:type="dcterms:W3CDTF">2026-08-14T13:40:00Z</dcterms:created>
  <dcterms:modified xsi:type="dcterms:W3CDTF">2026-08-14T13:40:00Z</dcterms:modified>
</cp:coreProperties>
</file>