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Ttulo1"/>
      </w:pPr>
      <w:bookmarkStart w:id="0" w:name="Xa76eb8a6a17638059c88fa50b85655c9e4f543e"/>
      <w:r>
        <w:t xml:space="preserve">REQUERIMIENTOS TÉCNICOS Y DOCUMENTALES PARA LA CONTRATACIÓN DEL ESTUDIO DE CARACTERIZACIÓN Y DETERMINACIÓN DE FRIABILIDAD DE MATERIALES CON CONTENIDO DE ASBESTO (MCA)</w:t>
      </w:r>
    </w:p>
    <w:p>
      <w:pPr>
        <w:pStyle w:val="Ttulo2"/>
      </w:pPr>
      <w:bookmarkStart w:id="1" w:name="objetivo"/>
      <w:r>
        <w:t xml:space="preserve">1. OBJETIVO</w:t>
      </w:r>
    </w:p>
    <w:p>
      <w:pPr>
        <w:pStyle w:val="FirstParagraph"/>
      </w:pPr>
      <w:r>
        <w:t xml:space="preserve">El presente documento tiene por finalidad establecer los requisitos técnicos, legales y documentales que deberá cumplir la empresa contratista encargada de realizar la caracterización de materiales con contenido de asbesto (MCA), incluyendo la toma de muestras, análisis de laboratorio y determinación de la condición de friabilidad del material.</w:t>
      </w:r>
    </w:p>
    <w:p>
      <w:pPr>
        <w:pStyle w:val="Textoindependiente"/>
      </w:pPr>
      <w:r>
        <w:t xml:space="preserve">El estudio deberá permitir establecer, con respaldo técnico y documental, si el material corresponde a asbesto friable o no friable, información indispensable para definir el procedimiento de retiro, las medidas de seguridad, el cumplimiento normativo y la correcta elaboración de las bases técnicas para una futura contratación de las obras de retiro.</w:t>
      </w:r>
    </w:p>
    <w:p/>
    <w:p>
      <w:pPr>
        <w:pStyle w:val="Ttulo1"/>
      </w:pPr>
      <w:bookmarkStart w:id="2" w:name="alcance-del-servicio"/>
      <w:bookmarkEnd w:id="0"/>
      <w:bookmarkEnd w:id="1"/>
      <w:r>
        <w:t xml:space="preserve">2. ALCANCE DEL SERVICIO</w:t>
      </w:r>
    </w:p>
    <w:p>
      <w:pPr>
        <w:pStyle w:val="FirstParagraph"/>
      </w:pPr>
      <w:r>
        <w:t xml:space="preserve">La empresa deberá considerar, como mínimo, las siguientes actividades:</w:t>
      </w:r>
    </w:p>
    <w:p>
      <w:pPr>
        <w:pStyle w:val="Compact"/>
        <w:numPr>
          <w:ilvl w:val="0"/>
          <w:numId w:val="2"/>
        </w:numPr>
      </w:pPr>
      <w:r>
        <w:t xml:space="preserve">Inspección</w:t>
      </w:r>
      <w:r>
        <w:t xml:space="preserve"> </w:t>
      </w:r>
      <w:r>
        <w:t xml:space="preserve">técnica</w:t>
      </w:r>
      <w:r>
        <w:t xml:space="preserve"> de</w:t>
      </w:r>
      <w:r>
        <w:t xml:space="preserve"> </w:t>
      </w:r>
      <w:r>
        <w:t xml:space="preserve">techumbre</w:t>
      </w:r>
      <w:r>
        <w:t xml:space="preserve"> del</w:t>
      </w:r>
      <w:r>
        <w:t xml:space="preserve"> </w:t>
      </w:r>
      <w:r>
        <w:t xml:space="preserve">inmueble</w:t>
      </w:r>
      <w:r>
        <w:t xml:space="preserve">.</w:t>
      </w:r>
    </w:p>
    <w:p>
      <w:pPr>
        <w:pStyle w:val="Compact"/>
        <w:numPr>
          <w:ilvl w:val="0"/>
          <w:numId w:val="2"/>
        </w:numPr>
      </w:pPr>
      <w:r>
        <w:t xml:space="preserve">Levantamiento</w:t>
      </w:r>
      <w:r>
        <w:t xml:space="preserve"> de </w:t>
      </w:r>
      <w:r>
        <w:t xml:space="preserve">información</w:t>
      </w:r>
      <w:r>
        <w:t xml:space="preserve"> </w:t>
      </w:r>
      <w:r>
        <w:t xml:space="preserve">en</w:t>
      </w:r>
      <w:r>
        <w:t xml:space="preserve"> terreno.</w:t>
      </w:r>
    </w:p>
    <w:p>
      <w:pPr>
        <w:pStyle w:val="Compact"/>
        <w:numPr>
          <w:ilvl w:val="0"/>
          <w:numId w:val="2"/>
        </w:numPr>
      </w:pPr>
      <w:r>
        <w:t xml:space="preserve">Registro fotográfico.</w:t>
      </w:r>
    </w:p>
    <w:p>
      <w:pPr>
        <w:pStyle w:val="Compact"/>
        <w:numPr>
          <w:ilvl w:val="0"/>
          <w:numId w:val="2"/>
        </w:numPr>
      </w:pPr>
      <w:r>
        <w:t xml:space="preserve">Toma de </w:t>
      </w:r>
      <w:r>
        <w:t xml:space="preserve">muestras</w:t>
      </w:r>
      <w:r>
        <w:t xml:space="preserve"> </w:t>
      </w:r>
      <w:r>
        <w:t xml:space="preserve">representativas</w:t>
      </w:r>
      <w:r>
        <w:t xml:space="preserve">.</w:t>
      </w:r>
    </w:p>
    <w:p>
      <w:pPr>
        <w:pStyle w:val="Compact"/>
        <w:numPr>
          <w:ilvl w:val="0"/>
          <w:numId w:val="2"/>
        </w:numPr>
      </w:pPr>
      <w:r>
        <w:t xml:space="preserve">Rotulación e identificación individual de cada muestra.</w:t>
      </w:r>
    </w:p>
    <w:p>
      <w:pPr>
        <w:pStyle w:val="Compact"/>
        <w:numPr>
          <w:ilvl w:val="0"/>
          <w:numId w:val="2"/>
        </w:numPr>
      </w:pPr>
      <w:r>
        <w:t xml:space="preserve">Transporte de </w:t>
      </w:r>
      <w:r>
        <w:t xml:space="preserve">muestras</w:t>
      </w:r>
      <w:r>
        <w:t xml:space="preserve"> al </w:t>
      </w:r>
      <w:r>
        <w:t xml:space="preserve">laboratorio</w:t>
      </w:r>
      <w:r>
        <w:t xml:space="preserve">.</w:t>
      </w:r>
    </w:p>
    <w:p>
      <w:pPr>
        <w:pStyle w:val="Compact"/>
        <w:numPr>
          <w:ilvl w:val="0"/>
          <w:numId w:val="2"/>
        </w:numPr>
      </w:pPr>
      <w:r>
        <w:t xml:space="preserve">Análisis de laboratorio.</w:t>
      </w:r>
    </w:p>
    <w:p>
      <w:pPr>
        <w:pStyle w:val="Compact"/>
        <w:numPr>
          <w:ilvl w:val="0"/>
          <w:numId w:val="2"/>
        </w:numPr>
      </w:pPr>
      <w:r>
        <w:t xml:space="preserve">Determinación del tipo de fibra presente.</w:t>
      </w:r>
    </w:p>
    <w:p>
      <w:pPr>
        <w:pStyle w:val="Compact"/>
        <w:numPr>
          <w:ilvl w:val="0"/>
          <w:numId w:val="2"/>
        </w:numPr>
      </w:pPr>
      <w:r>
        <w:t xml:space="preserve">Determinación de la condición de friabilidad.</w:t>
      </w:r>
    </w:p>
    <w:p>
      <w:pPr>
        <w:pStyle w:val="Compact"/>
        <w:numPr>
          <w:ilvl w:val="0"/>
          <w:numId w:val="2"/>
        </w:numPr>
      </w:pPr>
      <w:r>
        <w:t xml:space="preserve">Elaboración del informe técnico final.</w:t>
      </w:r>
    </w:p>
    <w:p/>
    <w:p>
      <w:bookmarkStart w:id="3" w:name="toma-de-muestras"/>
      <w:bookmarkEnd w:id="2"/>
    </w:p>
    <w:p>
      <w:pPr>
        <w:pStyle w:val="Ttulo1"/>
      </w:pPr>
      <w:bookmarkStart w:id="4" w:name="análisis-de-laboratorio"/>
      <w:bookmarkEnd w:id="3"/>
      <w:r>
        <w:t xml:space="preserve">3. ANÁLISIS DE LABORATORIO</w:t>
      </w:r>
    </w:p>
    <w:p>
      <w:pPr>
        <w:pStyle w:val="FirstParagraph"/>
      </w:pPr>
      <w:r>
        <w:t xml:space="preserve">El análisis deberá ser realizado por un laboratorio competente y deberá indicar, como mínimo:</w:t>
      </w:r>
    </w:p>
    <w:p>
      <w:pPr>
        <w:pStyle w:val="Compact"/>
        <w:numPr>
          <w:ilvl w:val="0"/>
          <w:numId w:val="5"/>
        </w:numPr>
      </w:pPr>
      <w:r>
        <w:t xml:space="preserve">Método analítico utilizado.</w:t>
      </w:r>
    </w:p>
    <w:p>
      <w:pPr>
        <w:pStyle w:val="Compact"/>
        <w:numPr>
          <w:ilvl w:val="0"/>
          <w:numId w:val="5"/>
        </w:numPr>
      </w:pPr>
      <w:r>
        <w:t xml:space="preserve">Tipo de análisis efectuado.</w:t>
      </w:r>
    </w:p>
    <w:p>
      <w:pPr>
        <w:pStyle w:val="Compact"/>
        <w:numPr>
          <w:ilvl w:val="0"/>
          <w:numId w:val="5"/>
        </w:numPr>
      </w:pPr>
      <w:r>
        <w:t xml:space="preserve">Tipo de fibra encontrada (si corresponde).</w:t>
      </w:r>
    </w:p>
    <w:p>
      <w:pPr>
        <w:pStyle w:val="Compact"/>
        <w:numPr>
          <w:ilvl w:val="0"/>
          <w:numId w:val="5"/>
        </w:numPr>
      </w:pPr>
      <w:r>
        <w:t xml:space="preserve">Concentración o porcentaje estimado de asbesto.</w:t>
      </w:r>
    </w:p>
    <w:p>
      <w:pPr>
        <w:pStyle w:val="Compact"/>
        <w:numPr>
          <w:ilvl w:val="0"/>
          <w:numId w:val="5"/>
        </w:numPr>
      </w:pPr>
      <w:r>
        <w:t xml:space="preserve">Resultado individual de cada muestra.</w:t>
      </w:r>
    </w:p>
    <w:p>
      <w:pPr>
        <w:pStyle w:val="Compact"/>
        <w:numPr>
          <w:ilvl w:val="0"/>
          <w:numId w:val="5"/>
        </w:numPr>
      </w:pPr>
      <w:r>
        <w:t xml:space="preserve">Conclusiones técnicas.</w:t>
      </w:r>
    </w:p>
    <w:p>
      <w:pPr>
        <w:pStyle w:val="FirstParagraph"/>
      </w:pPr>
      <w:r>
        <w:t xml:space="preserve">Cuando corresponda, el laboratorio deberá utilizar metodologías reconocidas internacionalmente, tales como:</w:t>
      </w:r>
    </w:p>
    <w:p>
      <w:pPr>
        <w:pStyle w:val="Compact"/>
        <w:numPr>
          <w:ilvl w:val="0"/>
          <w:numId w:val="6"/>
        </w:numPr>
      </w:pPr>
      <w:r>
        <w:t xml:space="preserve">Microscopía de Luz Polarizada (PLM).</w:t>
      </w:r>
    </w:p>
    <w:p>
      <w:pPr>
        <w:pStyle w:val="Compact"/>
        <w:numPr>
          <w:ilvl w:val="0"/>
          <w:numId w:val="6"/>
        </w:numPr>
      </w:pPr>
      <w:r>
        <w:t xml:space="preserve">Microscopía Electrónica de Barrido (SEM).</w:t>
      </w:r>
    </w:p>
    <w:p>
      <w:pPr>
        <w:pStyle w:val="Compact"/>
        <w:numPr>
          <w:ilvl w:val="0"/>
          <w:numId w:val="6"/>
        </w:numPr>
      </w:pPr>
      <w:r>
        <w:t xml:space="preserve">Microscopía Electrónica de Transmisión (TEM).</w:t>
      </w:r>
    </w:p>
    <w:p/>
    <w:p>
      <w:pPr>
        <w:pStyle w:val="Ttulo1"/>
      </w:pPr>
      <w:bookmarkStart w:id="5" w:name="determinación-de-friabilidad"/>
      <w:bookmarkEnd w:id="4"/>
      <w:r>
        <w:t xml:space="preserve">4. DETERMINACIÓN DE FRIABILIDAD</w:t>
      </w:r>
    </w:p>
    <w:p>
      <w:pPr>
        <w:pStyle w:val="FirstParagraph"/>
      </w:pPr>
      <w:r>
        <w:t xml:space="preserve">La </w:t>
      </w:r>
      <w:r>
        <w:t xml:space="preserve">empresa</w:t>
      </w:r>
      <w:r>
        <w:t xml:space="preserve"> </w:t>
      </w:r>
      <w:r>
        <w:t xml:space="preserve">deberá</w:t>
      </w:r>
      <w:r>
        <w:t xml:space="preserve"> </w:t>
      </w:r>
      <w:r>
        <w:t xml:space="preserve">emitir</w:t>
      </w:r>
      <w:r>
        <w:t xml:space="preserve"> un Informe Técnico de Friabilidad, indicando expresamente:</w:t>
      </w:r>
    </w:p>
    <w:p>
      <w:pPr>
        <w:pStyle w:val="Compact"/>
        <w:numPr>
          <w:ilvl w:val="0"/>
          <w:numId w:val="7"/>
        </w:numPr>
      </w:pPr>
      <w:r>
        <w:t xml:space="preserve">Clasificación del material como:</w:t>
      </w:r>
    </w:p>
    <w:p>
      <w:pPr>
        <w:pStyle w:val="Compact"/>
        <w:numPr>
          <w:ilvl w:val="1"/>
          <w:numId w:val="8"/>
        </w:numPr>
      </w:pPr>
      <w:r>
        <w:t xml:space="preserve">Friable.</w:t>
      </w:r>
    </w:p>
    <w:p>
      <w:pPr>
        <w:pStyle w:val="Compact"/>
        <w:numPr>
          <w:ilvl w:val="1"/>
          <w:numId w:val="8"/>
        </w:numPr>
      </w:pPr>
      <w:r>
        <w:t xml:space="preserve">No friable.</w:t>
      </w:r>
    </w:p>
    <w:p>
      <w:pPr>
        <w:pStyle w:val="Compact"/>
        <w:numPr>
          <w:ilvl w:val="0"/>
          <w:numId w:val="7"/>
        </w:numPr>
      </w:pPr>
      <w:r>
        <w:t xml:space="preserve">Criterios técnicos utilizados para dicha clasificación.</w:t>
      </w:r>
    </w:p>
    <w:p>
      <w:pPr>
        <w:pStyle w:val="Compact"/>
        <w:numPr>
          <w:ilvl w:val="0"/>
          <w:numId w:val="7"/>
        </w:numPr>
      </w:pPr>
      <w:r>
        <w:t xml:space="preserve">Norma técnica aplicada.</w:t>
      </w:r>
    </w:p>
    <w:p>
      <w:pPr>
        <w:pStyle w:val="Compact"/>
        <w:numPr>
          <w:ilvl w:val="0"/>
          <w:numId w:val="7"/>
        </w:numPr>
      </w:pPr>
      <w:r>
        <w:t xml:space="preserve">Fundamentación técnica de la conclusión.</w:t>
      </w:r>
    </w:p>
    <w:p>
      <w:pPr>
        <w:pStyle w:val="Compact"/>
        <w:numPr>
          <w:ilvl w:val="0"/>
          <w:numId w:val="7"/>
        </w:numPr>
      </w:pPr>
      <w:r>
        <w:t xml:space="preserve">Riesgo de liberación de fibras.</w:t>
      </w:r>
    </w:p>
    <w:p>
      <w:pPr>
        <w:pStyle w:val="Compact"/>
        <w:numPr>
          <w:ilvl w:val="0"/>
          <w:numId w:val="7"/>
        </w:numPr>
      </w:pPr>
      <w:r>
        <w:t xml:space="preserve">Implicancias para el retiro del material.</w:t>
      </w:r>
    </w:p>
    <w:p>
      <w:pPr>
        <w:pStyle w:val="FirstParagraph"/>
      </w:pPr>
      <w:r>
        <w:t xml:space="preserve">No se aceptarán informes que únicamente indiquen la presencia de asbesto sin pronunciarse expresamente respecto de la condición de friabilidad.</w:t>
      </w:r>
    </w:p>
    <w:p/>
    <w:p/>
    <w:p/>
    <w:p>
      <w:pPr>
        <w:pStyle w:val="Ttulo1"/>
      </w:pPr>
      <w:bookmarkStart w:id="6" w:name="evaluación-de-riesgo"/>
      <w:bookmarkEnd w:id="5"/>
      <w:r>
        <w:t xml:space="preserve">5. EVALUACIÓN DE RIESGO</w:t>
      </w:r>
    </w:p>
    <w:p>
      <w:pPr>
        <w:pStyle w:val="FirstParagraph"/>
      </w:pPr>
      <w:r>
        <w:t xml:space="preserve">El </w:t>
      </w:r>
      <w:r>
        <w:t xml:space="preserve">informe</w:t>
      </w:r>
      <w:r>
        <w:t xml:space="preserve"> </w:t>
      </w:r>
      <w:r>
        <w:t xml:space="preserve">deberá</w:t>
      </w:r>
      <w:r>
        <w:t xml:space="preserve"> </w:t>
      </w:r>
      <w:r>
        <w:t xml:space="preserve">incluir</w:t>
      </w:r>
      <w:r>
        <w:t xml:space="preserve"> </w:t>
      </w:r>
      <w:r>
        <w:t xml:space="preserve">una</w:t>
      </w:r>
      <w:r>
        <w:t xml:space="preserve"> evaluación técnica que considere:</w:t>
      </w:r>
    </w:p>
    <w:p>
      <w:pPr>
        <w:pStyle w:val="Compact"/>
        <w:numPr>
          <w:ilvl w:val="0"/>
          <w:numId w:val="9"/>
        </w:numPr>
      </w:pPr>
      <w:r>
        <w:t xml:space="preserve">Riesgo para los trabajadores.</w:t>
      </w:r>
    </w:p>
    <w:p>
      <w:pPr>
        <w:pStyle w:val="Compact"/>
        <w:numPr>
          <w:ilvl w:val="0"/>
          <w:numId w:val="9"/>
        </w:numPr>
      </w:pPr>
      <w:r>
        <w:t xml:space="preserve">Riesgo para usuarios del inmueble.</w:t>
      </w:r>
    </w:p>
    <w:p>
      <w:pPr>
        <w:pStyle w:val="Compact"/>
        <w:numPr>
          <w:ilvl w:val="0"/>
          <w:numId w:val="9"/>
        </w:numPr>
      </w:pPr>
      <w:r>
        <w:t xml:space="preserve">Riesgo para la comunidad.</w:t>
      </w:r>
    </w:p>
    <w:p>
      <w:pPr>
        <w:pStyle w:val="Compact"/>
        <w:numPr>
          <w:ilvl w:val="0"/>
          <w:numId w:val="9"/>
        </w:numPr>
      </w:pPr>
      <w:r>
        <w:t xml:space="preserve">Potencial liberación de fibras al ambiente.</w:t>
      </w:r>
    </w:p>
    <w:p>
      <w:pPr>
        <w:pStyle w:val="Compact"/>
        <w:numPr>
          <w:ilvl w:val="0"/>
          <w:numId w:val="9"/>
        </w:numPr>
      </w:pPr>
      <w:r>
        <w:t xml:space="preserve">Recomendaciones para controlar el riesgo durante las futuras labores de retiro.</w:t>
      </w:r>
    </w:p>
    <w:p/>
    <w:p>
      <w:pPr>
        <w:pStyle w:val="Ttulo1"/>
      </w:pPr>
      <w:bookmarkStart w:id="7" w:name="documentación-legal-exigida"/>
      <w:bookmarkStart w:id="8" w:name="laboratorio"/>
      <w:bookmarkEnd w:id="6"/>
      <w:r>
        <w:t xml:space="preserve">6. Laboratorio</w:t>
      </w:r>
    </w:p>
    <w:p>
      <w:pPr>
        <w:pStyle w:val="FirstParagraph"/>
      </w:pPr>
      <w:r>
        <w:t xml:space="preserve">El laboratorio que efectúe los análisis deberá acreditar:</w:t>
      </w:r>
    </w:p>
    <w:p>
      <w:pPr>
        <w:pStyle w:val="Compact"/>
        <w:numPr>
          <w:ilvl w:val="0"/>
          <w:numId w:val="13"/>
        </w:numPr>
      </w:pPr>
      <w:r>
        <w:t xml:space="preserve">Identificación del laboratorio.</w:t>
      </w:r>
    </w:p>
    <w:p>
      <w:pPr>
        <w:pStyle w:val="Compact"/>
        <w:numPr>
          <w:ilvl w:val="0"/>
          <w:numId w:val="13"/>
        </w:numPr>
      </w:pPr>
      <w:r>
        <w:t xml:space="preserve">Certificado de acreditación vigente.</w:t>
      </w:r>
    </w:p>
    <w:p>
      <w:pPr>
        <w:pStyle w:val="Compact"/>
        <w:numPr>
          <w:ilvl w:val="0"/>
          <w:numId w:val="13"/>
        </w:numPr>
      </w:pPr>
      <w:r>
        <w:t xml:space="preserve">Alcance de la acreditación para análisis de asbesto.</w:t>
      </w:r>
    </w:p>
    <w:p>
      <w:pPr>
        <w:pStyle w:val="Compact"/>
        <w:numPr>
          <w:ilvl w:val="0"/>
          <w:numId w:val="13"/>
        </w:numPr>
      </w:pPr>
      <w:r>
        <w:t xml:space="preserve">Profesional responsable del análisis.</w:t>
      </w:r>
    </w:p>
    <w:p>
      <w:pPr>
        <w:pStyle w:val="Compact"/>
        <w:numPr>
          <w:ilvl w:val="0"/>
          <w:numId w:val="13"/>
        </w:numPr>
      </w:pPr>
      <w:r>
        <w:t xml:space="preserve">Certificados de competencia técnica.</w:t>
      </w:r>
    </w:p>
    <w:p>
      <w:pPr>
        <w:pStyle w:val="FirstParagraph"/>
      </w:pPr>
      <w:r>
        <w:t xml:space="preserve">Se privilegiarán laboratorios acreditados bajo la Norma ISO/IEC 17025 o equivalente.</w:t>
      </w:r>
    </w:p>
    <w:p>
      <w:bookmarkStart w:id="9" w:name="equipos-utilizados"/>
      <w:bookmarkEnd w:id="7"/>
      <w:bookmarkEnd w:id="8"/>
    </w:p>
    <w:p>
      <w:pPr>
        <w:pStyle w:val="Ttulo1"/>
      </w:pPr>
      <w:bookmarkStart w:id="10" w:name="cumplimiento-normativo"/>
      <w:bookmarkEnd w:id="9"/>
      <w:r>
        <w:t xml:space="preserve">7. CUMPLIMIENTO NORMATIVO</w:t>
      </w:r>
    </w:p>
    <w:p>
      <w:pPr>
        <w:pStyle w:val="FirstParagraph"/>
      </w:pPr>
      <w:r>
        <w:t xml:space="preserve">La empresa deberá declarar expresamente que el estudio se desarrolla conforme a la normativa chilena vigente aplicable al manejo de materiales con contenido de asbesto, indicando las normas, reglamentos y metodologías utilizadas como respaldo técnico.</w:t>
      </w:r>
    </w:p>
    <w:p/>
    <w:p>
      <w:pPr>
        <w:pStyle w:val="Ttulo1"/>
      </w:pPr>
      <w:bookmarkStart w:id="11" w:name="productos-a-entregar"/>
      <w:bookmarkEnd w:id="10"/>
      <w:r>
        <w:t xml:space="preserve">8. PRODUCTOS </w:t>
      </w:r>
      <w:r>
        <w:t xml:space="preserve">A</w:t>
      </w:r>
      <w:r>
        <w:t xml:space="preserve"> ENTREGAR</w:t>
      </w:r>
    </w:p>
    <w:p>
      <w:pPr>
        <w:pStyle w:val="FirstParagraph"/>
      </w:pPr>
      <w:r>
        <w:t xml:space="preserve">Como resultado del servicio, la empresa deberá entregar, como mínimo:</w:t>
      </w:r>
    </w:p>
    <w:p>
      <w:pPr>
        <w:pStyle w:val="Compact"/>
        <w:numPr>
          <w:ilvl w:val="0"/>
          <w:numId w:val="16"/>
        </w:numPr>
      </w:pPr>
      <w:r>
        <w:t xml:space="preserve">Informe técnico de inspección.</w:t>
      </w:r>
    </w:p>
    <w:p>
      <w:pPr>
        <w:pStyle w:val="Compact"/>
        <w:numPr>
          <w:ilvl w:val="0"/>
          <w:numId w:val="16"/>
        </w:numPr>
      </w:pPr>
      <w:r>
        <w:t xml:space="preserve">Informe de caracterización de materiales.</w:t>
      </w:r>
    </w:p>
    <w:p>
      <w:pPr>
        <w:pStyle w:val="Compact"/>
        <w:numPr>
          <w:ilvl w:val="0"/>
          <w:numId w:val="16"/>
        </w:numPr>
      </w:pPr>
      <w:r>
        <w:t xml:space="preserve">Registro fotográfico.</w:t>
      </w:r>
    </w:p>
    <w:p>
      <w:pPr>
        <w:pStyle w:val="Compact"/>
        <w:numPr>
          <w:ilvl w:val="0"/>
          <w:numId w:val="16"/>
        </w:numPr>
      </w:pPr>
      <w:r>
        <w:t xml:space="preserve">Plano o croquis con ubicación de las muestras.</w:t>
      </w:r>
    </w:p>
    <w:p>
      <w:pPr>
        <w:pStyle w:val="Compact"/>
        <w:numPr>
          <w:ilvl w:val="0"/>
          <w:numId w:val="16"/>
        </w:numPr>
      </w:pPr>
      <w:r>
        <w:t xml:space="preserve">Informes</w:t>
      </w:r>
      <w:r>
        <w:t xml:space="preserve"> </w:t>
      </w:r>
      <w:r>
        <w:t xml:space="preserve">originales</w:t>
      </w:r>
      <w:r>
        <w:t xml:space="preserve"> del </w:t>
      </w:r>
      <w:r>
        <w:t xml:space="preserve">laboratorio</w:t>
      </w:r>
      <w:r>
        <w:t xml:space="preserve">.</w:t>
      </w:r>
    </w:p>
    <w:p>
      <w:pPr>
        <w:pStyle w:val="Compact"/>
        <w:numPr>
          <w:ilvl w:val="0"/>
          <w:numId w:val="16"/>
        </w:numPr>
      </w:pPr>
      <w:r>
        <w:t xml:space="preserve">Identificación del tipo de fibra presente.</w:t>
      </w:r>
    </w:p>
    <w:p>
      <w:pPr>
        <w:pStyle w:val="Compact"/>
        <w:numPr>
          <w:ilvl w:val="0"/>
          <w:numId w:val="16"/>
        </w:numPr>
      </w:pPr>
      <w:r>
        <w:t xml:space="preserve">Determinación expresa de si el material es friable o no friable.</w:t>
      </w:r>
    </w:p>
    <w:p>
      <w:pPr>
        <w:pStyle w:val="Compact"/>
        <w:numPr>
          <w:ilvl w:val="0"/>
          <w:numId w:val="16"/>
        </w:numPr>
      </w:pPr>
      <w:r>
        <w:t xml:space="preserve">Justificación técnica de dicha clasificación.</w:t>
      </w:r>
    </w:p>
    <w:p>
      <w:pPr>
        <w:pStyle w:val="Compact"/>
        <w:numPr>
          <w:ilvl w:val="0"/>
          <w:numId w:val="16"/>
        </w:numPr>
      </w:pPr>
      <w:r>
        <w:t xml:space="preserve">Evaluación de riesgos.</w:t>
      </w:r>
    </w:p>
    <w:p>
      <w:pPr>
        <w:pStyle w:val="Compact"/>
        <w:numPr>
          <w:ilvl w:val="0"/>
          <w:numId w:val="16"/>
        </w:numPr>
      </w:pPr>
      <w:r>
        <w:t xml:space="preserve">Recomendaciones para el retiro.</w:t>
      </w:r>
    </w:p>
    <w:p>
      <w:pPr>
        <w:pStyle w:val="Compact"/>
        <w:numPr>
          <w:ilvl w:val="0"/>
          <w:numId w:val="16"/>
        </w:numPr>
      </w:pPr>
      <w:r>
        <w:t xml:space="preserve">Copia de las acreditaciones del laboratorio.</w:t>
      </w:r>
    </w:p>
    <w:p>
      <w:pPr>
        <w:pStyle w:val="Compact"/>
        <w:numPr>
          <w:ilvl w:val="0"/>
          <w:numId w:val="16"/>
        </w:numPr>
      </w:pPr>
      <w:r>
        <w:t xml:space="preserve">Certificaciones del profesional responsable.</w:t>
      </w:r>
    </w:p>
    <w:p>
      <w:pPr>
        <w:pStyle w:val="Compact"/>
        <w:numPr>
          <w:ilvl w:val="0"/>
          <w:numId w:val="16"/>
        </w:numPr>
      </w:pPr>
      <w:r>
        <w:t xml:space="preserve">Declaración de cumplimiento de la normativa aplicable.</w:t>
      </w:r>
    </w:p>
    <w:p/>
    <w:p>
      <w:pPr>
        <w:pStyle w:val="Ttulo1"/>
      </w:pPr>
      <w:bookmarkStart w:id="12" w:name="observación-final"/>
      <w:bookmarkEnd w:id="11"/>
      <w:r>
        <w:t xml:space="preserve">9. OBSERVACIÓN FINAL</w:t>
      </w:r>
    </w:p>
    <w:p>
      <w:pPr>
        <w:pStyle w:val="FirstParagraph"/>
      </w:pPr>
      <w:r>
        <w:t xml:space="preserve">La determinación de la condición de friabilidad constituye el principal objetivo del presente estudio, por cuanto dicha clasificación definirá los procedimientos de retiro, las medidas de seguridad, las exigencias ambientales, los costos del proyecto y las especificaciones técnicas que deberán incorporarse en una futura licitación para el retiro de materiales con contenido de asbesto.</w:t>
      </w:r>
    </w:p>
    <w:p>
      <w:pPr>
        <w:pStyle w:val="Textoindependiente"/>
      </w:pPr>
      <w:r>
        <w:t xml:space="preserve">En consecuencia, el informe deberá entregar una conclusión técnica clara, fundada y debidamente respaldada respecto de la clasificación del material como friable o no friable, indicando la metodología empleada, las normas utilizadas y los antecedentes </w:t>
      </w:r>
      <w:r>
        <w:t xml:space="preserve">que</w:t>
      </w:r>
      <w:r>
        <w:t xml:space="preserve"> </w:t>
      </w:r>
      <w:r>
        <w:t xml:space="preserve">sustentan</w:t>
      </w:r>
      <w:r>
        <w:t xml:space="preserve"> </w:t>
      </w:r>
      <w:r>
        <w:t xml:space="preserve">dicha</w:t>
      </w:r>
      <w:r>
        <w:t xml:space="preserve"> </w:t>
      </w:r>
      <w:r>
        <w:t xml:space="preserve">conclusión</w:t>
      </w:r>
      <w:r>
        <w:t xml:space="preserve">.</w:t>
      </w:r>
      <w:bookmarkEnd w:id="12"/>
    </w:p>
    <w:p>
      <w:pPr>
        <w:pStyle w:val="Textoindependiente"/>
      </w:pPr>
    </w:p>
    <w:p>
      <w:pPr>
        <w:pStyle w:val="Textoindependiente"/>
      </w:pPr>
    </w:p>
    <w:p>
      <w:pPr>
        <w:pStyle w:val="Textoindependiente"/>
      </w:pPr>
    </w:p>
    <w:p>
      <w:pPr>
        <w:pStyle w:val="Textoindependiente"/>
      </w:pPr>
    </w:p>
    <w:p>
      <w:pPr>
        <w:pStyle w:val="Textoindependiente"/>
      </w:pPr>
    </w:p>
    <w:p>
      <w:pPr>
        <w:pStyle w:val="Textoindependiente"/>
      </w:pPr>
    </w:p>
    <w:p>
      <w:pPr>
        <w:pStyle w:val="Textoindependiente"/>
      </w:pPr>
    </w:p>
    <w:p>
      <w:pPr>
        <w:pStyle w:val="Textoindependiente"/>
      </w:pPr>
    </w:p>
    <w:p>
      <w:pPr>
        <w:pStyle w:val="Textoindependiente"/>
      </w:pPr>
    </w:p>
    <w:p>
      <w:pPr>
        <w:pStyle w:val="Ttulo1"/>
      </w:pPr>
      <w:r>
        <w:t xml:space="preserve">10. ANTECEDENTES PARA LA VISITA Y TOMA DE MUESTRAS</w:t>
      </w:r>
    </w:p>
    <w:p>
      <w:r>
        <w:t xml:space="preserve">Lugar de reunión para la toma de muestras: Avenida Primera Transversal N° 1940, entrada principal al Municipio, Maipú.</w:t>
      </w:r>
    </w:p>
    <w:p>
      <w:r>
        <w:t xml:space="preserve">• Altura del techo: 2,50 a 3,0 m. Todo en primer piso.</w:t>
      </w:r>
    </w:p>
    <w:p>
      <w:r>
        <w:t xml:space="preserve">• Dirección de dependencias: Manzana Municipal.</w:t>
      </w:r>
    </w:p>
    <w:p>
      <w:r>
        <w:t xml:space="preserve">• Superficie total de zonas: 2.580 m².</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74"/>
        <w:gridCol w:w="2018"/>
        <w:gridCol w:w="2723"/>
        <w:gridCol w:w="2013"/>
      </w:tblGrid>
      <w:tr>
        <w:tc>
          <w:tcPr>
            <w:tcW w:w="2209" w:type="dxa"/>
            <w:shd w:val="clear" w:color="auto" w:fill="0f4761" w:themeFill="accent1" w:themeFillShade="BF"/>
          </w:tcPr>
          <w:p>
            <w:r>
              <w:t xml:space="preserve">Prioridad</w:t>
            </w:r>
          </w:p>
        </w:tc>
        <w:tc>
          <w:tcPr>
            <w:tcW w:w="2209" w:type="dxa"/>
            <w:shd w:val="clear" w:color="auto" w:fill="0f4761" w:themeFill="accent1" w:themeFillShade="BF"/>
          </w:tcPr>
          <w:p>
            <w:r>
              <w:t xml:space="preserve">Zona</w:t>
            </w:r>
          </w:p>
        </w:tc>
        <w:tc>
          <w:tcPr>
            <w:tcW w:w="2209" w:type="dxa"/>
            <w:shd w:val="clear" w:color="auto" w:fill="0f4761" w:themeFill="accent1" w:themeFillShade="BF"/>
          </w:tcPr>
          <w:p>
            <w:r>
              <w:t xml:space="preserve">Dependencias</w:t>
            </w:r>
          </w:p>
        </w:tc>
        <w:tc>
          <w:tcPr>
            <w:tcW w:w="2209" w:type="dxa"/>
            <w:shd w:val="clear" w:color="auto" w:fill="0f4761" w:themeFill="accent1" w:themeFillShade="BF"/>
          </w:tcPr>
          <w:p>
            <w:r>
              <w:t xml:space="preserve">Área (m²)</w:t>
            </w:r>
          </w:p>
        </w:tc>
      </w:tr>
      <w:tr>
        <w:tc>
          <w:tcPr>
            <w:tcW w:w="2209" w:type="dxa"/>
          </w:tcPr>
          <w:p>
            <w:r>
              <w:t xml:space="preserve">1</w:t>
            </w:r>
          </w:p>
        </w:tc>
        <w:tc>
          <w:tcPr>
            <w:tcW w:w="2209" w:type="dxa"/>
          </w:tcPr>
          <w:p>
            <w:r>
              <w:t xml:space="preserve">Zona 1</w:t>
            </w:r>
          </w:p>
        </w:tc>
        <w:tc>
          <w:tcPr>
            <w:tcW w:w="2209" w:type="dxa"/>
          </w:tcPr>
          <w:p>
            <w:r>
              <w:t xml:space="preserve">DAF</w:t>
            </w:r>
          </w:p>
        </w:tc>
        <w:tc>
          <w:tcPr>
            <w:tcW w:w="2209" w:type="dxa"/>
          </w:tcPr>
          <w:p>
            <w:r>
              <w:t xml:space="preserve">430</w:t>
            </w:r>
          </w:p>
        </w:tc>
      </w:tr>
      <w:tr>
        <w:tc>
          <w:tcPr>
            <w:tcW w:w="2209" w:type="dxa"/>
          </w:tcPr>
          <w:p>
            <w:r>
              <w:t xml:space="preserve">5</w:t>
            </w:r>
          </w:p>
        </w:tc>
        <w:tc>
          <w:tcPr>
            <w:tcW w:w="2209" w:type="dxa"/>
          </w:tcPr>
          <w:p>
            <w:r>
              <w:t xml:space="preserve">Zona 2</w:t>
            </w:r>
          </w:p>
        </w:tc>
        <w:tc>
          <w:tcPr>
            <w:tcW w:w="2209" w:type="dxa"/>
          </w:tcPr>
          <w:p>
            <w:r>
              <w:t xml:space="preserve">DITEC/SECPLA/DIDECO</w:t>
            </w:r>
          </w:p>
        </w:tc>
        <w:tc>
          <w:tcPr>
            <w:tcW w:w="2209" w:type="dxa"/>
          </w:tcPr>
          <w:p>
            <w:r>
              <w:t xml:space="preserve">660</w:t>
            </w:r>
          </w:p>
        </w:tc>
      </w:tr>
      <w:tr>
        <w:tc>
          <w:tcPr>
            <w:tcW w:w="2209" w:type="dxa"/>
          </w:tcPr>
          <w:p>
            <w:r>
              <w:t xml:space="preserve">3</w:t>
            </w:r>
          </w:p>
        </w:tc>
        <w:tc>
          <w:tcPr>
            <w:tcW w:w="2209" w:type="dxa"/>
          </w:tcPr>
          <w:p>
            <w:r>
              <w:t xml:space="preserve">Zona 3</w:t>
            </w:r>
          </w:p>
        </w:tc>
        <w:tc>
          <w:tcPr>
            <w:tcW w:w="2209" w:type="dxa"/>
          </w:tcPr>
          <w:p>
            <w:r>
              <w:t xml:space="preserve">SOCIAL Y SUBSIDIO</w:t>
            </w:r>
          </w:p>
        </w:tc>
        <w:tc>
          <w:tcPr>
            <w:tcW w:w="2209" w:type="dxa"/>
          </w:tcPr>
          <w:p>
            <w:r>
              <w:t xml:space="preserve">360</w:t>
            </w:r>
          </w:p>
        </w:tc>
      </w:tr>
      <w:tr>
        <w:tc>
          <w:tcPr>
            <w:tcW w:w="2209" w:type="dxa"/>
          </w:tcPr>
          <w:p>
            <w:r>
              <w:t xml:space="preserve">2</w:t>
            </w:r>
          </w:p>
        </w:tc>
        <w:tc>
          <w:tcPr>
            <w:tcW w:w="2209" w:type="dxa"/>
          </w:tcPr>
          <w:p>
            <w:r>
              <w:t xml:space="preserve">Zona 4</w:t>
            </w:r>
          </w:p>
        </w:tc>
        <w:tc>
          <w:tcPr>
            <w:tcW w:w="2209" w:type="dxa"/>
          </w:tcPr>
          <w:p>
            <w:r>
              <w:t xml:space="preserve">OO.CC. Y CAF.</w:t>
            </w:r>
          </w:p>
        </w:tc>
        <w:tc>
          <w:tcPr>
            <w:tcW w:w="2209" w:type="dxa"/>
          </w:tcPr>
          <w:p>
            <w:r>
              <w:t xml:space="preserve">550</w:t>
            </w:r>
          </w:p>
        </w:tc>
      </w:tr>
      <w:tr>
        <w:tc>
          <w:tcPr>
            <w:tcW w:w="2209" w:type="dxa"/>
          </w:tcPr>
          <w:p>
            <w:r>
              <w:t xml:space="preserve">4</w:t>
            </w:r>
          </w:p>
        </w:tc>
        <w:tc>
          <w:tcPr>
            <w:tcW w:w="2209" w:type="dxa"/>
          </w:tcPr>
          <w:p>
            <w:r>
              <w:t xml:space="preserve">Zona 6</w:t>
            </w:r>
          </w:p>
        </w:tc>
        <w:tc>
          <w:tcPr>
            <w:tcW w:w="2209" w:type="dxa"/>
          </w:tcPr>
          <w:p>
            <w:r>
              <w:t xml:space="preserve">BIBLIOTECA Y DIPRESEC</w:t>
            </w:r>
          </w:p>
        </w:tc>
        <w:tc>
          <w:tcPr>
            <w:tcW w:w="2209" w:type="dxa"/>
          </w:tcPr>
          <w:p>
            <w:r>
              <w:t xml:space="preserve">580</w:t>
            </w:r>
          </w:p>
        </w:tc>
      </w:tr>
    </w:tbl>
    <w:p/>
    <w:sectPr>
      <w:footnotePr>
        <w:numRestart w:val="eachSect"/>
      </w:footnotePr>
      <w:pgSz w:h="15840" w:w="122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nsolas">
    <w:panose1 w:val="020B0609020204030204"/>
  </w:font>
  <w:font w:name="Calibri">
    <w:panose1 w:val="020F0502020204030204"/>
  </w:font>
  <w:font w:name="Times New Roman">
    <w:panose1 w:val="020206030504050203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nsid w:val="0000A990"/>
    <w:lvl w:ilvl="0">
      <w:lvlJc w:val="left"/>
      <w:lvlText w:val=" "/>
      <w:numFmt w:val="bullet"/>
      <w:pPr>
        <w:ind w:hanging="360" w:left="720"/>
      </w:pPr>
    </w:lvl>
    <w:lvl w:ilvl="1">
      <w:lvlJc w:val="left"/>
      <w:lvlText w:val=" "/>
      <w:numFmt w:val="bullet"/>
      <w:pPr>
        <w:ind w:hanging="360" w:left="1440"/>
      </w:pPr>
    </w:lvl>
    <w:lvl w:ilvl="2">
      <w:lvlJc w:val="left"/>
      <w:lvlText w:val=" "/>
      <w:numFmt w:val="bullet"/>
      <w:pPr>
        <w:ind w:hanging="360" w:left="2160"/>
      </w:pPr>
    </w:lvl>
    <w:lvl w:ilvl="3">
      <w:lvlJc w:val="left"/>
      <w:lvlText w:val=" "/>
      <w:numFmt w:val="bullet"/>
      <w:pPr>
        <w:ind w:hanging="360" w:left="2880"/>
      </w:pPr>
    </w:lvl>
    <w:lvl w:ilvl="4">
      <w:lvlJc w:val="left"/>
      <w:lvlText w:val=" "/>
      <w:numFmt w:val="bullet"/>
      <w:pPr>
        <w:ind w:hanging="360" w:left="3600"/>
      </w:pPr>
    </w:lvl>
    <w:lvl w:ilvl="5">
      <w:lvlJc w:val="left"/>
      <w:lvlText w:val=" "/>
      <w:numFmt w:val="bullet"/>
      <w:pPr>
        <w:ind w:hanging="360" w:left="4320"/>
      </w:pPr>
    </w:lvl>
    <w:lvl w:ilvl="6">
      <w:lvlJc w:val="left"/>
      <w:lvlText w:val=" "/>
      <w:numFmt w:val="bullet"/>
      <w:pPr>
        <w:ind w:hanging="360" w:left="5040"/>
      </w:pPr>
    </w:lvl>
    <w:lvl w:ilvl="7">
      <w:lvlJc w:val="left"/>
      <w:lvlText w:val=" "/>
      <w:numFmt w:val="bullet"/>
      <w:pPr>
        <w:ind w:hanging="360" w:left="5760"/>
      </w:pPr>
    </w:lvl>
    <w:lvl w:ilvl="8">
      <w:lvlJc w:val="left"/>
      <w:lvlText w:val=" "/>
      <w:numFmt w:val="bullet"/>
      <w:pPr>
        <w:ind w:hanging="360" w:left="6480"/>
      </w:pPr>
    </w:lvl>
  </w:abstractNum>
  <w:abstractNum w:abstractNumId="1">
    <w:multiLevelType w:val="multilevel"/>
    <w:nsid w:val="0000A991"/>
    <w:lvl w:ilvl="0">
      <w:lvlJc w:val="left"/>
      <w:lvlText w:val=""/>
      <w:numFmt w:val="bullet"/>
      <w:pPr>
        <w:ind w:hanging="360" w:left="720"/>
      </w:pPr>
      <w:rPr>
        <w:rFonts w:hint="default" w:ascii="Symbol" w:hAnsi="Symbol" w:cs="Symbol"/>
      </w:rPr>
    </w:lvl>
    <w:lvl w:ilvl="1">
      <w:lvlJc w:val="left"/>
      <w:lvlText w:val="o"/>
      <w:numFmt w:val="bullet"/>
      <w:pPr>
        <w:ind w:hanging="360" w:left="1440"/>
      </w:pPr>
      <w:rPr>
        <w:rFonts w:hint="default" w:ascii="Courier New" w:hAnsi="Courier New" w:cs="Courier New"/>
      </w:rPr>
    </w:lvl>
    <w:lvl w:ilvl="2">
      <w:lvlJc w:val="left"/>
      <w:lvlText w:val=""/>
      <w:numFmt w:val="bullet"/>
      <w:pPr>
        <w:ind w:hanging="360" w:left="2160"/>
      </w:pPr>
      <w:rPr>
        <w:rFonts w:hint="default" w:ascii="Wingdings" w:hAnsi="Wingdings" w:cs="Wingdings"/>
      </w:rPr>
    </w:lvl>
    <w:lvl w:ilvl="3">
      <w:lvlJc w:val="left"/>
      <w:lvlText w:val=""/>
      <w:numFmt w:val="bullet"/>
      <w:pPr>
        <w:ind w:hanging="360" w:left="2880"/>
      </w:pPr>
      <w:rPr>
        <w:rFonts w:hint="default" w:ascii="Symbol" w:hAnsi="Symbol" w:cs="Symbol"/>
      </w:rPr>
    </w:lvl>
    <w:lvl w:ilvl="4">
      <w:lvlJc w:val="left"/>
      <w:lvlText w:val="o"/>
      <w:numFmt w:val="bullet"/>
      <w:pPr>
        <w:ind w:hanging="360" w:left="3600"/>
      </w:pPr>
      <w:rPr>
        <w:rFonts w:hint="default" w:ascii="Courier New" w:hAnsi="Courier New" w:cs="Courier New"/>
      </w:rPr>
    </w:lvl>
    <w:lvl w:ilvl="5">
      <w:lvlJc w:val="left"/>
      <w:lvlText w:val=""/>
      <w:numFmt w:val="bullet"/>
      <w:pPr>
        <w:ind w:hanging="360" w:left="4320"/>
      </w:pPr>
      <w:rPr>
        <w:rFonts w:hint="default" w:ascii="Wingdings" w:hAnsi="Wingdings" w:cs="Wingdings"/>
      </w:rPr>
    </w:lvl>
    <w:lvl w:ilvl="6">
      <w:lvlJc w:val="left"/>
      <w:lvlText w:val=""/>
      <w:numFmt w:val="bullet"/>
      <w:pPr>
        <w:ind w:hanging="360" w:left="5040"/>
      </w:pPr>
      <w:rPr>
        <w:rFonts w:hint="default" w:ascii="Symbol" w:hAnsi="Symbol" w:cs="Symbol"/>
      </w:rPr>
    </w:lvl>
    <w:lvl w:ilvl="7">
      <w:lvlJc w:val="left"/>
      <w:lvlText w:val="o"/>
      <w:numFmt w:val="bullet"/>
      <w:pPr>
        <w:ind w:hanging="360" w:left="5760"/>
      </w:pPr>
      <w:rPr>
        <w:rFonts w:hint="default" w:ascii="Courier New" w:hAnsi="Courier New" w:cs="Courier New"/>
      </w:rPr>
    </w:lvl>
    <w:lvl w:ilvl="8">
      <w:lvlJc w:val="left"/>
      <w:lvlText w:val=""/>
      <w:numFmt w:val="bullet"/>
      <w:pPr>
        <w:ind w:hanging="360" w:left="6480"/>
      </w:pPr>
      <w:rPr>
        <w:rFonts w:hint="default" w:ascii="Wingdings" w:hAnsi="Wingdings" w:cs="Wingdings"/>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Ttulo1">
    <w:name w:val="heading 1"/>
    <w:basedOn w:val="Normal"/>
    <w:next w:val="Textoindependiente"/>
    <w:link w:val="Ttulo1Car"/>
    <w:uiPriority w:val="9"/>
    <w:qFormat/>
    <w:pPr>
      <w:keepNext w:val="true"/>
      <w:keepLines w:val="true"/>
      <w:spacing w:after="80" w:before="36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pPr>
      <w:keepNext w:val="true"/>
      <w:keepLines w:val="true"/>
      <w:spacing w:after="80" w:before="16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pPr>
      <w:keepNext w:val="true"/>
      <w:keepLines w:val="true"/>
      <w:spacing w:after="80" w:before="16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pPr>
      <w:keepNext w:val="true"/>
      <w:keepLines w:val="true"/>
      <w:spacing w:after="40" w:before="8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pPr>
      <w:keepNext w:val="true"/>
      <w:keepLines w:val="true"/>
      <w:spacing w:after="40" w:before="8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pPr>
      <w:keepNext w:val="true"/>
      <w:keepLines w:val="true"/>
      <w:spacing w:after="0" w:before="4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pPr>
      <w:keepNext w:val="true"/>
      <w:keepLines w:val="true"/>
      <w:spacing w:after="0" w:before="4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pPr>
      <w:keepNext w:val="true"/>
      <w:keepLines w:val="true"/>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pPr>
      <w:keepNext w:val="true"/>
      <w:keepLines w:val="true"/>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left w:w="108" w:type="dxa"/>
        <w:top w:w="0" w:type="dxa"/>
        <w:right w:w="108" w:type="dxa"/>
        <w:bottom w:w="0" w:type="dxa"/>
      </w:tblCellMar>
    </w:tblPr>
  </w:style>
  <w:style w:type="numbering" w:styleId="Sinlista" w:default="1">
    <w:name w:val="No List"/>
    <w:uiPriority w:val="99"/>
    <w:semiHidden/>
    <w:unhideWhenUsed/>
  </w:style>
  <w:style w:type="paragraph" w:styleId="Textoindependiente">
    <w:name w:val="Body Text"/>
    <w:basedOn w:val="Normal"/>
    <w:qFormat/>
    <w:pPr>
      <w:spacing w:after="180" w:before="180"/>
    </w:pPr>
  </w:style>
  <w:style w:type="paragraph" w:styleId="FirstParagraph" w:customStyle="1">
    <w:name w:val="First Paragraph"/>
    <w:basedOn w:val="Textoindependiente"/>
    <w:next w:val="Textoindependiente"/>
    <w:qFormat/>
  </w:style>
  <w:style w:type="paragraph" w:styleId="Compact" w:customStyle="1">
    <w:name w:val="Compact"/>
    <w:basedOn w:val="Textoindependiente"/>
    <w:qFormat/>
    <w:pPr>
      <w:spacing w:after="36" w:before="36"/>
    </w:pPr>
  </w:style>
  <w:style w:type="paragraph" w:styleId="Ttulo">
    <w:name w:val="Title"/>
    <w:basedOn w:val="Normal"/>
    <w:next w:val="Textoindependiente"/>
    <w:link w:val="TtuloCar"/>
    <w:uiPriority w:val="10"/>
    <w:qFormat/>
    <w:pPr>
      <w:spacing w:after="80"/>
      <w:contextualSpacing w:val="true"/>
      <w:jc w:val="center"/>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Pr>
      <w:rFonts w:asciiTheme="majorHAnsi" w:hAnsiTheme="majorHAnsi" w:eastAsiaTheme="majorEastAsia" w:cstheme="majorBidi"/>
      <w:spacing w:val="-10"/>
      <w:kern w:val="28"/>
      <w:sz w:val="56"/>
      <w:szCs w:val="56"/>
    </w:rPr>
  </w:style>
  <w:style w:type="paragraph" w:styleId="Subttulo">
    <w:name w:val="Subtitle"/>
    <w:basedOn w:val="Ttulo"/>
    <w:next w:val="Textoindependiente"/>
    <w:link w:val="SubttuloCar"/>
    <w:uiPriority w:val="11"/>
    <w:qFormat/>
    <w:pPr>
      <w:numPr>
        <w:ilvl w:val="1"/>
      </w:numPr>
    </w:pPr>
    <w:rPr>
      <w:spacing w:val="15"/>
      <w:sz w:val="28"/>
      <w:szCs w:val="28"/>
    </w:rPr>
  </w:style>
  <w:style w:type="character" w:styleId="SubttuloCar" w:customStyle="1">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Author" w:customStyle="1">
    <w:name w:val="Author"/>
    <w:next w:val="Textoindependiente"/>
    <w:qFormat/>
    <w:pPr>
      <w:keepNext w:val="true"/>
      <w:keepLines w:val="true"/>
      <w:jc w:val="center"/>
    </w:pPr>
  </w:style>
  <w:style w:type="paragraph" w:styleId="Fecha">
    <w:name w:val="Date"/>
    <w:next w:val="Textoindependiente"/>
    <w:qFormat/>
    <w:pPr>
      <w:keepNext w:val="true"/>
      <w:keepLines w:val="true"/>
      <w:jc w:val="center"/>
    </w:pPr>
  </w:style>
  <w:style w:type="paragraph" w:styleId="AbstractTitle" w:customStyle="1">
    <w:name w:val="Abstract Title"/>
    <w:basedOn w:val="Normal"/>
    <w:next w:val="Abstract"/>
    <w:qFormat/>
    <w:pPr>
      <w:keepNext w:val="true"/>
      <w:keepLines w:val="true"/>
      <w:spacing w:after="0" w:before="300"/>
      <w:jc w:val="center"/>
    </w:pPr>
    <w:rPr>
      <w:b/>
      <w:sz w:val="20"/>
      <w:szCs w:val="20"/>
    </w:rPr>
  </w:style>
  <w:style w:type="paragraph" w:styleId="Abstract" w:customStyle="1">
    <w:name w:val="Abstract"/>
    <w:basedOn w:val="Normal"/>
    <w:next w:val="Textoindependiente"/>
    <w:qFormat/>
    <w:pPr>
      <w:keepNext w:val="true"/>
      <w:keepLines w:val="true"/>
      <w:spacing w:after="300" w:before="100"/>
    </w:pPr>
    <w:rPr>
      <w:sz w:val="20"/>
      <w:szCs w:val="20"/>
    </w:rPr>
  </w:style>
  <w:style w:type="paragraph" w:styleId="Bibliografa">
    <w:name w:val="Bibliography"/>
    <w:basedOn w:val="Normal"/>
    <w:qFormat/>
  </w:style>
  <w:style w:type="character" w:styleId="Ttulo1Car" w:customStyle="1">
    <w:name w:val="Título 1 Car"/>
    <w:basedOn w:val="Fuentedeprrafopredeter"/>
    <w:link w:val="Ttulo1"/>
    <w:uiPriority w:val="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after="100" w:before="100"/>
      <w:ind w:right="480" w:left="480"/>
    </w:pPr>
  </w:style>
  <w:style w:type="paragraph" w:styleId="Textonotapie">
    <w:name w:val="footnote text"/>
    <w:basedOn w:val="Normal"/>
    <w:uiPriority w:val="9"/>
    <w:unhideWhenUsed/>
    <w:qFormat/>
  </w:style>
  <w:style w:type="paragraph" w:styleId="FootnoteBlockText" w:customStyle="1">
    <w:name w:val="Footnote Block Text"/>
    <w:basedOn w:val="Textonotapie"/>
    <w:next w:val="Textonotapie"/>
    <w:uiPriority w:val="9"/>
    <w:unhideWhenUsed/>
    <w:qFormat/>
    <w:pPr>
      <w:spacing w:after="100" w:before="100"/>
      <w:ind w:right="480" w:left="480"/>
    </w:pPr>
  </w:style>
  <w:style w:type="table" w:styleId="Table" w:customStyle="1">
    <w:name w:val="Table"/>
    <w:semiHidden/>
    <w:unhideWhenUsed/>
    <w:qFormat/>
    <w:tblPr>
      <w:tblInd w:w="0" w:type="dxa"/>
      <w:tblCellMar>
        <w:left w:w="108" w:type="dxa"/>
        <w:top w:w="0" w:type="dxa"/>
        <w:right w:w="108" w:type="dxa"/>
        <w:bottom w:w="0" w:type="dxa"/>
      </w:tblCellMar>
    </w:tblPr>
    <w:tblStylePr w:type="firstRow">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val="true"/>
      <w:keepLines w:val="true"/>
      <w:spacing w:after="0"/>
    </w:pPr>
    <w:rPr>
      <w:b/>
    </w:rPr>
  </w:style>
  <w:style w:type="paragraph" w:styleId="Definition" w:customStyle="1">
    <w:name w:val="Definition"/>
    <w:basedOn w:val="Normal"/>
  </w:style>
  <w:style w:type="paragraph" w:styleId="Descripcin">
    <w:name w:val="caption"/>
    <w:basedOn w:val="Normal"/>
    <w:link w:val="DescripcinCar"/>
    <w:pPr>
      <w:spacing w:after="120"/>
    </w:pPr>
    <w:rPr>
      <w:i/>
    </w:rPr>
  </w:style>
  <w:style w:type="paragraph" w:styleId="TableCaption" w:customStyle="1">
    <w:name w:val="Table Caption"/>
    <w:basedOn w:val="Descripcin"/>
    <w:pPr>
      <w:keepNext w:val="true"/>
    </w:pPr>
  </w:style>
  <w:style w:type="paragraph" w:styleId="ImageCaption" w:customStyle="1">
    <w:name w:val="Image Caption"/>
    <w:basedOn w:val="Descripcin"/>
  </w:style>
  <w:style w:type="paragraph" w:styleId="Figure" w:customStyle="1">
    <w:name w:val="Figure"/>
    <w:basedOn w:val="Normal"/>
  </w:style>
  <w:style w:type="paragraph" w:styleId="CaptionedFigure" w:customStyle="1">
    <w:name w:val="Captioned Figure"/>
    <w:basedOn w:val="Figure"/>
    <w:pPr>
      <w:keepNext w:val="true"/>
    </w:pPr>
  </w:style>
  <w:style w:type="character" w:styleId="DescripcinCar" w:customStyle="1">
    <w:name w:val="Descripción Car"/>
    <w:basedOn w:val="Fuentedeprrafopredeter"/>
    <w:link w:val="Descripcin"/>
  </w:style>
  <w:style w:type="character" w:styleId="VerbatimChar" w:customStyle="1">
    <w:name w:val="Verbatim Char"/>
    <w:basedOn w:val="DescripcinCar"/>
    <w:link w:val="SourceCode"/>
    <w:rPr>
      <w:rFonts w:ascii="Consolas" w:hAnsi="Consolas"/>
      <w:sz w:val="22"/>
    </w:rPr>
  </w:style>
  <w:style w:type="character" w:styleId="SectionNumber" w:customStyle="1">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styleId="SourceCode" w:customStyle="1">
    <w:name w:val="Source Code"/>
    <w:basedOn w:val="Normal"/>
    <w:link w:val="VerbatimChar"/>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Arial"/>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5</TotalTime>
  <Pages>5</Pages>
  <Words>801</Words>
  <Characters>4410</Characters>
  <CharactersWithSpaces>5201</CharactersWithSpaces>
  <Application>ONLYOFFICE/9.0.4.50</Application>
  <DocSecurity>0</DocSecurity>
  <Lines>36</Lines>
  <Paragraphs>10</Paragraphs>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Rodrigo Alonso Farias Ojeda</dc:creator>
  <cp:keywords/>
  <cp:lastModifiedBy>Rodrigo Alonso Farias Ojeda</cp:lastModifiedBy>
  <cp:revision>2</cp:revision>
  <dcterms:created xsi:type="dcterms:W3CDTF">2026-07-01T13:05:00Z</dcterms:created>
  <dcterms:modified xsi:type="dcterms:W3CDTF">2026-07-01T13:05:00Z</dcterms:modified>
</cp:coreProperties>
</file>