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39C5" w14:textId="77777777" w:rsidR="000548E6" w:rsidRDefault="00000000">
      <w:pPr>
        <w:spacing w:line="240" w:lineRule="auto"/>
        <w:jc w:val="center"/>
        <w:rPr>
          <w:rFonts w:ascii="Gotham Light" w:eastAsia="Gotham Light" w:hAnsi="Gotham Light" w:cs="Gotham Light"/>
          <w:b/>
          <w:bCs/>
          <w:sz w:val="20"/>
          <w:szCs w:val="20"/>
        </w:rPr>
      </w:pPr>
      <w:bookmarkStart w:id="0" w:name="_heading=h.89b9s7yz47nj" w:colFirst="0" w:colLast="0"/>
      <w:bookmarkEnd w:id="0"/>
      <w:r>
        <w:rPr>
          <w:rFonts w:ascii="Gotham Light" w:eastAsia="Gotham Light" w:hAnsi="Gotham Light" w:cs="Gotham Light"/>
          <w:b/>
          <w:bCs/>
          <w:sz w:val="20"/>
          <w:szCs w:val="20"/>
        </w:rPr>
        <w:t>Programa de Apoyo a la Identidad de Género</w:t>
      </w:r>
    </w:p>
    <w:p w14:paraId="163BEF05" w14:textId="77777777" w:rsidR="000548E6" w:rsidRDefault="000548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Gotham Light" w:eastAsia="Gotham Light" w:hAnsi="Gotham Light" w:cs="Gotham Light"/>
          <w:color w:val="000000"/>
          <w:sz w:val="20"/>
          <w:szCs w:val="20"/>
        </w:rPr>
      </w:pPr>
    </w:p>
    <w:p w14:paraId="144D4BFD" w14:textId="77777777" w:rsidR="000548E6" w:rsidRDefault="00000000">
      <w:pPr>
        <w:spacing w:line="240" w:lineRule="auto"/>
        <w:jc w:val="center"/>
        <w:rPr>
          <w:rFonts w:ascii="Gotham Light" w:eastAsia="Gotham Light" w:hAnsi="Gotham Light" w:cs="Gotham Light"/>
          <w:b/>
          <w:bCs/>
          <w:color w:val="000000"/>
          <w:sz w:val="20"/>
          <w:szCs w:val="20"/>
          <w:u w:val="single"/>
        </w:rPr>
      </w:pPr>
      <w:r>
        <w:rPr>
          <w:rFonts w:ascii="Gotham Light" w:eastAsia="Gotham Light" w:hAnsi="Gotham Light" w:cs="Gotham Light"/>
          <w:b/>
          <w:bCs/>
          <w:color w:val="000000"/>
          <w:sz w:val="20"/>
          <w:szCs w:val="20"/>
          <w:u w:val="single"/>
        </w:rPr>
        <w:t>Dirección de Seguridad, Prevención y Participación Ciudadana</w:t>
      </w:r>
    </w:p>
    <w:p w14:paraId="7468F316" w14:textId="77777777" w:rsidR="000548E6" w:rsidRDefault="000548E6">
      <w:pPr>
        <w:spacing w:line="240" w:lineRule="auto"/>
        <w:jc w:val="center"/>
        <w:rPr>
          <w:rFonts w:ascii="Gotham Light" w:eastAsia="Gotham Light" w:hAnsi="Gotham Light" w:cs="Gotham Light"/>
          <w:b/>
          <w:bCs/>
          <w:sz w:val="20"/>
          <w:szCs w:val="20"/>
          <w:u w:val="single"/>
        </w:rPr>
      </w:pPr>
    </w:p>
    <w:p w14:paraId="79428C73" w14:textId="77777777" w:rsidR="000548E6" w:rsidRDefault="000548E6">
      <w:pPr>
        <w:widowControl w:val="0"/>
        <w:rPr>
          <w:rFonts w:ascii="Gotham Light" w:eastAsia="Gotham Light" w:hAnsi="Gotham Light" w:cs="Gotham Light"/>
          <w:sz w:val="20"/>
          <w:szCs w:val="20"/>
        </w:rPr>
      </w:pPr>
    </w:p>
    <w:p w14:paraId="0913028E" w14:textId="77777777" w:rsidR="000548E6" w:rsidRDefault="00000000">
      <w:pPr>
        <w:widowControl w:val="0"/>
        <w:rPr>
          <w:rFonts w:ascii="Gotham Light" w:eastAsia="Gotham Light" w:hAnsi="Gotham Light" w:cs="Gotham Light"/>
          <w:b/>
          <w:bCs/>
          <w:sz w:val="20"/>
          <w:szCs w:val="20"/>
        </w:rPr>
      </w:pPr>
      <w:r>
        <w:rPr>
          <w:rFonts w:ascii="Gotham Light" w:eastAsia="Gotham Light" w:hAnsi="Gotham Light" w:cs="Gotham Light"/>
          <w:b/>
          <w:bCs/>
          <w:sz w:val="20"/>
          <w:szCs w:val="20"/>
        </w:rPr>
        <w:t>Monto asignado para esta compra: $434.880</w:t>
      </w:r>
    </w:p>
    <w:p w14:paraId="3955AEEB" w14:textId="77777777" w:rsidR="000548E6" w:rsidRDefault="00000000">
      <w:pPr>
        <w:jc w:val="both"/>
        <w:rPr>
          <w:rFonts w:ascii="Gotham Light" w:eastAsia="Gotham Light" w:hAnsi="Gotham Light" w:cs="Gotham Light"/>
          <w:b/>
          <w:bCs/>
          <w:color w:val="000000"/>
          <w:sz w:val="20"/>
          <w:szCs w:val="20"/>
        </w:rPr>
      </w:pPr>
      <w:r>
        <w:rPr>
          <w:rFonts w:ascii="Gotham Light" w:eastAsia="Gotham Light" w:hAnsi="Gotham Light" w:cs="Gotham Light"/>
          <w:b/>
          <w:bCs/>
          <w:color w:val="000000"/>
          <w:sz w:val="20"/>
          <w:szCs w:val="20"/>
        </w:rPr>
        <w:t xml:space="preserve">Cuenta complementaria: N° </w:t>
      </w:r>
      <w:r>
        <w:rPr>
          <w:rFonts w:ascii="Gotham Light" w:eastAsia="Gotham Light" w:hAnsi="Gotham Light" w:cs="Gotham Light"/>
          <w:b/>
          <w:bCs/>
          <w:sz w:val="20"/>
          <w:szCs w:val="20"/>
        </w:rPr>
        <w:t>114-05-15-072</w:t>
      </w:r>
      <w:r>
        <w:rPr>
          <w:rFonts w:ascii="Gotham Light" w:eastAsia="Gotham Light" w:hAnsi="Gotham Light" w:cs="Gotham Light"/>
          <w:b/>
          <w:bCs/>
          <w:color w:val="000000"/>
          <w:sz w:val="20"/>
          <w:szCs w:val="20"/>
        </w:rPr>
        <w:t xml:space="preserve">  </w:t>
      </w:r>
    </w:p>
    <w:p w14:paraId="27244317" w14:textId="77777777" w:rsidR="000548E6" w:rsidRDefault="00000000">
      <w:pPr>
        <w:jc w:val="both"/>
        <w:rPr>
          <w:rFonts w:ascii="Gotham Light" w:eastAsia="Gotham Light" w:hAnsi="Gotham Light" w:cs="Gotham Light"/>
          <w:b/>
          <w:bCs/>
          <w:color w:val="000000"/>
          <w:sz w:val="20"/>
          <w:szCs w:val="20"/>
        </w:rPr>
      </w:pPr>
      <w:r>
        <w:rPr>
          <w:rFonts w:ascii="Gotham Light" w:eastAsia="Gotham Light" w:hAnsi="Gotham Light" w:cs="Gotham Light"/>
          <w:b/>
          <w:bCs/>
          <w:color w:val="000000"/>
          <w:sz w:val="20"/>
          <w:szCs w:val="20"/>
        </w:rPr>
        <w:t>cuenta cte. Cuenta Corriente N° 123-77058</w:t>
      </w:r>
    </w:p>
    <w:p w14:paraId="352E9B67" w14:textId="77777777" w:rsidR="000548E6" w:rsidRDefault="00000000">
      <w:pPr>
        <w:widowControl w:val="0"/>
        <w:rPr>
          <w:rFonts w:ascii="Gotham Light" w:eastAsia="Gotham Light" w:hAnsi="Gotham Light" w:cs="Gotham Light"/>
          <w:b/>
          <w:bCs/>
          <w:sz w:val="20"/>
          <w:szCs w:val="20"/>
        </w:rPr>
      </w:pPr>
      <w:bookmarkStart w:id="1" w:name="_heading=h.ax2g77dpprf1" w:colFirst="0" w:colLast="0"/>
      <w:bookmarkEnd w:id="1"/>
      <w:r>
        <w:rPr>
          <w:rFonts w:ascii="Gotham Light" w:eastAsia="Gotham Light" w:hAnsi="Gotham Light" w:cs="Gotham Light"/>
          <w:b/>
          <w:bCs/>
          <w:sz w:val="20"/>
          <w:szCs w:val="20"/>
        </w:rPr>
        <w:t>Ítem: 1.4.1.5 Material didáctico y educativo</w:t>
      </w:r>
    </w:p>
    <w:p w14:paraId="580C9449" w14:textId="77777777" w:rsidR="000548E6" w:rsidRDefault="000548E6">
      <w:pPr>
        <w:widowControl w:val="0"/>
        <w:rPr>
          <w:rFonts w:ascii="Gotham Light" w:eastAsia="Gotham Light" w:hAnsi="Gotham Light" w:cs="Gotham Light"/>
          <w:b/>
          <w:bCs/>
          <w:sz w:val="20"/>
          <w:szCs w:val="20"/>
        </w:rPr>
      </w:pPr>
    </w:p>
    <w:p w14:paraId="75A19480" w14:textId="77777777" w:rsidR="000548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eastAsia="Gotham Light" w:hAnsi="Gotham Light" w:cs="Gotham Light"/>
          <w:sz w:val="20"/>
          <w:szCs w:val="20"/>
        </w:rPr>
      </w:pPr>
      <w:r>
        <w:rPr>
          <w:rFonts w:ascii="Gotham Light" w:eastAsia="Gotham Light" w:hAnsi="Gotham Light" w:cs="Gotham Light"/>
          <w:b/>
          <w:bCs/>
          <w:sz w:val="20"/>
          <w:szCs w:val="20"/>
        </w:rPr>
        <w:t xml:space="preserve">Justificación: </w:t>
      </w:r>
      <w:r>
        <w:rPr>
          <w:rFonts w:ascii="Gotham Light" w:eastAsia="Gotham Light" w:hAnsi="Gotham Light" w:cs="Gotham Light"/>
          <w:sz w:val="20"/>
          <w:szCs w:val="20"/>
        </w:rPr>
        <w:t xml:space="preserve">Se requiere la adquisición de material lúdico y didáctico para fortalecer las estrategias de intervención del programa, facilitando el desarrollo de atenciones individuales y familiares, talleres, encuentros de NNA y sus familias, ferias de servicios y otras actividades comunitarias. Estos recursos permitirán favorecer la participación, expresión, interacción y aprendizaje mediante metodologías dinámicas, adecuadas a las distintas edades y espacios a utilizar. Asimismo, se considera material de estimulación y regulación sensorial para las atenciones individuales, con el propósito de disponer de recursos que faciliten la concentración, exploración y autorregulación durante el proceso de acompañamiento. </w:t>
      </w:r>
    </w:p>
    <w:p w14:paraId="52CAE67D" w14:textId="77777777" w:rsidR="000548E6" w:rsidRDefault="000548E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eastAsia="Gotham Light" w:hAnsi="Gotham Light" w:cs="Gotham Light"/>
          <w:sz w:val="20"/>
          <w:szCs w:val="20"/>
        </w:rPr>
      </w:pPr>
    </w:p>
    <w:p w14:paraId="4CF92A24" w14:textId="77777777" w:rsidR="000548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Gotham Light" w:eastAsia="Gotham Light" w:hAnsi="Gotham Light" w:cs="Gotham Light"/>
          <w:sz w:val="20"/>
          <w:szCs w:val="20"/>
        </w:rPr>
      </w:pPr>
      <w:r>
        <w:rPr>
          <w:rFonts w:ascii="Gotham Light" w:eastAsia="Gotham Light" w:hAnsi="Gotham Light" w:cs="Gotham Light"/>
          <w:sz w:val="20"/>
          <w:szCs w:val="20"/>
        </w:rPr>
        <w:t>Estas deben ser despachadas a Obispo Manuel Umaña #159, previa coordinación con Lucas Inostroza +56 9 42220920</w:t>
      </w:r>
    </w:p>
    <w:p w14:paraId="0DD29407" w14:textId="77777777" w:rsidR="000548E6" w:rsidRDefault="000548E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eastAsia="Gotham Light" w:hAnsi="Gotham Light" w:cs="Gotham Light"/>
          <w:sz w:val="20"/>
          <w:szCs w:val="20"/>
        </w:rPr>
      </w:pPr>
    </w:p>
    <w:tbl>
      <w:tblPr>
        <w:tblStyle w:val="a"/>
        <w:tblW w:w="12715" w:type="dxa"/>
        <w:tblInd w:w="180" w:type="dxa"/>
        <w:tblLayout w:type="fixed"/>
        <w:tblLook w:val="0400" w:firstRow="0" w:lastRow="0" w:firstColumn="0" w:lastColumn="0" w:noHBand="0" w:noVBand="1"/>
      </w:tblPr>
      <w:tblGrid>
        <w:gridCol w:w="2880"/>
        <w:gridCol w:w="4306"/>
        <w:gridCol w:w="1418"/>
        <w:gridCol w:w="4111"/>
      </w:tblGrid>
      <w:tr w:rsidR="004523C9" w14:paraId="4F1A8513" w14:textId="77777777" w:rsidTr="004523C9">
        <w:trPr>
          <w:trHeight w:val="647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8810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  <w:t>Producto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1BE81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2F694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  <w:t>Foto</w:t>
            </w:r>
          </w:p>
        </w:tc>
      </w:tr>
      <w:tr w:rsidR="004523C9" w14:paraId="54DDC852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06A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de habilidad y equilibrio con bloques de madera de gran tamaño</w:t>
            </w:r>
          </w:p>
          <w:p w14:paraId="2FBC7CA7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D06E4C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54 bloques de madera.</w:t>
            </w:r>
          </w:p>
          <w:p w14:paraId="3C83F63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Dimensiones: 6,5 × 19,5 × 4,1 cm cada bloque.</w:t>
            </w:r>
          </w:p>
          <w:p w14:paraId="2D899E4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pino seco cepillado.</w:t>
            </w:r>
          </w:p>
          <w:p w14:paraId="138A052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bloques apilables para construcción, extracción y equilibrio en torre.</w:t>
            </w:r>
          </w:p>
          <w:p w14:paraId="30F375B7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Accesorios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bolso de transporte.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C633" w14:textId="77777777" w:rsidR="004523C9" w:rsidRDefault="004523C9">
            <w:pPr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3681B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32D88011" wp14:editId="36B5E890">
                  <wp:extent cx="566785" cy="1782498"/>
                  <wp:effectExtent l="0" t="0" r="0" b="0"/>
                  <wp:docPr id="26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85" cy="1782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6217F34A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DCE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de habilidad y equilibrio con bloques de madera a color</w:t>
            </w:r>
          </w:p>
          <w:p w14:paraId="47DAB34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C1CD807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54 bloques de madera de colores.</w:t>
            </w:r>
          </w:p>
          <w:p w14:paraId="69985C9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altura aproximada de 27 cm.</w:t>
            </w:r>
          </w:p>
          <w:p w14:paraId="1524AA6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madera pintada.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91472" w14:textId="77777777" w:rsidR="004523C9" w:rsidRDefault="004523C9">
            <w:pP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BDC1B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7BA7B4B9" wp14:editId="6BCD2A4B">
                  <wp:extent cx="1533525" cy="1536700"/>
                  <wp:effectExtent l="0" t="0" r="0" b="0"/>
                  <wp:docPr id="1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3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09273844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44E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Juego didáctico de habilidad y equilibrio para construcción y apilamiento de bloques</w:t>
            </w:r>
          </w:p>
          <w:p w14:paraId="02A96F1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918AEE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</w:p>
          <w:p w14:paraId="02F9FDE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64 bloques de construcción de diferentes formas, 22 cartas de desafío/instrucciones y 1 base de apoyo.</w:t>
            </w:r>
          </w:p>
          <w:p w14:paraId="4B8E63AE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Material: bloques de material plástico resistente, tarjetas impresas y base de apoyo.</w:t>
            </w:r>
          </w:p>
          <w:p w14:paraId="3092DF1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juego de habilidad manual, equilibrio y construcción, orientado al desarrollo de coordinación óculo-manual, concentración, conciencia espacial y resolución de problemas.</w:t>
            </w:r>
          </w:p>
          <w:p w14:paraId="0D85F7F0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Componentes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64 bloques, 22 cartas y 1 base.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5F98" w14:textId="77777777" w:rsidR="004523C9" w:rsidRDefault="004523C9">
            <w:pP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FA69A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38DC80A6" wp14:editId="7E402E74">
                  <wp:extent cx="1619250" cy="1714500"/>
                  <wp:effectExtent l="0" t="0" r="0" b="0"/>
                  <wp:docPr id="1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71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57655AFE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45C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de habilidad y equilibrio para construcción y mantención de una torre con bolitas esponjosas.</w:t>
            </w:r>
          </w:p>
          <w:p w14:paraId="45CF71D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24EB4F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Componentes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95 bolitas esponjosas de colores, 30 cartas de desafío y color, 1 pinza de precisión, 1 recipiente plástico con tapa/plataforma y 1 reglamento.</w:t>
            </w:r>
          </w:p>
          <w:p w14:paraId="6082727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bolitas de fibras textiles/esponjosas, tarjetas impresas, pinza y recipiente plástico.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DA17D" w14:textId="77777777" w:rsidR="004523C9" w:rsidRDefault="004523C9">
            <w:pP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E537B" w14:textId="77777777" w:rsidR="004523C9" w:rsidRDefault="004523C9">
            <w:pPr>
              <w:jc w:val="center"/>
              <w:rPr>
                <w:rFonts w:ascii="Gotham Light" w:eastAsia="Gotham Light" w:hAnsi="Gotham Light" w:cs="Gotham Light"/>
                <w:b/>
                <w:bCs/>
                <w:sz w:val="20"/>
                <w:szCs w:val="20"/>
              </w:rPr>
            </w:pPr>
            <w:r>
              <w:rPr>
                <w:rFonts w:ascii="Gotham Light" w:eastAsia="Gotham Light" w:hAnsi="Gotham Light" w:cs="Gotham Light"/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7F430349" wp14:editId="48E1FE21">
                  <wp:extent cx="1619250" cy="1625600"/>
                  <wp:effectExtent l="0" t="0" r="0" b="0"/>
                  <wp:docPr id="28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2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6BC1E2B1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9CC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Ruleta didáctica giratoria de premios y actividades</w:t>
            </w:r>
          </w:p>
          <w:p w14:paraId="236BB50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60D41A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rueda giratoria con 10 divisiones personalizables para premios, desafíos, preguntas, turnos o actividades.</w:t>
            </w:r>
          </w:p>
          <w:p w14:paraId="759CC1F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diámetro de 30 cm; altura total aproximada de 42,9 cm; base de 16 cm.</w:t>
            </w:r>
          </w:p>
          <w:p w14:paraId="19CAFFC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superficie reutilizable para escritura y borrado, con base de apoyo estable.</w:t>
            </w:r>
          </w:p>
          <w:p w14:paraId="1BC301F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rueda giratoria de sobremesa con puntero superior.</w:t>
            </w:r>
          </w:p>
          <w:p w14:paraId="232EE23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Accesorios: marcador y borrador.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BD2F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5A7B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0DF2682" wp14:editId="2BD51FFF">
                  <wp:extent cx="1757428" cy="1477838"/>
                  <wp:effectExtent l="0" t="0" r="0" b="0"/>
                  <wp:docPr id="25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428" cy="1477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1908CF12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A17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Dado didáctico gigante de espuma de seis caras con numeración.</w:t>
            </w:r>
          </w:p>
          <w:p w14:paraId="3399A4D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8562FB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20 × 20 × 20 cm.</w:t>
            </w:r>
          </w:p>
          <w:p w14:paraId="0D7238C2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espuma flexible y liviana.</w:t>
            </w:r>
          </w:p>
          <w:p w14:paraId="71F82EC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dado de gran tamaño para actividades grupales, juegos y dinámicas educativas.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AE37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FE20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A393A27" wp14:editId="7078ACB4">
                  <wp:extent cx="1533525" cy="1562100"/>
                  <wp:effectExtent l="0" t="0" r="0" b="0"/>
                  <wp:docPr id="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4ABBABFA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96E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Juego didáctico de estrategia y razonamiento magnético</w:t>
            </w:r>
          </w:p>
          <w:p w14:paraId="523683B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069101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20 piezas magnéticas esféricas y tablero de juego.</w:t>
            </w:r>
          </w:p>
          <w:p w14:paraId="299AAA0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tablero de 21 × 21 cm aprox.</w:t>
            </w:r>
          </w:p>
          <w:p w14:paraId="2D78C0EE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piezas magnéticas y tablero de plástico ABS.</w:t>
            </w:r>
          </w:p>
          <w:p w14:paraId="0C8E38C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juego de estrategia y habilidad para 2 o más participantes, con bolsa de almacenamiento.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46390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7CB2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0865A9E" wp14:editId="1D4F4886">
                  <wp:extent cx="1466850" cy="1600200"/>
                  <wp:effectExtent l="0" t="0" r="0" b="0"/>
                  <wp:docPr id="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l="4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1E06A180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1849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Set didáctico de pelotas multi-deporte</w:t>
            </w:r>
          </w:p>
          <w:p w14:paraId="470773F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3F96510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4 pelotas suaves, correspondientes a rugby, básquetbol, fútbol y béisbol.</w:t>
            </w:r>
          </w:p>
          <w:p w14:paraId="11A6DA7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3 pulgadas de diámetro aprox. cada pelota.</w:t>
            </w:r>
          </w:p>
          <w:p w14:paraId="49182E9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cubierta de PVC y relleno de lana PET.</w:t>
            </w:r>
          </w:p>
          <w:p w14:paraId="3FC15B5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set de pelotas blandas para actividades físicas, recreativas y de coordinación motriz.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AAD7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ECC3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059E1074" wp14:editId="1BE9E877">
                  <wp:extent cx="1676400" cy="1562100"/>
                  <wp:effectExtent l="0" t="0" r="0" b="0"/>
                  <wp:docPr id="2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1B755C2A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E68D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Set de pelotas inflables de goma</w:t>
            </w:r>
          </w:p>
          <w:p w14:paraId="49B9DD6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A704AE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5 pelotas inflables.</w:t>
            </w:r>
          </w:p>
          <w:p w14:paraId="40F580F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14 cm de diámetro aprox. cada pelota.</w:t>
            </w:r>
          </w:p>
          <w:p w14:paraId="25624F7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goma flexible.</w:t>
            </w:r>
          </w:p>
          <w:p w14:paraId="478E5A3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pelotas para actividades recreativas, físicas y de coordinación motriz.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90591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BE17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787EB27" wp14:editId="345533C6">
                  <wp:extent cx="1533525" cy="1638300"/>
                  <wp:effectExtent l="0" t="0" r="0" b="0"/>
                  <wp:docPr id="27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3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0E137A7A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68A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de puntería con diana y pelotas de velcro</w:t>
            </w:r>
          </w:p>
          <w:p w14:paraId="1A84039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58A918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diana de puntería y pelotas con sistema de adherencia de velcro.</w:t>
            </w:r>
          </w:p>
          <w:p w14:paraId="3FFE79F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diana 30 cm de diámetro aprox.</w:t>
            </w:r>
          </w:p>
          <w:p w14:paraId="2099B71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superficie textil con velcro y pelotas blandas.</w:t>
            </w:r>
          </w:p>
          <w:p w14:paraId="44110C2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juego de puntería y coordinación óculo-manual para actividades recreativas y grupales.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CDDA2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BFE5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43B00F77" wp14:editId="544E2E95">
                  <wp:extent cx="1502585" cy="1591627"/>
                  <wp:effectExtent l="0" t="0" r="0" b="0"/>
                  <wp:docPr id="1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l="16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585" cy="15916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4A773583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5C5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Juego De Expresión Cubo Cambia De Cara</w:t>
            </w:r>
          </w:p>
          <w:p w14:paraId="053903B2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74F7CD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16 bloques de madera, tarjetas e instructivo.</w:t>
            </w:r>
          </w:p>
          <w:p w14:paraId="3F74E7E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Accesorios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Campana/ timbre</w:t>
            </w:r>
          </w:p>
          <w:p w14:paraId="02F21BF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D283E7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D2EB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F941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65DE89D" wp14:editId="6BB1AABF">
                  <wp:extent cx="1533525" cy="1257300"/>
                  <wp:effectExtent l="0" t="0" r="0" b="0"/>
                  <wp:docPr id="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3CAAB68D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C90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Set de aros didácticos para actividad física</w:t>
            </w:r>
          </w:p>
          <w:p w14:paraId="4EC883E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D7932DE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5 aros tipo ula-ula.</w:t>
            </w:r>
          </w:p>
          <w:p w14:paraId="2DA17BD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70 cm de diámetro aprox. cada aro.</w:t>
            </w:r>
          </w:p>
          <w:p w14:paraId="2717BC7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plástico flexible y resistente.</w:t>
            </w:r>
          </w:p>
          <w:p w14:paraId="54A7171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aros para actividades físicas, recreativas y de coordinación motriz.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EE8F0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66FB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19F047D1" wp14:editId="31FFDC17">
                  <wp:extent cx="1533525" cy="1028700"/>
                  <wp:effectExtent l="0" t="0" r="0" b="0"/>
                  <wp:docPr id="1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088B4FFC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135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Set de aros planos para circuitos de coordinación</w:t>
            </w:r>
          </w:p>
          <w:p w14:paraId="7535D64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D6B9AE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10 aros planos de colores variados y conectores de plástico.</w:t>
            </w:r>
          </w:p>
          <w:p w14:paraId="14222952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38 cm de diámetro aprox. cada aro.</w:t>
            </w:r>
          </w:p>
          <w:p w14:paraId="7D97F85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plástico resistente y flexible.</w:t>
            </w:r>
          </w:p>
          <w:p w14:paraId="4A20163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aros planos con sistema de conexión para armado de circuitos y estaciones de coordinación.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6E16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85B0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FAB3CEA" wp14:editId="274CBFB1">
                  <wp:extent cx="1533525" cy="1193800"/>
                  <wp:effectExtent l="0" t="0" r="0" b="0"/>
                  <wp:docPr id="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F5AA19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4662A53E" wp14:editId="516A215A">
                  <wp:extent cx="1533525" cy="143510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3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452F3534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8344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Kit didáctico de estimulación sensorial</w:t>
            </w:r>
          </w:p>
          <w:p w14:paraId="7B4AC82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EECA49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6 elementos sensoriales: 3 cubos de gel, 1 pelota squishy texturizada, 1 figura squishy con relleno de Orbeez y 1 pelota de Orbeez con malla.</w:t>
            </w:r>
          </w:p>
          <w:p w14:paraId="5773A9A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cubos de gel de 5 cm aprox.</w:t>
            </w:r>
          </w:p>
          <w:p w14:paraId="0B4008F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gel flexible, materiales squishy y elementos de Orbeez.</w:t>
            </w:r>
          </w:p>
          <w:p w14:paraId="32A4C66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set de elementos táctiles de diferentes texturas, formas y consistencias para actividades de estimulación sensorial.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BE249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F524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F8E4DC3" wp14:editId="414A2A66">
                  <wp:extent cx="1676400" cy="1193800"/>
                  <wp:effectExtent l="0" t="0" r="0" b="0"/>
                  <wp:docPr id="1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53BA79A9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DE8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Cubo sensorial de manipulación 6 en 1</w:t>
            </w:r>
          </w:p>
          <w:p w14:paraId="381E150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519463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Contenido: 4 cubos sensoriales con 6 mecanismos de manipulación diferentes.</w:t>
            </w:r>
          </w:p>
          <w:p w14:paraId="65A6BCC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Material: plástico resistente.</w:t>
            </w:r>
          </w:p>
          <w:p w14:paraId="48A555F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Formato: cubo de manipulación táctil con funciones de presión, giro, deslizamiento y activación de mecanismos.</w:t>
            </w:r>
          </w:p>
          <w:p w14:paraId="09DEE01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Uso: recurso sensorial para favorecer la concentración, regulación y descarga de tensión.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58AE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A519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5496EEF" wp14:editId="7D31A588">
                  <wp:extent cx="1676400" cy="1892300"/>
                  <wp:effectExtent l="0" t="0" r="0" b="0"/>
                  <wp:docPr id="2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89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2E92544E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307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Set de varillas sensoriales flexibles con texturas</w:t>
            </w:r>
          </w:p>
          <w:p w14:paraId="548250E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666513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Contenido: 8 varillas sensoriales con diferentes texturas y colores.</w:t>
            </w:r>
          </w:p>
          <w:p w14:paraId="3E464D4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Dimensiones: 25 cm de largo y 0,87 cm de diámetro aprox. cada varilla.</w:t>
            </w:r>
          </w:p>
          <w:p w14:paraId="2A103DC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Material: silicona flexible y suave al tacto.</w:t>
            </w:r>
          </w:p>
          <w:p w14:paraId="4C1F5EC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Formato: varillas flexibles para doblar, enrollar, torcer y moldear, orientadas a exploración táctil y coordinación manual.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3BD73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589C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4A84305" wp14:editId="76201751">
                  <wp:extent cx="1676400" cy="1714500"/>
                  <wp:effectExtent l="0" t="0" r="0" b="0"/>
                  <wp:docPr id="24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71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564E301C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031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Set de bolas sensoriales magnéticas</w:t>
            </w:r>
          </w:p>
          <w:p w14:paraId="5AB8392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875AF6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6 bolas sensoriales magnéticas con distintos tipos de texturas.</w:t>
            </w:r>
          </w:p>
          <w:p w14:paraId="05D64C7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silicona suave y flexible, con imanes internos.</w:t>
            </w:r>
          </w:p>
          <w:p w14:paraId="094079D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bolas táctiles magnéticas para manipulación, exploración sensorial y actividades de concentración.</w:t>
            </w:r>
          </w:p>
          <w:p w14:paraId="098E728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Accesorio: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Estuche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BE3C8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768DA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482B6C0C" wp14:editId="44DCD84F">
                  <wp:extent cx="1676400" cy="1117600"/>
                  <wp:effectExtent l="0" t="0" r="0" b="0"/>
                  <wp:docPr id="23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1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41A79F3E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95D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Juguete sensorial de malla 3D expandible</w:t>
            </w:r>
          </w:p>
          <w:p w14:paraId="48BA042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33DD68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Contenido: 1 juguete sensorial de malla 3D.</w:t>
            </w:r>
          </w:p>
          <w:p w14:paraId="165B159E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Material: plástico flexible y resistente.</w:t>
            </w:r>
          </w:p>
          <w:p w14:paraId="3F59007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Formato: estructura de malla expandible, flexible y compresible para manipulación y estimulación táctil.</w:t>
            </w:r>
          </w:p>
          <w:p w14:paraId="5473228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Color: surtido, según disponibilidad.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89D3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F431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7632145" wp14:editId="61003459">
                  <wp:extent cx="1676400" cy="1079500"/>
                  <wp:effectExtent l="0" t="0" r="0" b="0"/>
                  <wp:docPr id="10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79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64049DC9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E42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Caja de juguetes sensoriales con texturas y mecanismos</w:t>
            </w:r>
          </w:p>
          <w:p w14:paraId="2901120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91D149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selección de 16 juguetes sensoriales que incluya clickers, tangle, fideos estirables de silicona, cubo de gel squishy y otros elementos de diferentes texturas y mecanismos.</w:t>
            </w:r>
          </w:p>
          <w:p w14:paraId="5BABEFB2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silicona, plástico flexible, gel y materiales de distintas texturas.</w:t>
            </w:r>
          </w:p>
          <w:p w14:paraId="6E176FC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caja o set de elementos sensoriales variados para manipulación, estimulación táctil y coordinación manual.</w:t>
            </w:r>
          </w:p>
          <w:p w14:paraId="1427352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Consideración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: no incluir juguetes tipo Pop It, mordedores, o bandas para asiento, únicamente de manipulación manual. </w:t>
            </w:r>
          </w:p>
          <w:p w14:paraId="3F2DE9C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Accesorio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Caja plastica pequeña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DAF36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350E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FE523D4" wp14:editId="749C72A0">
                  <wp:extent cx="1676400" cy="1435100"/>
                  <wp:effectExtent l="0" t="0" r="0" b="0"/>
                  <wp:docPr id="1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43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F340AA" w14:textId="77777777" w:rsidR="004523C9" w:rsidRDefault="004523C9">
            <w:pPr>
              <w:spacing w:line="240" w:lineRule="auto"/>
              <w:ind w:hanging="2"/>
            </w:pPr>
          </w:p>
        </w:tc>
      </w:tr>
      <w:tr w:rsidR="004523C9" w14:paraId="6156C368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14A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Atril caballete de madera ajustable</w:t>
            </w:r>
          </w:p>
          <w:p w14:paraId="6FF3A62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139412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 atril tipo caballete.</w:t>
            </w:r>
          </w:p>
          <w:p w14:paraId="3C85C7C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altura regulable hasta 1,50 m aprox.</w:t>
            </w:r>
          </w:p>
          <w:p w14:paraId="734E80F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madera resistente.</w:t>
            </w:r>
          </w:p>
          <w:p w14:paraId="25B7B71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estructura tipo caballete ajustable para soporte de láminas, carteles, pizarras o material gráfico.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C78B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755F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0E65292" wp14:editId="0EFA7AFE">
                  <wp:extent cx="1533525" cy="1562100"/>
                  <wp:effectExtent l="0" t="0" r="0" b="0"/>
                  <wp:docPr id="2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3088DFAC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5D6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Bastidor de madera con lienzo</w:t>
            </w:r>
          </w:p>
          <w:p w14:paraId="2872EC1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BD9217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 bastidor de madera con lienzo de tela blanca.</w:t>
            </w:r>
          </w:p>
          <w:p w14:paraId="33E6125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60 × 90 cm.</w:t>
            </w:r>
          </w:p>
          <w:p w14:paraId="1C5AAFA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estructura de madera y lienzo de tela.</w:t>
            </w:r>
          </w:p>
          <w:p w14:paraId="5E128DC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bastidor rectangular para pintura y actividades artísticas.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54CBB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C0CB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A4D0E7B" wp14:editId="393164F8">
                  <wp:extent cx="1533525" cy="1790700"/>
                  <wp:effectExtent l="0" t="0" r="0" b="0"/>
                  <wp:docPr id="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79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2ABDDB1A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9E9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Pizarra blanca</w:t>
            </w:r>
          </w:p>
          <w:p w14:paraId="3C4660F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30300ED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 pizarra de superficie blanca para escritura con marcador borrable.</w:t>
            </w:r>
          </w:p>
          <w:p w14:paraId="55478772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60 × 90 cm.</w:t>
            </w:r>
          </w:p>
          <w:p w14:paraId="34240A4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superficie blanca de fácil limpieza y marco resistente.</w:t>
            </w:r>
          </w:p>
          <w:p w14:paraId="65AB859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pizarra rectangular para actividades educativas, reuniones y dinámicas grupales.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8B84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74CE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6FB413B" wp14:editId="600244AE">
                  <wp:extent cx="1533525" cy="1079500"/>
                  <wp:effectExtent l="0" t="0" r="0" b="0"/>
                  <wp:docPr id="20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079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198119FA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4D3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Pizarra magnética escolar</w:t>
            </w:r>
          </w:p>
          <w:p w14:paraId="0B1EDA0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99E1EB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 pizarra magnética de superficie blanca.</w:t>
            </w:r>
          </w:p>
          <w:p w14:paraId="020D683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35,5 × 28 cm.</w:t>
            </w:r>
          </w:p>
          <w:p w14:paraId="5762D02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pizarra portátil para escritura y uso con elementos magnéticos.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761E7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E5EB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211B5A8" wp14:editId="0C72BDD5">
                  <wp:extent cx="1533525" cy="19939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99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336DAA57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E48BE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sobre Educación Sexual Integral</w:t>
            </w:r>
          </w:p>
          <w:p w14:paraId="6CC947F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0DB79C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</w:p>
          <w:p w14:paraId="7EDB51B4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Tarjetas didácticas sobre roles de género, habilidades sociales, conducta sexual, salud sexual y reproductiva.</w:t>
            </w:r>
          </w:p>
          <w:p w14:paraId="3EDA701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Edad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desde los 13 años.</w:t>
            </w:r>
          </w:p>
          <w:p w14:paraId="5D0BC20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10 × 9 × 2 cm aprox.</w:t>
            </w:r>
          </w:p>
          <w:p w14:paraId="271E866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set de tarjetas impresas a color, con estuche/caja.</w:t>
            </w:r>
          </w:p>
          <w:p w14:paraId="5917797B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: tarjetas de papel, cartulina y/o cartón de gramaje adecuado para uso reiterado.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C4FE1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FA63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8E95904" wp14:editId="1B08B09E">
                  <wp:extent cx="1707731" cy="1245639"/>
                  <wp:effectExtent l="0" t="0" r="0" b="0"/>
                  <wp:docPr id="1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731" cy="12456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29AC2C24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A78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sobre género, masculinidades y diversidades sexuales</w:t>
            </w:r>
          </w:p>
          <w:p w14:paraId="79245476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1C9325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</w:p>
          <w:p w14:paraId="1E9C4C9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40 tarjetas con preguntas y situaciones sobre género, masculinidades, diversidades sexuales y construcción de relaciones inclusivas.</w:t>
            </w:r>
          </w:p>
          <w:p w14:paraId="6D32ACF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Edad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desde los 12 años.</w:t>
            </w:r>
          </w:p>
          <w:p w14:paraId="4C22A9D1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Dimensiones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tarjetas de 10 × 15 cm; caja de 10 × 15 × 5 cm.</w:t>
            </w:r>
          </w:p>
          <w:p w14:paraId="68D99D5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set de 40 tarjetas impresas a color, con caja/estuche.</w:t>
            </w:r>
          </w:p>
          <w:p w14:paraId="7F766B2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tarjetas de papel couché de 200 g, polilaminado mate; caja de cartulina RB de 225 g.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6864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3F6E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76C5FC9" wp14:editId="53A3794F">
                  <wp:extent cx="1533525" cy="2260600"/>
                  <wp:effectExtent l="0" t="0" r="0" b="0"/>
                  <wp:docPr id="7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226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3896F862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1800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Juego de naipes sobre roles y estereotipos de género</w:t>
            </w:r>
          </w:p>
          <w:p w14:paraId="4973974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2808D5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</w:p>
          <w:p w14:paraId="48BAFBB3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Tarjetas con afirmaciones y situaciones relacionadas con roles tradicionales y estereotipos de género, incluyendo tarjetas de respuesta tipo Sí, No y Depende.</w:t>
            </w:r>
          </w:p>
          <w:p w14:paraId="4856EBC0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Edad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desde los 13 años.</w:t>
            </w:r>
          </w:p>
          <w:p w14:paraId="499F09E7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set de naipes impresos a color, destinado al uso grupal y reflexión colectiva.</w:t>
            </w:r>
          </w:p>
          <w:p w14:paraId="754BC4FF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tarjetas de papel, cartulina y/o cartón de gramaje adecuado para uso reiterado.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161EB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B5635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4171BCFE" wp14:editId="436C2853">
                  <wp:extent cx="1533525" cy="1879600"/>
                  <wp:effectExtent l="0" t="0" r="0" b="0"/>
                  <wp:docPr id="6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87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74230C8D" w14:textId="77777777" w:rsidTr="004523C9">
        <w:trPr>
          <w:trHeight w:val="1901"/>
        </w:trPr>
        <w:tc>
          <w:tcPr>
            <w:tcW w:w="7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AC3C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Juego didáctico sobre Educación Sexual Integral y afectiva</w:t>
            </w:r>
          </w:p>
          <w:p w14:paraId="77B32B19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F894BD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Contenido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</w:p>
          <w:p w14:paraId="412FC81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Trivia de 71 preguntas sobre Educación Sexual Integral, organizada en las categorías Amor y Erotismo, Prevención, Cuerpo, Género y Debate. Incluye respuestas para cada pregunta.</w:t>
            </w:r>
          </w:p>
          <w:p w14:paraId="611B97F5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Edad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desde los 11 años.</w:t>
            </w:r>
          </w:p>
          <w:p w14:paraId="7AA17308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Formato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juego de cartas para 2 o más participantes, con manual de instrucciones y respuestas.</w:t>
            </w:r>
          </w:p>
          <w:p w14:paraId="1EC702BA" w14:textId="77777777" w:rsidR="004523C9" w:rsidRDefault="004523C9">
            <w:pPr>
              <w:shd w:val="clear" w:color="auto" w:fill="FFFFFF"/>
              <w:spacing w:line="240" w:lineRule="auto"/>
              <w:ind w:right="225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Material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 71 tarjetas impresas a color, de papel, cartulina y/o cartón de gramaje adecuado para uso reiterado.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671F" w14:textId="77777777" w:rsidR="004523C9" w:rsidRDefault="004523C9">
            <w:pPr>
              <w:spacing w:line="240" w:lineRule="auto"/>
              <w:ind w:hanging="2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CDE8" w14:textId="77777777" w:rsidR="004523C9" w:rsidRDefault="004523C9">
            <w:pPr>
              <w:spacing w:line="240" w:lineRule="auto"/>
              <w:ind w:hanging="2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753E001" wp14:editId="57C556C3">
                  <wp:extent cx="1423988" cy="1750667"/>
                  <wp:effectExtent l="0" t="0" r="0" b="0"/>
                  <wp:docPr id="1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17506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3C9" w14:paraId="325A52BE" w14:textId="77777777" w:rsidTr="004523C9">
        <w:trPr>
          <w:gridAfter w:val="3"/>
          <w:wAfter w:w="9835" w:type="dxa"/>
          <w:trHeight w:val="2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49A90" w14:textId="77777777" w:rsidR="004523C9" w:rsidRDefault="004523C9">
            <w:pPr>
              <w:rPr>
                <w:rFonts w:ascii="Gotham Light" w:eastAsia="Gotham Light" w:hAnsi="Gotham Light" w:cs="Gotham Light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E2500FD" w14:textId="77777777" w:rsidR="000548E6" w:rsidRDefault="000548E6">
      <w:pPr>
        <w:rPr>
          <w:rFonts w:ascii="Gotham Light" w:eastAsia="Gotham Light" w:hAnsi="Gotham Light" w:cs="Gotham Light"/>
          <w:sz w:val="20"/>
          <w:szCs w:val="20"/>
        </w:rPr>
      </w:pPr>
    </w:p>
    <w:p w14:paraId="7CA3CC10" w14:textId="77777777" w:rsidR="000548E6" w:rsidRDefault="000548E6">
      <w:pPr>
        <w:spacing w:line="240" w:lineRule="auto"/>
        <w:ind w:hanging="2"/>
        <w:jc w:val="center"/>
        <w:rPr>
          <w:rFonts w:ascii="Gotham Light" w:eastAsia="Gotham Light" w:hAnsi="Gotham Light" w:cs="Gotham Light"/>
          <w:sz w:val="20"/>
          <w:szCs w:val="20"/>
        </w:rPr>
      </w:pPr>
    </w:p>
    <w:sectPr w:rsidR="000548E6">
      <w:pgSz w:w="15840" w:h="12240" w:orient="landscape"/>
      <w:pgMar w:top="425" w:right="720" w:bottom="283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B18126-2E16-49C0-8536-708F988FC611}"/>
  </w:font>
  <w:font w:name="Gotham Ligh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685240-4054-44A4-BA24-6D29FCC937A5}"/>
    <w:embedBold r:id="rId3" w:fontKey="{9848E86A-578E-4062-8188-29211718DF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E0BDC4-1B24-4E93-AFBE-94417F0D69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E6"/>
    <w:rsid w:val="000548E6"/>
    <w:rsid w:val="004523C9"/>
    <w:rsid w:val="00B6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DEDCB"/>
  <w15:docId w15:val="{CB15ABF6-BC6E-4598-8971-C4C89C01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6nm5iqnsA0O+YFpOsQdH4D80gg==">CgMxLjAyDmguODliOXM3eXo0N25qMg5oLmF4Mmc3N2RwcHJmMTgAciExTTg2ZkpPUDBVU0xfRXRoeDg2UFZybkFIUV9qQi1fcW8=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1564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Castañeda</cp:lastModifiedBy>
  <cp:revision>3</cp:revision>
  <dcterms:created xsi:type="dcterms:W3CDTF">2026-09-23T16:43:00Z</dcterms:created>
  <dcterms:modified xsi:type="dcterms:W3CDTF">2026-09-23T16:44:00Z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026C1F972B2E45FDA8A1B05B85203D96_13</vt:lpwstr>
  </property>
</Properties>
</file>