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4BE99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Tecnología activa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 xml:space="preserve">DACC— </w:t>
      </w:r>
      <w:proofErr w:type="spellStart"/>
      <w:r w:rsidRPr="00F53E28">
        <w:rPr>
          <w:rFonts w:ascii="Calibri" w:hAnsi="Calibri" w:cs="Calibri"/>
          <w:color w:val="000000"/>
          <w:sz w:val="24"/>
          <w:szCs w:val="24"/>
        </w:rPr>
        <w:t>Dialquilcarbamilcloruro</w:t>
      </w:r>
      <w:proofErr w:type="spellEnd"/>
      <w:r w:rsidRPr="00F53E28">
        <w:rPr>
          <w:rFonts w:ascii="Calibri" w:hAnsi="Calibri" w:cs="Calibri"/>
          <w:color w:val="000000"/>
          <w:sz w:val="24"/>
          <w:szCs w:val="24"/>
        </w:rPr>
        <w:t xml:space="preserve"> (mecanismo físico de hidrofobia)</w:t>
      </w:r>
    </w:p>
    <w:p w14:paraId="6610B8BD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Material base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>Malla de acetato impregnada con DACC</w:t>
      </w:r>
    </w:p>
    <w:p w14:paraId="2A8C1D9A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Dimensiones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>7 × 9 cm</w:t>
      </w:r>
    </w:p>
    <w:p w14:paraId="5C5868D9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Función en herida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>Capa de contacto primario (requiere apósito secundario)</w:t>
      </w:r>
    </w:p>
    <w:p w14:paraId="46BB26BF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Nivel de exudado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>Ligero a moderado</w:t>
      </w:r>
    </w:p>
    <w:p w14:paraId="14CA4608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Tipo de herida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>Superficial, cavitada, tunelizada</w:t>
      </w:r>
    </w:p>
    <w:p w14:paraId="2EED4FD0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 xml:space="preserve">Cortable </w:t>
      </w:r>
      <w:proofErr w:type="spellStart"/>
      <w:r w:rsidRPr="00F53E28">
        <w:rPr>
          <w:rFonts w:ascii="Calibri" w:hAnsi="Calibri" w:cs="Calibri"/>
          <w:color w:val="000000"/>
          <w:sz w:val="24"/>
          <w:szCs w:val="24"/>
        </w:rPr>
        <w:t>asépticamentte</w:t>
      </w:r>
      <w:proofErr w:type="spellEnd"/>
      <w:r w:rsidRPr="00F53E28">
        <w:rPr>
          <w:rFonts w:ascii="Calibri" w:hAnsi="Calibri" w:cs="Calibri"/>
          <w:color w:val="000000"/>
          <w:sz w:val="24"/>
          <w:szCs w:val="24"/>
        </w:rPr>
        <w:tab/>
        <w:t>Sí — con tijera estéril, sin comprometer la eficacia DACC</w:t>
      </w:r>
    </w:p>
    <w:p w14:paraId="611BAD29" w14:textId="77777777" w:rsidR="004620EE" w:rsidRPr="00F53E28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Compatible con NPWT: Sí</w:t>
      </w:r>
    </w:p>
    <w:p w14:paraId="7DCEEC7C" w14:textId="77777777" w:rsidR="004620EE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53E28">
        <w:rPr>
          <w:rFonts w:ascii="Calibri" w:hAnsi="Calibri" w:cs="Calibri"/>
          <w:color w:val="000000"/>
          <w:sz w:val="24"/>
          <w:szCs w:val="24"/>
        </w:rPr>
        <w:t>Esterilización</w:t>
      </w:r>
      <w:r w:rsidRPr="00F53E28">
        <w:rPr>
          <w:rFonts w:ascii="Calibri" w:hAnsi="Calibri" w:cs="Calibri"/>
          <w:color w:val="000000"/>
          <w:sz w:val="24"/>
          <w:szCs w:val="24"/>
        </w:rPr>
        <w:tab/>
        <w:t xml:space="preserve">Estéril, uso único (no </w:t>
      </w:r>
      <w:proofErr w:type="spellStart"/>
      <w:r w:rsidRPr="00F53E28">
        <w:rPr>
          <w:rFonts w:ascii="Calibri" w:hAnsi="Calibri" w:cs="Calibri"/>
          <w:color w:val="000000"/>
          <w:sz w:val="24"/>
          <w:szCs w:val="24"/>
        </w:rPr>
        <w:t>resterilizable</w:t>
      </w:r>
      <w:proofErr w:type="spellEnd"/>
      <w:r w:rsidRPr="00F53E28">
        <w:rPr>
          <w:rFonts w:ascii="Calibri" w:hAnsi="Calibri" w:cs="Calibri"/>
          <w:color w:val="000000"/>
          <w:sz w:val="24"/>
          <w:szCs w:val="24"/>
        </w:rPr>
        <w:t>)</w:t>
      </w:r>
      <w:r w:rsidRPr="00F53E28">
        <w:rPr>
          <w:rFonts w:ascii="Calibri" w:hAnsi="Calibri" w:cs="Calibri"/>
          <w:color w:val="000000"/>
          <w:sz w:val="24"/>
          <w:szCs w:val="24"/>
        </w:rPr>
        <w:tab/>
      </w:r>
    </w:p>
    <w:p w14:paraId="06535526" w14:textId="77777777" w:rsidR="004620EE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 xml:space="preserve">Indicaciones en:  </w:t>
      </w:r>
    </w:p>
    <w:p w14:paraId="45F64F46" w14:textId="77777777" w:rsidR="004620EE" w:rsidRPr="00F45CAF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45CAF">
        <w:rPr>
          <w:rFonts w:ascii="Calibri" w:hAnsi="Calibri" w:cs="Calibri"/>
          <w:color w:val="000000"/>
          <w:sz w:val="24"/>
          <w:szCs w:val="24"/>
        </w:rPr>
        <w:t>Heridas infectadas superficiales y profundas con exudado ligero a moderado — úlceras por presión grado II–III, úlceras venosas y arteriales con colonización crítica o infección confirmada.</w:t>
      </w:r>
    </w:p>
    <w:p w14:paraId="154BFA50" w14:textId="77777777" w:rsidR="004620EE" w:rsidRPr="00F45CAF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45CAF">
        <w:rPr>
          <w:rFonts w:ascii="Calibri" w:hAnsi="Calibri" w:cs="Calibri"/>
          <w:color w:val="000000"/>
          <w:sz w:val="24"/>
          <w:szCs w:val="24"/>
        </w:rPr>
        <w:t>Úlceras de pie diabético — heridas medianas con riesgo o presencia de infección, incluyendo lesiones con patógenos resistentes como MRSA o VRE.</w:t>
      </w:r>
    </w:p>
    <w:p w14:paraId="1ECE8649" w14:textId="77777777" w:rsidR="004620EE" w:rsidRPr="00F45CAF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45CAF">
        <w:rPr>
          <w:rFonts w:ascii="Calibri" w:hAnsi="Calibri" w:cs="Calibri"/>
          <w:color w:val="000000"/>
          <w:sz w:val="24"/>
          <w:szCs w:val="24"/>
        </w:rPr>
        <w:t xml:space="preserve">Heridas cavitadas, tunelizadas y fístulas — la malla se pliega en múltiples capas o se usa como taponamiento fino en cavidades donde el </w:t>
      </w:r>
      <w:proofErr w:type="spellStart"/>
      <w:r w:rsidRPr="00F45CAF">
        <w:rPr>
          <w:rFonts w:ascii="Calibri" w:hAnsi="Calibri" w:cs="Calibri"/>
          <w:color w:val="000000"/>
          <w:sz w:val="24"/>
          <w:szCs w:val="24"/>
        </w:rPr>
        <w:t>Pad</w:t>
      </w:r>
      <w:proofErr w:type="spellEnd"/>
      <w:r w:rsidRPr="00F45CAF">
        <w:rPr>
          <w:rFonts w:ascii="Calibri" w:hAnsi="Calibri" w:cs="Calibri"/>
          <w:color w:val="000000"/>
          <w:sz w:val="24"/>
          <w:szCs w:val="24"/>
        </w:rPr>
        <w:t xml:space="preserve"> 10×10 no puede adaptarse a la morfología.</w:t>
      </w:r>
    </w:p>
    <w:p w14:paraId="74027356" w14:textId="77777777" w:rsidR="004620EE" w:rsidRPr="00F45CAF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45CAF">
        <w:rPr>
          <w:rFonts w:ascii="Calibri" w:hAnsi="Calibri" w:cs="Calibri"/>
          <w:color w:val="000000"/>
          <w:sz w:val="24"/>
          <w:szCs w:val="24"/>
        </w:rPr>
        <w:t>Heridas quirúrgicas dehiscentes o con riesgo de infección — sitios de dehiscencia posquirúrgica con colonización bacteriana donde los antibióticos tópicos están contraindicados o han fallado.</w:t>
      </w:r>
    </w:p>
    <w:p w14:paraId="1D0F9BC3" w14:textId="77777777" w:rsidR="004620EE" w:rsidRPr="00F45CAF" w:rsidRDefault="004620EE" w:rsidP="004620EE">
      <w:pPr>
        <w:jc w:val="both"/>
        <w:rPr>
          <w:rFonts w:ascii="Calibri" w:hAnsi="Calibri" w:cs="Calibri"/>
          <w:color w:val="000000"/>
          <w:sz w:val="24"/>
          <w:szCs w:val="24"/>
        </w:rPr>
      </w:pPr>
      <w:r w:rsidRPr="00F45CAF">
        <w:rPr>
          <w:rFonts w:ascii="Calibri" w:hAnsi="Calibri" w:cs="Calibri"/>
          <w:color w:val="000000"/>
          <w:sz w:val="24"/>
          <w:szCs w:val="24"/>
        </w:rPr>
        <w:t>Heridas bajo terapia de presión negativa (NPWT) — como interfaz de contacto primario entre el lecho de la herida y la esponja del sistema NPWT.</w:t>
      </w:r>
    </w:p>
    <w:p w14:paraId="770B4D0D" w14:textId="7AD74281" w:rsidR="00DC3633" w:rsidRDefault="004620EE" w:rsidP="004620EE">
      <w:r w:rsidRPr="00F45CAF">
        <w:rPr>
          <w:rFonts w:ascii="Calibri" w:hAnsi="Calibri" w:cs="Calibri"/>
          <w:color w:val="000000"/>
          <w:sz w:val="24"/>
          <w:szCs w:val="24"/>
        </w:rPr>
        <w:t>Heridas traumáticas contaminadas de tamaño mediano — laceraciones y abrasiones profundas con riesgo de colonización bacteriana donde el formato 4×6 cm resulte insuficiente.</w:t>
      </w:r>
    </w:p>
    <w:sectPr w:rsidR="00DC363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0EE"/>
    <w:rsid w:val="004620EE"/>
    <w:rsid w:val="00776085"/>
    <w:rsid w:val="00DC3633"/>
    <w:rsid w:val="00E2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8011C"/>
  <w15:chartTrackingRefBased/>
  <w15:docId w15:val="{C617A229-ED2D-4E25-94EC-4DE7DBF1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20EE"/>
  </w:style>
  <w:style w:type="paragraph" w:styleId="Ttulo1">
    <w:name w:val="heading 1"/>
    <w:basedOn w:val="Normal"/>
    <w:next w:val="Normal"/>
    <w:link w:val="Ttulo1Car"/>
    <w:uiPriority w:val="9"/>
    <w:qFormat/>
    <w:rsid w:val="004620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20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20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20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20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20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20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20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20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20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20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20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20E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20E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20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20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20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20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20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20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20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20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20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20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20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20E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20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20E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20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233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 Adan Valenzuela Silva</dc:creator>
  <cp:keywords/>
  <dc:description/>
  <cp:lastModifiedBy>Rodolfo Adan Valenzuela Silva</cp:lastModifiedBy>
  <cp:revision>1</cp:revision>
  <dcterms:created xsi:type="dcterms:W3CDTF">2026-07-07T15:54:00Z</dcterms:created>
  <dcterms:modified xsi:type="dcterms:W3CDTF">2026-07-07T15:55:00Z</dcterms:modified>
</cp:coreProperties>
</file>