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B6D42">
      <w:r>
        <w:rPr>
          <w:b/>
          <w:bCs/>
          <w:lang w:eastAsia="es-C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240665</wp:posOffset>
            </wp:positionV>
            <wp:extent cx="1209675" cy="1049020"/>
            <wp:effectExtent l="0" t="0" r="9525" b="0"/>
            <wp:wrapNone/>
            <wp:docPr id="2" name="Imagen 2" descr="Logo SSVSA 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 SSVSA 20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99B304D"/>
    <w:p w14:paraId="0198E413"/>
    <w:p w14:paraId="6172682B"/>
    <w:p w14:paraId="7D132D75">
      <w:pPr>
        <w:tabs>
          <w:tab w:val="left" w:pos="4253"/>
        </w:tabs>
        <w:spacing w:after="0" w:line="240" w:lineRule="auto"/>
      </w:pPr>
    </w:p>
    <w:p w14:paraId="63C3E620">
      <w:pPr>
        <w:tabs>
          <w:tab w:val="left" w:pos="4253"/>
        </w:tabs>
        <w:spacing w:after="0" w:line="240" w:lineRule="auto"/>
        <w:rPr>
          <w:rFonts w:ascii="Arial" w:hAnsi="Arial" w:eastAsia="Times New Roman" w:cs="Arial"/>
          <w:b/>
          <w:color w:val="000000" w:themeColor="text1"/>
          <w:sz w:val="16"/>
          <w:szCs w:val="16"/>
          <w:lang w:val="es-ES" w:eastAsia="es-E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Times New Roman" w:cs="Arial"/>
          <w:b/>
          <w:color w:val="000000" w:themeColor="text1"/>
          <w:sz w:val="16"/>
          <w:szCs w:val="16"/>
          <w:lang w:val="es-ES" w:eastAsia="es-ES"/>
          <w14:textFill>
            <w14:solidFill>
              <w14:schemeClr w14:val="tx1"/>
            </w14:solidFill>
          </w14:textFill>
        </w:rPr>
        <w:t>SUBDIRECCIÓN DE GESTIÓN Y DESARROLLO DE LAS PERSONAS</w:t>
      </w:r>
    </w:p>
    <w:p w14:paraId="6D6046F1">
      <w:pPr>
        <w:tabs>
          <w:tab w:val="left" w:pos="4253"/>
        </w:tabs>
        <w:spacing w:after="0" w:line="240" w:lineRule="auto"/>
        <w:rPr>
          <w:rFonts w:ascii="Arial" w:hAnsi="Arial" w:eastAsia="Times New Roman" w:cs="Arial"/>
          <w:b/>
          <w:color w:val="000000" w:themeColor="text1"/>
          <w:sz w:val="16"/>
          <w:szCs w:val="16"/>
          <w:lang w:val="es-ES" w:eastAsia="es-E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Times New Roman" w:cs="Arial"/>
          <w:b/>
          <w:color w:val="000000" w:themeColor="text1"/>
          <w:sz w:val="16"/>
          <w:szCs w:val="16"/>
          <w:lang w:val="es-ES" w:eastAsia="es-ES"/>
          <w14:textFill>
            <w14:solidFill>
              <w14:schemeClr w14:val="tx1"/>
            </w14:solidFill>
          </w14:textFill>
        </w:rPr>
        <w:t xml:space="preserve">SUBDEPARTAMENTO CICLO DE VIDA LABORAL </w:t>
      </w:r>
    </w:p>
    <w:p w14:paraId="218E8C48">
      <w:pPr>
        <w:tabs>
          <w:tab w:val="left" w:pos="4253"/>
        </w:tabs>
        <w:spacing w:after="0" w:line="240" w:lineRule="auto"/>
        <w:rPr>
          <w:rFonts w:ascii="Arial" w:hAnsi="Arial" w:eastAsia="Times New Roman" w:cs="Arial"/>
          <w:b/>
          <w:color w:val="000000" w:themeColor="text1"/>
          <w:sz w:val="16"/>
          <w:szCs w:val="16"/>
          <w:lang w:val="es-ES" w:eastAsia="es-E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Times New Roman" w:cs="Arial"/>
          <w:b/>
          <w:color w:val="000000" w:themeColor="text1"/>
          <w:sz w:val="16"/>
          <w:szCs w:val="16"/>
          <w:lang w:val="es-ES" w:eastAsia="es-ES"/>
          <w14:textFill>
            <w14:solidFill>
              <w14:schemeClr w14:val="tx1"/>
            </w14:solidFill>
          </w14:textFill>
        </w:rPr>
        <w:t xml:space="preserve">UNIDAD DE CAPACITACIÓN </w:t>
      </w:r>
    </w:p>
    <w:p w14:paraId="54CE526E">
      <w:pPr>
        <w:rPr>
          <w:lang w:val="es-ES"/>
        </w:rPr>
      </w:pPr>
      <w:r>
        <w:rPr>
          <w:b/>
          <w:bCs/>
          <w:cap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5600700" cy="7048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687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ESPECIFICACIONES TÉCNICAS CURSO 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ARQUITECTURA HOSPITALARIA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PARA FUNCIONARIOS DE LA LEY 18.834 DE DIRECCIÓN DEL SSVSA</w:t>
                            </w:r>
                          </w:p>
                          <w:p w14:paraId="42BDDB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" o:spid="_x0000_s1026" o:spt="1" style="position:absolute;left:0pt;margin-top:6.45pt;height:55.5pt;width:441pt;mso-position-horizontal:right;mso-position-horizontal-relative:margin;z-index:251660288;v-text-anchor:middle;mso-width-relative:page;mso-height-relative:page;" fillcolor="#D9D9D9 [2732]" filled="t" stroked="t" coordsize="21600,21600" o:gfxdata="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PZqAnXAAAABwEA&#10;AA8AAAAAAAAAAQAgAAAAIgAAAGRycy9kb3ducmV2LnhtbFBLAQIUABQAAAAIAIdO4kA1UlIajQIA&#10;AEcFAAAOAAAAAAAAAAEAIAAAACYBAABkcnMvZTJvRG9jLnhtbFBLBQYAAAAABgAGAFkBAAAlBgAA&#10;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0CA687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ESPECIFICACIONES TÉCNICAS CURSO </w:t>
                      </w:r>
                      <w:r>
                        <w:rPr>
                          <w:rFonts w:hint="default" w:ascii="Arial" w:hAnsi="Arial" w:cs="Arial"/>
                          <w:b/>
                          <w:color w:val="000000" w:themeColor="text1"/>
                          <w:sz w:val="28"/>
                          <w:szCs w:val="2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ARQUITECTURA HOSPITALARIA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PARA FUNCIONARIOS DE LA LEY 18.834 DE DIRECCIÓN DEL SSVSA</w:t>
                      </w:r>
                    </w:p>
                    <w:p w14:paraId="42BDDB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6519"/>
      </w:tblGrid>
      <w:tr w14:paraId="7E89C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8" w:type="dxa"/>
            <w:gridSpan w:val="2"/>
            <w:tcBorders>
              <w:bottom w:val="single" w:color="auto" w:sz="4" w:space="0"/>
              <w:right w:val="nil"/>
            </w:tcBorders>
            <w:shd w:val="clear" w:color="auto" w:fill="auto"/>
          </w:tcPr>
          <w:p w14:paraId="6089636E">
            <w:pPr>
              <w:spacing w:after="0" w:line="240" w:lineRule="auto"/>
              <w:jc w:val="both"/>
              <w:rPr>
                <w:b w:val="0"/>
                <w:bCs w:val="0"/>
                <w:caps w:val="0"/>
              </w:rPr>
            </w:pPr>
          </w:p>
          <w:p w14:paraId="11B85259">
            <w:pPr>
              <w:spacing w:after="0" w:line="240" w:lineRule="auto"/>
              <w:jc w:val="both"/>
              <w:rPr>
                <w:b w:val="0"/>
                <w:bCs w:val="0"/>
                <w:caps w:val="0"/>
              </w:rPr>
            </w:pPr>
          </w:p>
          <w:p w14:paraId="673BDC93">
            <w:pPr>
              <w:spacing w:after="0" w:line="240" w:lineRule="auto"/>
              <w:jc w:val="both"/>
              <w:rPr>
                <w:b/>
                <w:bCs/>
                <w:caps/>
              </w:rPr>
            </w:pPr>
          </w:p>
        </w:tc>
      </w:tr>
      <w:tr w14:paraId="01DA9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8245A24">
            <w:pPr>
              <w:spacing w:after="0" w:line="240" w:lineRule="auto"/>
              <w:jc w:val="both"/>
              <w:rPr>
                <w:rFonts w:ascii="Arial" w:hAnsi="Arial" w:cs="Arial"/>
                <w:b w:val="0"/>
                <w:bCs w:val="0"/>
                <w:caps w:val="0"/>
              </w:rPr>
            </w:pPr>
          </w:p>
          <w:p w14:paraId="4FE642BB">
            <w:pPr>
              <w:spacing w:after="0" w:line="240" w:lineRule="auto"/>
              <w:jc w:val="both"/>
              <w:rPr>
                <w:rFonts w:ascii="Arial" w:hAnsi="Arial" w:cs="Arial"/>
                <w:b w:val="0"/>
                <w:bCs w:val="0"/>
                <w:caps w:val="0"/>
              </w:rPr>
            </w:pPr>
          </w:p>
          <w:p w14:paraId="07CD129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OBJETIVO GENERAL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C9A2DC4">
            <w:pPr>
              <w:spacing w:before="100" w:beforeAutospacing="1" w:after="100" w:afterAutospacing="1" w:line="240" w:lineRule="auto"/>
              <w:jc w:val="both"/>
              <w:rPr>
                <w:rFonts w:hint="default" w:cstheme="minorHAnsi"/>
                <w:sz w:val="24"/>
                <w:szCs w:val="24"/>
                <w:lang w:val="es-ES"/>
              </w:rPr>
            </w:pPr>
            <w:r>
              <w:rPr>
                <w:rFonts w:hint="default" w:cstheme="minorHAnsi"/>
                <w:sz w:val="24"/>
                <w:szCs w:val="24"/>
                <w:lang w:val="es-ES"/>
              </w:rPr>
              <w:t xml:space="preserve">Formar profesionales capaces de planificar, evaluar y gestionar proyectos de infraestructura hospitalaria integrando normativa, sostenibidad e innovación, para favorecer el sistema de salud y mejorar la calidad de la atención. </w:t>
            </w:r>
          </w:p>
        </w:tc>
      </w:tr>
      <w:tr w14:paraId="6C864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32D75D4D">
            <w:pPr>
              <w:spacing w:after="0" w:line="240" w:lineRule="auto"/>
              <w:jc w:val="both"/>
              <w:rPr>
                <w:rFonts w:ascii="Arial" w:hAnsi="Arial" w:cs="Arial"/>
                <w:b w:val="0"/>
                <w:bCs w:val="0"/>
                <w:caps w:val="0"/>
                <w:color w:val="000000"/>
              </w:rPr>
            </w:pPr>
            <w:bookmarkStart w:id="0" w:name="_Hlk101187692"/>
          </w:p>
          <w:p w14:paraId="0B23169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 xml:space="preserve">descripción del </w:t>
            </w:r>
          </w:p>
          <w:p w14:paraId="3C67B74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 xml:space="preserve">servicio 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3A5A3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s-ES"/>
              </w:rPr>
              <w:t xml:space="preserve">Es un </w:t>
            </w:r>
            <w:r>
              <w:rPr>
                <w:rFonts w:hint="default"/>
                <w:sz w:val="24"/>
                <w:szCs w:val="24"/>
              </w:rPr>
              <w:t>curso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de formación asociada al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conocimiento de la arquitectura sanitaria;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elementos de su diseño, con un énfasis en la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comprensión de las variables tecnológicas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incidentes en el problema arquitectónico de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la infraestructura hospitalaria, reconociendo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sus escalas y campos de producción, así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como las particularidades locales que inciden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en su configuración, en vista a desarrollar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competencias vinculadas a la gestión,</w:t>
            </w:r>
            <w:r>
              <w:rPr>
                <w:rFonts w:hint="default"/>
                <w:sz w:val="24"/>
                <w:szCs w:val="24"/>
                <w:lang w:val="es-E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administración y conservación de recursos</w:t>
            </w:r>
          </w:p>
        </w:tc>
      </w:tr>
      <w:tr w14:paraId="316A2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36112CAE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MÓDULOS DE CONTENIDOS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F73CD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s-ES"/>
              </w:rPr>
              <w:t>Módulo 1: Arquitectura Hospitalaria en el Ámbito Público y Privado</w:t>
            </w:r>
          </w:p>
          <w:p w14:paraId="553FB34A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</w:p>
          <w:p w14:paraId="1B6E2821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 xml:space="preserve">Parte 1.1 Conceptos Fundamentales de una Propuesta </w:t>
            </w:r>
          </w:p>
          <w:p w14:paraId="06E2A43A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>Parte 1.2 Criterios espaciales y de diseño arquitectónico</w:t>
            </w:r>
          </w:p>
          <w:p w14:paraId="27B90B53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>Parte 1.3 Servicios clínicos y especialidades</w:t>
            </w:r>
          </w:p>
          <w:p w14:paraId="1258A760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</w:p>
          <w:p w14:paraId="31B1E6A3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s-ES"/>
              </w:rPr>
              <w:t>Módulo 2: Riesgo y Vulnerabilidad en la Arquitectura de Hospitales</w:t>
            </w:r>
          </w:p>
          <w:p w14:paraId="468725F0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</w:p>
          <w:p w14:paraId="16D079EB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>Parte 1.1 Conceptos generales de riesgo y vulnerabilidad aplicados a los edificios de hospitales y centros de atención de salud</w:t>
            </w:r>
          </w:p>
          <w:p w14:paraId="0B37D794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>Parte 1.2 Comprender el funcionamiento de las áreas críticas asociadas al riesgo</w:t>
            </w:r>
          </w:p>
          <w:p w14:paraId="6F21693A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</w:p>
          <w:p w14:paraId="443CDADD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s-ES"/>
              </w:rPr>
              <w:t>Módulo 3: Operaciones y Conservación de Inmueble de la Salud</w:t>
            </w:r>
          </w:p>
          <w:p w14:paraId="3B767E7D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</w:p>
          <w:p w14:paraId="5615B00C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>Parte 1.1 Conceptos básicos de operaciones y mantenimiento</w:t>
            </w:r>
          </w:p>
          <w:p w14:paraId="66559760">
            <w:pPr>
              <w:pStyle w:val="14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420" w:leftChars="0" w:hanging="420" w:firstLineChars="0"/>
              <w:contextualSpacing/>
              <w:jc w:val="both"/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lang w:val="es-ES"/>
              </w:rPr>
              <w:t>Parte 1.2 Conceptos elementales de tecnología BIM</w:t>
            </w:r>
          </w:p>
        </w:tc>
      </w:tr>
      <w:bookmarkEnd w:id="0"/>
      <w:tr w14:paraId="6A78D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3DB09E80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 xml:space="preserve">MODALIDAD 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5BD5">
            <w:pPr>
              <w:spacing w:before="100" w:beforeAutospacing="1" w:after="100" w:afterAutospacing="1" w:line="240" w:lineRule="auto"/>
              <w:textAlignment w:val="baseline"/>
              <w:rPr>
                <w:rFonts w:eastAsia="Times New Roman" w:cstheme="minorHAnsi"/>
                <w:color w:val="4D4D4D"/>
                <w:sz w:val="24"/>
                <w:szCs w:val="24"/>
                <w:lang w:eastAsia="es-CL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E-learning (Clases mixtas: modalidad sincrónica y asincrónica). Con apoyo plataforma digital</w:t>
            </w:r>
          </w:p>
        </w:tc>
      </w:tr>
      <w:tr w14:paraId="187CB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191BC99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METODOLOGÍA DE ENSEÑANZA</w:t>
            </w:r>
          </w:p>
          <w:p w14:paraId="5A113FB4">
            <w:pPr>
              <w:pBdr>
                <w:top w:val="single" w:color="auto" w:sz="4" w:space="1"/>
              </w:pBdr>
              <w:spacing w:after="0" w:line="240" w:lineRule="auto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A1CB9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exposiciones teóricas, análisis de casos reales, revisión de normativa y resolución de ejercicios prácticos. fomentando la discusión crítica, identificación de riesgos y la reflexión sobre el impacto de las decisiones administrativas en la gestión pública.</w:t>
            </w:r>
          </w:p>
        </w:tc>
      </w:tr>
      <w:tr w14:paraId="23229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5165409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Tiempo de ejecución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BB59A">
            <w:pPr>
              <w:spacing w:after="0" w:line="240" w:lineRule="auto"/>
              <w:jc w:val="both"/>
              <w:rPr>
                <w:rFonts w:hint="default" w:cstheme="minorHAns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cstheme="minorHAnsi"/>
                <w:color w:val="000000"/>
                <w:sz w:val="24"/>
                <w:szCs w:val="24"/>
                <w:lang w:val="es-ES"/>
              </w:rPr>
              <w:t>Agosto-Septiembre</w:t>
            </w:r>
          </w:p>
        </w:tc>
      </w:tr>
      <w:tr w14:paraId="262A9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01596C12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 xml:space="preserve">características </w:t>
            </w:r>
          </w:p>
          <w:p w14:paraId="5E93A3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del proveedor</w:t>
            </w:r>
          </w:p>
          <w:p w14:paraId="60EC22ED">
            <w:pPr>
              <w:pBdr>
                <w:top w:val="single" w:color="auto" w:sz="4" w:space="1"/>
              </w:pBdr>
              <w:spacing w:after="0" w:line="240" w:lineRule="auto"/>
              <w:rPr>
                <w:rFonts w:ascii="Arial" w:hAnsi="Arial" w:cs="Arial"/>
                <w:b/>
                <w:bCs/>
                <w:caps/>
              </w:rPr>
            </w:pP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0DD5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Podrán presentar propuestas las personas naturales o jurídicas, cuyo giro social comprenda los servicios solicitados en estas Bases y que, en forma individual o como consorcio, cumplan con los requisitos, lo que deberá ser acreditado en su oportunidad con la documentación correspondiente. Asimismo, deberá acreditar la experiencia en docencia en estas materias (compras públicas) y que de manera individual o asociada haya realizado actividades de perfeccionamiento, formación o investigación en el área de la salud. </w:t>
            </w:r>
          </w:p>
          <w:p w14:paraId="79D973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14:paraId="5D04A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4AAF192B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características del docente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99216">
            <w:pPr>
              <w:pStyle w:val="14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Profesional (es) especializado (s) en los temas señalados demostrable a través de cursos, talleres, diplomados, magister.</w:t>
            </w:r>
          </w:p>
          <w:p w14:paraId="17D62D70">
            <w:pPr>
              <w:pStyle w:val="14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Con experiencia demostrable en docencia en el área solicitada.</w:t>
            </w:r>
          </w:p>
          <w:p w14:paraId="60B363B3">
            <w:pPr>
              <w:pStyle w:val="14"/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14:paraId="1A7AB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16402B20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Metodología evaluativa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53261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Evaluaciones parciales por módulo y evaluación final.  asistencia mínima y nota de aprobación para acceder a certificación.</w:t>
            </w:r>
          </w:p>
        </w:tc>
      </w:tr>
      <w:tr w14:paraId="2200D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18BD6E57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CERTIFICACIÓN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ECB0F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Al finalizar el curso el participante podrá obtener certificado descargable, acreditando la aprobación del curso. Deberá contener 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</w:rPr>
              <w:t>nota obtenida, fechas de realización y cantidad de horas acreditadas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. </w:t>
            </w:r>
          </w:p>
        </w:tc>
      </w:tr>
      <w:tr w14:paraId="094CC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51BF2BEC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EVALUACIÓN OFERENTE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0C31C">
            <w:p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 xml:space="preserve">El oferente debe entregar una encuesta de satisfacción de los servicios presentados a todos los participantes que aprueben el curso, bajo este criterio: </w:t>
            </w:r>
          </w:p>
          <w:p w14:paraId="28A9F2D3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Contenidos y metodología (escala 1 a 7)</w:t>
            </w:r>
          </w:p>
          <w:p w14:paraId="1AD540A0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Organización y coordinación (escala 1 a 7)</w:t>
            </w:r>
          </w:p>
          <w:p w14:paraId="021D07E8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Expositor/Relator/Monitor (escala 1 a 7)</w:t>
            </w:r>
          </w:p>
          <w:p w14:paraId="2EC4F13A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Materiales de Apoyo (escala 1 a 7)</w:t>
            </w:r>
          </w:p>
          <w:p w14:paraId="5466FC69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Infraestructura y equipamiento (escala 1 a 7)</w:t>
            </w:r>
          </w:p>
          <w:p w14:paraId="0DEE3DC9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Aplicabilidad (escala 1 a 7)</w:t>
            </w:r>
          </w:p>
          <w:p w14:paraId="07C5023E">
            <w:pPr>
              <w:pStyle w:val="14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Expectativas (escala 1 a 7)</w:t>
            </w:r>
          </w:p>
          <w:p w14:paraId="2E04CD82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s-ES"/>
              </w:rPr>
              <w:t>Apreciación general de la actividad (escala 1 a 7)</w:t>
            </w:r>
          </w:p>
        </w:tc>
      </w:tr>
      <w:tr w14:paraId="62ED9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70AD22EF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HORAS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22B8D">
            <w:pPr>
              <w:spacing w:after="0" w:line="240" w:lineRule="auto"/>
              <w:jc w:val="both"/>
              <w:rPr>
                <w:rFonts w:hint="default" w:cstheme="minorHAnsi"/>
                <w:color w:val="000000"/>
                <w:sz w:val="24"/>
                <w:szCs w:val="24"/>
                <w:highlight w:val="yellow"/>
                <w:lang w:val="es-ES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16 horas cronológicas</w:t>
            </w:r>
            <w:r>
              <w:rPr>
                <w:rFonts w:hint="default" w:cstheme="minorHAnsi"/>
                <w:color w:val="000000"/>
                <w:sz w:val="24"/>
                <w:szCs w:val="24"/>
                <w:lang w:val="es-ES"/>
              </w:rPr>
              <w:t xml:space="preserve"> como </w:t>
            </w:r>
            <w:bookmarkStart w:id="1" w:name="_GoBack"/>
            <w:bookmarkEnd w:id="1"/>
            <w:r>
              <w:rPr>
                <w:rFonts w:hint="default" w:cstheme="minorHAnsi"/>
                <w:color w:val="000000"/>
                <w:sz w:val="24"/>
                <w:szCs w:val="24"/>
                <w:lang w:val="es-ES"/>
              </w:rPr>
              <w:t>mínimo</w:t>
            </w:r>
          </w:p>
        </w:tc>
      </w:tr>
      <w:tr w14:paraId="1B667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0982558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CANTIDAD DE PARTICIPANTES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8FEF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Total de</w:t>
            </w:r>
            <w:r>
              <w:rPr>
                <w:rFonts w:hint="default" w:cstheme="minorHAnsi"/>
                <w:color w:val="000000"/>
                <w:sz w:val="24"/>
                <w:szCs w:val="24"/>
                <w:lang w:val="es-ES"/>
              </w:rPr>
              <w:t xml:space="preserve"> 20 </w:t>
            </w:r>
            <w:r>
              <w:rPr>
                <w:rFonts w:cstheme="minorHAnsi"/>
                <w:color w:val="000000"/>
                <w:sz w:val="24"/>
                <w:szCs w:val="24"/>
              </w:rPr>
              <w:t>participantes</w:t>
            </w:r>
          </w:p>
          <w:p w14:paraId="09E7C468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14:paraId="45C59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FB2D3">
            <w:pPr>
              <w:pBdr>
                <w:top w:val="single" w:color="auto" w:sz="4" w:space="1"/>
              </w:pBdr>
              <w:spacing w:after="0" w:line="24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b/>
                <w:bCs/>
                <w:caps/>
              </w:rPr>
              <w:t>TOTAL DE PRESUPUESTO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FCEEC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Total presupuesto $1.</w:t>
            </w:r>
            <w:r>
              <w:rPr>
                <w:rFonts w:hint="default" w:cstheme="minorHAnsi"/>
                <w:color w:val="000000"/>
                <w:sz w:val="24"/>
                <w:szCs w:val="24"/>
                <w:lang w:val="es-ES"/>
              </w:rPr>
              <w:t>7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00.000 </w:t>
            </w:r>
          </w:p>
          <w:p w14:paraId="2AA2E205">
            <w:pPr>
              <w:spacing w:after="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14:paraId="54853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  <w:tcBorders>
              <w:top w:val="single" w:color="auto" w:sz="4" w:space="0"/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493FCB98">
            <w:pPr>
              <w:spacing w:after="0" w:line="240" w:lineRule="auto"/>
              <w:jc w:val="both"/>
              <w:rPr>
                <w:b/>
                <w:bCs/>
                <w:caps/>
              </w:rPr>
            </w:pPr>
          </w:p>
        </w:tc>
        <w:tc>
          <w:tcPr>
            <w:tcW w:w="6519" w:type="dxa"/>
            <w:shd w:val="clear" w:color="auto" w:fill="F1F1F1" w:themeFill="background1" w:themeFillShade="F2"/>
          </w:tcPr>
          <w:p w14:paraId="2F7271D1">
            <w:pPr>
              <w:spacing w:after="0" w:line="240" w:lineRule="auto"/>
              <w:jc w:val="both"/>
            </w:pPr>
          </w:p>
        </w:tc>
      </w:tr>
    </w:tbl>
    <w:p w14:paraId="64CBFAB9">
      <w:pPr>
        <w:rPr>
          <w:lang w:val="es-ES"/>
        </w:rPr>
      </w:pPr>
    </w:p>
    <w:sectPr>
      <w:pgSz w:w="12240" w:h="15840"/>
      <w:pgMar w:top="851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59654"/>
    <w:multiLevelType w:val="singleLevel"/>
    <w:tmpl w:val="DFD596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C3D0D9F"/>
    <w:multiLevelType w:val="multilevel"/>
    <w:tmpl w:val="1C3D0D9F"/>
    <w:lvl w:ilvl="0" w:tentative="0">
      <w:start w:val="2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sz w:val="2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3183846"/>
    <w:multiLevelType w:val="multilevel"/>
    <w:tmpl w:val="731838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2BC"/>
    <w:rsid w:val="00001916"/>
    <w:rsid w:val="00026C2B"/>
    <w:rsid w:val="00053C7E"/>
    <w:rsid w:val="00067F40"/>
    <w:rsid w:val="00085E4C"/>
    <w:rsid w:val="0008698A"/>
    <w:rsid w:val="0009045A"/>
    <w:rsid w:val="000913B0"/>
    <w:rsid w:val="00093E0B"/>
    <w:rsid w:val="000964FC"/>
    <w:rsid w:val="000B3B24"/>
    <w:rsid w:val="000B44BE"/>
    <w:rsid w:val="000C7CBD"/>
    <w:rsid w:val="000D6E13"/>
    <w:rsid w:val="000E7C4C"/>
    <w:rsid w:val="000F51C5"/>
    <w:rsid w:val="001106A7"/>
    <w:rsid w:val="001130BE"/>
    <w:rsid w:val="0012520C"/>
    <w:rsid w:val="0013161F"/>
    <w:rsid w:val="00137705"/>
    <w:rsid w:val="00180E50"/>
    <w:rsid w:val="00184669"/>
    <w:rsid w:val="001900C2"/>
    <w:rsid w:val="001A7500"/>
    <w:rsid w:val="001D2E6B"/>
    <w:rsid w:val="001E0C36"/>
    <w:rsid w:val="00212450"/>
    <w:rsid w:val="002232BC"/>
    <w:rsid w:val="002313A6"/>
    <w:rsid w:val="00232612"/>
    <w:rsid w:val="00252355"/>
    <w:rsid w:val="00262DC4"/>
    <w:rsid w:val="002819C6"/>
    <w:rsid w:val="00287450"/>
    <w:rsid w:val="002C3BAD"/>
    <w:rsid w:val="002D7CB1"/>
    <w:rsid w:val="002E4510"/>
    <w:rsid w:val="003341BA"/>
    <w:rsid w:val="003346C9"/>
    <w:rsid w:val="0033612E"/>
    <w:rsid w:val="00337AE3"/>
    <w:rsid w:val="003409DA"/>
    <w:rsid w:val="003577EC"/>
    <w:rsid w:val="00385A12"/>
    <w:rsid w:val="003A7480"/>
    <w:rsid w:val="003B7381"/>
    <w:rsid w:val="003C40F4"/>
    <w:rsid w:val="003F13DF"/>
    <w:rsid w:val="00403096"/>
    <w:rsid w:val="0046322C"/>
    <w:rsid w:val="0048245C"/>
    <w:rsid w:val="0049698A"/>
    <w:rsid w:val="004B0CE0"/>
    <w:rsid w:val="004C2D6B"/>
    <w:rsid w:val="004D1945"/>
    <w:rsid w:val="004D5384"/>
    <w:rsid w:val="004E6AAC"/>
    <w:rsid w:val="0050200F"/>
    <w:rsid w:val="005041FE"/>
    <w:rsid w:val="0052331E"/>
    <w:rsid w:val="005243EE"/>
    <w:rsid w:val="00552CFD"/>
    <w:rsid w:val="00556063"/>
    <w:rsid w:val="00566BA3"/>
    <w:rsid w:val="005774B6"/>
    <w:rsid w:val="00584BDA"/>
    <w:rsid w:val="005A6EB1"/>
    <w:rsid w:val="005A7919"/>
    <w:rsid w:val="005B1F6B"/>
    <w:rsid w:val="005B6682"/>
    <w:rsid w:val="005C713F"/>
    <w:rsid w:val="005D7AD2"/>
    <w:rsid w:val="005E2F79"/>
    <w:rsid w:val="005F0BBA"/>
    <w:rsid w:val="005F1070"/>
    <w:rsid w:val="006024FA"/>
    <w:rsid w:val="00605AF9"/>
    <w:rsid w:val="00615A8E"/>
    <w:rsid w:val="00620EB2"/>
    <w:rsid w:val="00623D09"/>
    <w:rsid w:val="00637796"/>
    <w:rsid w:val="00663E49"/>
    <w:rsid w:val="0067664C"/>
    <w:rsid w:val="00680E46"/>
    <w:rsid w:val="006B38EB"/>
    <w:rsid w:val="006B38FB"/>
    <w:rsid w:val="006C11DC"/>
    <w:rsid w:val="006E3ADC"/>
    <w:rsid w:val="0071265E"/>
    <w:rsid w:val="00735773"/>
    <w:rsid w:val="007602F5"/>
    <w:rsid w:val="0078058B"/>
    <w:rsid w:val="007A3604"/>
    <w:rsid w:val="007A6013"/>
    <w:rsid w:val="007B35F6"/>
    <w:rsid w:val="007C0BF0"/>
    <w:rsid w:val="007D0AAB"/>
    <w:rsid w:val="007D7325"/>
    <w:rsid w:val="007E04FE"/>
    <w:rsid w:val="007E410D"/>
    <w:rsid w:val="00813E65"/>
    <w:rsid w:val="00820BC1"/>
    <w:rsid w:val="00826A64"/>
    <w:rsid w:val="0083599F"/>
    <w:rsid w:val="00885DFD"/>
    <w:rsid w:val="00890205"/>
    <w:rsid w:val="008B64D5"/>
    <w:rsid w:val="008C4443"/>
    <w:rsid w:val="008C7F62"/>
    <w:rsid w:val="008E5776"/>
    <w:rsid w:val="008E79F8"/>
    <w:rsid w:val="008F2471"/>
    <w:rsid w:val="008F5462"/>
    <w:rsid w:val="00925641"/>
    <w:rsid w:val="00925A90"/>
    <w:rsid w:val="00926C34"/>
    <w:rsid w:val="00940861"/>
    <w:rsid w:val="009458CC"/>
    <w:rsid w:val="00951FF9"/>
    <w:rsid w:val="00973D65"/>
    <w:rsid w:val="0097572C"/>
    <w:rsid w:val="00975D57"/>
    <w:rsid w:val="00977708"/>
    <w:rsid w:val="009917C0"/>
    <w:rsid w:val="009B4880"/>
    <w:rsid w:val="009C0DEA"/>
    <w:rsid w:val="009C5B15"/>
    <w:rsid w:val="009E77EC"/>
    <w:rsid w:val="00A27089"/>
    <w:rsid w:val="00A276DF"/>
    <w:rsid w:val="00A310F9"/>
    <w:rsid w:val="00A41C71"/>
    <w:rsid w:val="00A64FC8"/>
    <w:rsid w:val="00A6591D"/>
    <w:rsid w:val="00A93847"/>
    <w:rsid w:val="00A93C9A"/>
    <w:rsid w:val="00AB2117"/>
    <w:rsid w:val="00AC661F"/>
    <w:rsid w:val="00AC6F0F"/>
    <w:rsid w:val="00AD04AE"/>
    <w:rsid w:val="00AD4594"/>
    <w:rsid w:val="00AF27D6"/>
    <w:rsid w:val="00B11FF6"/>
    <w:rsid w:val="00B16BCB"/>
    <w:rsid w:val="00B34F33"/>
    <w:rsid w:val="00B424BA"/>
    <w:rsid w:val="00B45BFD"/>
    <w:rsid w:val="00B51186"/>
    <w:rsid w:val="00B96BE7"/>
    <w:rsid w:val="00BB0F2D"/>
    <w:rsid w:val="00BC395C"/>
    <w:rsid w:val="00BC7AE8"/>
    <w:rsid w:val="00BD7DD6"/>
    <w:rsid w:val="00BF051B"/>
    <w:rsid w:val="00BF1217"/>
    <w:rsid w:val="00C15813"/>
    <w:rsid w:val="00C17205"/>
    <w:rsid w:val="00C4268A"/>
    <w:rsid w:val="00C45C00"/>
    <w:rsid w:val="00C92BF7"/>
    <w:rsid w:val="00C973C1"/>
    <w:rsid w:val="00CA02CE"/>
    <w:rsid w:val="00CA5AFA"/>
    <w:rsid w:val="00CC0673"/>
    <w:rsid w:val="00CD0656"/>
    <w:rsid w:val="00CD1BE8"/>
    <w:rsid w:val="00CE1533"/>
    <w:rsid w:val="00CE160E"/>
    <w:rsid w:val="00CF2E95"/>
    <w:rsid w:val="00CF7733"/>
    <w:rsid w:val="00D3048A"/>
    <w:rsid w:val="00D37388"/>
    <w:rsid w:val="00D428BB"/>
    <w:rsid w:val="00D45E37"/>
    <w:rsid w:val="00D57B51"/>
    <w:rsid w:val="00D60DFE"/>
    <w:rsid w:val="00D70F80"/>
    <w:rsid w:val="00D8214D"/>
    <w:rsid w:val="00D87CD0"/>
    <w:rsid w:val="00D95B0B"/>
    <w:rsid w:val="00DA683F"/>
    <w:rsid w:val="00DD6E19"/>
    <w:rsid w:val="00E12228"/>
    <w:rsid w:val="00E13A9D"/>
    <w:rsid w:val="00E16033"/>
    <w:rsid w:val="00E26ED3"/>
    <w:rsid w:val="00E400CC"/>
    <w:rsid w:val="00E53C4B"/>
    <w:rsid w:val="00E7491A"/>
    <w:rsid w:val="00E96230"/>
    <w:rsid w:val="00EA0F66"/>
    <w:rsid w:val="00EA2B5E"/>
    <w:rsid w:val="00EB1B80"/>
    <w:rsid w:val="00EB222C"/>
    <w:rsid w:val="00EB461C"/>
    <w:rsid w:val="00EC4895"/>
    <w:rsid w:val="00ED1731"/>
    <w:rsid w:val="00ED5C56"/>
    <w:rsid w:val="00EE3F78"/>
    <w:rsid w:val="00EF32AC"/>
    <w:rsid w:val="00EF641B"/>
    <w:rsid w:val="00F117EB"/>
    <w:rsid w:val="00F17459"/>
    <w:rsid w:val="00F24223"/>
    <w:rsid w:val="00F33BEF"/>
    <w:rsid w:val="00F50DDB"/>
    <w:rsid w:val="00F62F1D"/>
    <w:rsid w:val="00F8344B"/>
    <w:rsid w:val="00F838BF"/>
    <w:rsid w:val="00F87F4E"/>
    <w:rsid w:val="00F9366D"/>
    <w:rsid w:val="00FC3355"/>
    <w:rsid w:val="00FC575B"/>
    <w:rsid w:val="00FC69D0"/>
    <w:rsid w:val="00FF2AB2"/>
    <w:rsid w:val="00FF6387"/>
    <w:rsid w:val="042F48EA"/>
    <w:rsid w:val="076F17EB"/>
    <w:rsid w:val="08F02CB9"/>
    <w:rsid w:val="092C548C"/>
    <w:rsid w:val="16C26D19"/>
    <w:rsid w:val="19354F76"/>
    <w:rsid w:val="20651C44"/>
    <w:rsid w:val="29107390"/>
    <w:rsid w:val="309D32A8"/>
    <w:rsid w:val="32114F2A"/>
    <w:rsid w:val="35B6467E"/>
    <w:rsid w:val="49B155E8"/>
    <w:rsid w:val="5DAA5685"/>
    <w:rsid w:val="5FD72DEB"/>
    <w:rsid w:val="62553A95"/>
    <w:rsid w:val="63DA0F0F"/>
    <w:rsid w:val="645C3081"/>
    <w:rsid w:val="65470C55"/>
    <w:rsid w:val="6FFF2342"/>
    <w:rsid w:val="773432D5"/>
    <w:rsid w:val="7826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annotation subject"/>
    <w:basedOn w:val="8"/>
    <w:next w:val="8"/>
    <w:link w:val="18"/>
    <w:semiHidden/>
    <w:unhideWhenUsed/>
    <w:qFormat/>
    <w:uiPriority w:val="99"/>
    <w:rPr>
      <w:b/>
      <w:bCs/>
    </w:rPr>
  </w:style>
  <w:style w:type="paragraph" w:styleId="8">
    <w:name w:val="annotation text"/>
    <w:basedOn w:val="1"/>
    <w:link w:val="17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9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s-CL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12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Plain Table 3"/>
    <w:basedOn w:val="3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TML con formato previo Car"/>
    <w:basedOn w:val="2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es-CL"/>
    </w:rPr>
  </w:style>
  <w:style w:type="character" w:customStyle="1" w:styleId="16">
    <w:name w:val="Texto de globo Car"/>
    <w:basedOn w:val="2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7">
    <w:name w:val="Texto comentario Car"/>
    <w:basedOn w:val="2"/>
    <w:link w:val="8"/>
    <w:semiHidden/>
    <w:qFormat/>
    <w:uiPriority w:val="99"/>
    <w:rPr>
      <w:sz w:val="20"/>
      <w:szCs w:val="20"/>
    </w:rPr>
  </w:style>
  <w:style w:type="character" w:customStyle="1" w:styleId="18">
    <w:name w:val="Asunto del comentario Car"/>
    <w:basedOn w:val="17"/>
    <w:link w:val="7"/>
    <w:semiHidden/>
    <w:qFormat/>
    <w:uiPriority w:val="99"/>
    <w:rPr>
      <w:b/>
      <w:bCs/>
      <w:sz w:val="20"/>
      <w:szCs w:val="20"/>
    </w:rPr>
  </w:style>
  <w:style w:type="paragraph" w:customStyle="1" w:styleId="1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character" w:customStyle="1" w:styleId="20">
    <w:name w:val="markedcontent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F87B38-EA93-424C-AEDD-ABB2DCF4C2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521</Words>
  <Characters>3176</Characters>
  <Lines>30</Lines>
  <Paragraphs>8</Paragraphs>
  <TotalTime>40</TotalTime>
  <ScaleCrop>false</ScaleCrop>
  <LinksUpToDate>false</LinksUpToDate>
  <CharactersWithSpaces>3660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2025-03-24T10:33:00Z</dcterms:created>
  <dc:creator>Roxana</dc:creator>
  <cp:lastModifiedBy>Michelle Duran</cp:lastModifiedBy>
  <cp:lastPrinted>2022-04-07T20:33:00Z</cp:lastPrinted>
  <dcterms:modified xsi:type="dcterms:W3CDTF">2026-05-25T13:00:25Z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9091E83D5E3E4559A04377D19102EE8B_12</vt:lpwstr>
  </property>
  <property fmtid="{D5CDD505-2E9C-101B-9397-08002B2CF9AE}" pid="4" name="KSOTemplateDocerSaveRecord">
    <vt:lpwstr>eyJoZGlkIjoiNzJhZDY0NzlmMjRjZDMyNjZiZWQxODI4NTRhNjMwNWIifQ==</vt:lpwstr>
  </property>
</Properties>
</file>